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70046D">
      <w:pPr>
        <w:spacing w:after="0" w:line="240" w:lineRule="auto"/>
        <w:ind w:left="6480" w:firstLine="0"/>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70046D">
      <w:pPr>
        <w:spacing w:after="0" w:line="240" w:lineRule="auto"/>
        <w:ind w:left="5194" w:firstLine="128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264F7200" w14:textId="77777777" w:rsidR="00C17E83" w:rsidRPr="00C17E83" w:rsidRDefault="00C17E83" w:rsidP="00C17E83">
      <w:pPr>
        <w:spacing w:after="0" w:line="240" w:lineRule="auto"/>
        <w:ind w:left="0" w:firstLine="720"/>
        <w:jc w:val="center"/>
        <w:rPr>
          <w:b/>
          <w:bCs/>
          <w:color w:val="auto"/>
          <w:sz w:val="24"/>
          <w:szCs w:val="24"/>
        </w:rPr>
      </w:pPr>
      <w:r w:rsidRPr="00C17E83">
        <w:rPr>
          <w:b/>
          <w:caps/>
          <w:color w:val="auto"/>
          <w:sz w:val="24"/>
          <w:szCs w:val="24"/>
        </w:rPr>
        <w:t xml:space="preserve">ip TELEFONO APARATO </w:t>
      </w:r>
      <w:r w:rsidRPr="00C17E83">
        <w:rPr>
          <w:b/>
          <w:bCs/>
          <w:color w:val="auto"/>
          <w:sz w:val="24"/>
          <w:szCs w:val="24"/>
        </w:rPr>
        <w:t>TECHNINĖ SPECIFIKACIJA</w:t>
      </w:r>
    </w:p>
    <w:p w14:paraId="50D52A23" w14:textId="77777777" w:rsidR="00C17E83" w:rsidRPr="00C17E83" w:rsidRDefault="00C17E83" w:rsidP="00C17E83">
      <w:pPr>
        <w:keepNext/>
        <w:tabs>
          <w:tab w:val="num" w:pos="0"/>
        </w:tabs>
        <w:suppressAutoHyphens/>
        <w:spacing w:after="0" w:line="240" w:lineRule="auto"/>
        <w:ind w:left="0" w:firstLine="0"/>
        <w:jc w:val="center"/>
        <w:outlineLvl w:val="0"/>
        <w:rPr>
          <w:b/>
          <w:color w:val="auto"/>
          <w:sz w:val="24"/>
          <w:szCs w:val="20"/>
          <w:lang w:eastAsia="ar-SA"/>
        </w:rPr>
      </w:pPr>
    </w:p>
    <w:p w14:paraId="1CBE6D23" w14:textId="77777777" w:rsidR="00C17E83" w:rsidRPr="00C17E83" w:rsidRDefault="00C17E83" w:rsidP="00C17E83">
      <w:pPr>
        <w:keepNext/>
        <w:tabs>
          <w:tab w:val="num" w:pos="0"/>
        </w:tabs>
        <w:suppressAutoHyphens/>
        <w:spacing w:after="0" w:line="240" w:lineRule="auto"/>
        <w:ind w:left="0" w:firstLine="0"/>
        <w:jc w:val="center"/>
        <w:outlineLvl w:val="0"/>
        <w:rPr>
          <w:b/>
          <w:color w:val="auto"/>
          <w:sz w:val="24"/>
          <w:szCs w:val="20"/>
          <w:lang w:eastAsia="ar-SA"/>
        </w:rPr>
      </w:pPr>
    </w:p>
    <w:p w14:paraId="506DAB2F" w14:textId="77777777" w:rsidR="00C17E83" w:rsidRPr="00C17E83" w:rsidRDefault="00C17E83" w:rsidP="00C17E83">
      <w:pPr>
        <w:keepNext/>
        <w:tabs>
          <w:tab w:val="num" w:pos="0"/>
        </w:tabs>
        <w:suppressAutoHyphens/>
        <w:spacing w:after="0" w:line="240" w:lineRule="auto"/>
        <w:ind w:left="0" w:firstLine="0"/>
        <w:jc w:val="center"/>
        <w:outlineLvl w:val="0"/>
        <w:rPr>
          <w:b/>
          <w:color w:val="auto"/>
          <w:sz w:val="24"/>
          <w:szCs w:val="20"/>
          <w:lang w:eastAsia="ar-SA"/>
        </w:rPr>
      </w:pPr>
      <w:r w:rsidRPr="00C17E83">
        <w:rPr>
          <w:b/>
          <w:color w:val="auto"/>
          <w:sz w:val="24"/>
          <w:szCs w:val="20"/>
          <w:lang w:eastAsia="ar-SA"/>
        </w:rPr>
        <w:t>I SKYRIUS</w:t>
      </w:r>
    </w:p>
    <w:p w14:paraId="1A4D1141" w14:textId="77777777" w:rsidR="00C17E83" w:rsidRPr="00C17E83" w:rsidRDefault="00C17E83" w:rsidP="00C17E83">
      <w:pPr>
        <w:keepNext/>
        <w:tabs>
          <w:tab w:val="num" w:pos="0"/>
        </w:tabs>
        <w:suppressAutoHyphens/>
        <w:spacing w:after="0" w:line="240" w:lineRule="auto"/>
        <w:ind w:left="0" w:firstLine="0"/>
        <w:jc w:val="center"/>
        <w:outlineLvl w:val="0"/>
        <w:rPr>
          <w:b/>
          <w:color w:val="auto"/>
          <w:sz w:val="24"/>
          <w:szCs w:val="20"/>
          <w:lang w:eastAsia="ar-SA"/>
        </w:rPr>
      </w:pPr>
      <w:r w:rsidRPr="00C17E83">
        <w:rPr>
          <w:b/>
          <w:color w:val="auto"/>
          <w:sz w:val="24"/>
          <w:szCs w:val="20"/>
          <w:lang w:eastAsia="ar-SA"/>
        </w:rPr>
        <w:t>BENDRIEJI REIKALAVIMAI</w:t>
      </w:r>
    </w:p>
    <w:p w14:paraId="199BA2AA" w14:textId="77777777" w:rsidR="00C17E83" w:rsidRPr="00C17E83" w:rsidRDefault="00C17E83" w:rsidP="00C17E83">
      <w:pPr>
        <w:spacing w:after="0" w:line="240" w:lineRule="auto"/>
        <w:ind w:left="0" w:firstLine="0"/>
        <w:rPr>
          <w:color w:val="auto"/>
          <w:sz w:val="24"/>
          <w:szCs w:val="24"/>
          <w:lang w:eastAsia="ar-SA"/>
        </w:rPr>
      </w:pPr>
    </w:p>
    <w:p w14:paraId="02BC0224" w14:textId="77777777" w:rsidR="00C17E83" w:rsidRPr="00C17E83" w:rsidRDefault="00C17E83" w:rsidP="00C17E83">
      <w:pPr>
        <w:numPr>
          <w:ilvl w:val="0"/>
          <w:numId w:val="13"/>
        </w:numPr>
        <w:tabs>
          <w:tab w:val="left" w:pos="1560"/>
        </w:tabs>
        <w:spacing w:after="0" w:line="240" w:lineRule="auto"/>
        <w:ind w:left="0" w:firstLine="1247"/>
        <w:contextualSpacing/>
        <w:jc w:val="both"/>
        <w:rPr>
          <w:b/>
          <w:color w:val="00000A"/>
          <w:sz w:val="24"/>
          <w:szCs w:val="24"/>
        </w:rPr>
      </w:pPr>
      <w:r w:rsidRPr="00C17E83">
        <w:rPr>
          <w:bCs/>
          <w:color w:val="00000A"/>
          <w:sz w:val="24"/>
          <w:szCs w:val="24"/>
        </w:rPr>
        <w:t xml:space="preserve">Visa pateikiama įranga privalo būti nauja ir nenaudota </w:t>
      </w:r>
      <w:r w:rsidRPr="00C17E83">
        <w:rPr>
          <w:color w:val="00000A"/>
          <w:sz w:val="24"/>
          <w:szCs w:val="24"/>
        </w:rPr>
        <w:t>(negali b</w:t>
      </w:r>
      <w:r w:rsidRPr="00C17E83">
        <w:rPr>
          <w:rFonts w:hint="eastAsia"/>
          <w:color w:val="00000A"/>
          <w:sz w:val="24"/>
          <w:szCs w:val="24"/>
        </w:rPr>
        <w:t>ū</w:t>
      </w:r>
      <w:r w:rsidRPr="00C17E83">
        <w:rPr>
          <w:color w:val="00000A"/>
          <w:sz w:val="24"/>
          <w:szCs w:val="24"/>
        </w:rPr>
        <w:t xml:space="preserve">ti atnaujinta, restauruota, angl.  </w:t>
      </w:r>
      <w:r w:rsidRPr="00C17E83">
        <w:rPr>
          <w:i/>
          <w:iCs/>
          <w:color w:val="00000A"/>
          <w:sz w:val="24"/>
          <w:szCs w:val="24"/>
        </w:rPr>
        <w:t>refurbished</w:t>
      </w:r>
      <w:r w:rsidRPr="00C17E83">
        <w:rPr>
          <w:color w:val="00000A"/>
          <w:sz w:val="24"/>
          <w:szCs w:val="24"/>
        </w:rPr>
        <w:t>), nepažeistose gamintojo pakuotėse</w:t>
      </w:r>
      <w:r w:rsidRPr="00C17E83">
        <w:rPr>
          <w:bCs/>
          <w:color w:val="00000A"/>
          <w:sz w:val="24"/>
          <w:szCs w:val="24"/>
        </w:rPr>
        <w:t>.</w:t>
      </w:r>
    </w:p>
    <w:p w14:paraId="01AAE344" w14:textId="77777777" w:rsidR="00C17E83" w:rsidRPr="00C17E83" w:rsidRDefault="00C17E83" w:rsidP="00C17E83">
      <w:pPr>
        <w:numPr>
          <w:ilvl w:val="0"/>
          <w:numId w:val="13"/>
        </w:numPr>
        <w:tabs>
          <w:tab w:val="left" w:pos="1560"/>
        </w:tabs>
        <w:spacing w:after="0" w:line="240" w:lineRule="auto"/>
        <w:ind w:left="0" w:firstLine="1247"/>
        <w:contextualSpacing/>
        <w:jc w:val="both"/>
        <w:rPr>
          <w:b/>
          <w:color w:val="00000A"/>
          <w:sz w:val="24"/>
          <w:szCs w:val="24"/>
        </w:rPr>
      </w:pPr>
      <w:r w:rsidRPr="00C17E83">
        <w:rPr>
          <w:iCs/>
          <w:color w:val="00000A"/>
          <w:sz w:val="24"/>
          <w:szCs w:val="24"/>
        </w:rPr>
        <w:t>Visa pateikiama įranga privalo turėti gamintojo autorizacijos formas, adresuotas perkančiajai organizacijai</w:t>
      </w:r>
      <w:r w:rsidRPr="00C17E83">
        <w:rPr>
          <w:i/>
          <w:iCs/>
          <w:color w:val="00000A"/>
          <w:sz w:val="24"/>
          <w:szCs w:val="24"/>
        </w:rPr>
        <w:t xml:space="preserve"> (angl. Manufacturer Authorization Form).</w:t>
      </w:r>
    </w:p>
    <w:p w14:paraId="13DD666C" w14:textId="77777777" w:rsidR="00C17E83" w:rsidRPr="00C17E83" w:rsidRDefault="00C17E83" w:rsidP="00C17E83">
      <w:pPr>
        <w:numPr>
          <w:ilvl w:val="0"/>
          <w:numId w:val="13"/>
        </w:numPr>
        <w:spacing w:after="0" w:line="240" w:lineRule="auto"/>
        <w:ind w:left="1560" w:hanging="284"/>
        <w:rPr>
          <w:color w:val="auto"/>
          <w:sz w:val="22"/>
          <w:lang w:eastAsia="en-US"/>
        </w:rPr>
      </w:pPr>
      <w:r w:rsidRPr="00C17E83">
        <w:rPr>
          <w:iCs/>
          <w:color w:val="auto"/>
          <w:sz w:val="24"/>
          <w:szCs w:val="24"/>
        </w:rPr>
        <w:t xml:space="preserve">Įrenginys pas gamintoją turi būti užregistruotas Perkančiosios organizacijos vardu. </w:t>
      </w:r>
    </w:p>
    <w:p w14:paraId="2FAF08FC" w14:textId="77777777" w:rsidR="00C17E83" w:rsidRPr="00C17E83" w:rsidRDefault="00C17E83" w:rsidP="00C17E83">
      <w:pPr>
        <w:numPr>
          <w:ilvl w:val="0"/>
          <w:numId w:val="13"/>
        </w:numPr>
        <w:tabs>
          <w:tab w:val="left" w:pos="1560"/>
        </w:tabs>
        <w:spacing w:after="0" w:line="240" w:lineRule="auto"/>
        <w:ind w:left="0" w:firstLine="1247"/>
        <w:contextualSpacing/>
        <w:jc w:val="both"/>
        <w:rPr>
          <w:b/>
          <w:color w:val="00000A"/>
          <w:sz w:val="24"/>
          <w:szCs w:val="24"/>
        </w:rPr>
      </w:pPr>
      <w:r w:rsidRPr="00C17E83">
        <w:rPr>
          <w:color w:val="00000A"/>
          <w:sz w:val="24"/>
          <w:szCs w:val="24"/>
        </w:rPr>
        <w:t>Tiekėjas turi užtikrinti, kad gamintojas nėra paskelbęs žinios</w:t>
      </w:r>
      <w:r w:rsidRPr="00C17E83">
        <w:rPr>
          <w:color w:val="CC00FF"/>
          <w:sz w:val="24"/>
          <w:szCs w:val="24"/>
        </w:rPr>
        <w:t xml:space="preserve"> </w:t>
      </w:r>
      <w:r w:rsidRPr="00C17E83">
        <w:rPr>
          <w:color w:val="00000A"/>
          <w:sz w:val="24"/>
          <w:szCs w:val="24"/>
        </w:rPr>
        <w:t xml:space="preserve">apie siūlomos įrangos gamybos arba tobulinimo nutraukimą (angl. </w:t>
      </w:r>
      <w:r w:rsidRPr="00C17E83">
        <w:rPr>
          <w:i/>
          <w:color w:val="00000A"/>
          <w:sz w:val="24"/>
          <w:szCs w:val="24"/>
        </w:rPr>
        <w:t>end of life time</w:t>
      </w:r>
      <w:r w:rsidRPr="00C17E83">
        <w:rPr>
          <w:color w:val="00000A"/>
          <w:sz w:val="24"/>
          <w:szCs w:val="24"/>
        </w:rPr>
        <w:t xml:space="preserve"> ar </w:t>
      </w:r>
      <w:r w:rsidRPr="00C17E83">
        <w:rPr>
          <w:i/>
          <w:color w:val="00000A"/>
          <w:sz w:val="24"/>
          <w:szCs w:val="24"/>
        </w:rPr>
        <w:t>Discontinued</w:t>
      </w:r>
      <w:r w:rsidRPr="00C17E83">
        <w:rPr>
          <w:color w:val="00000A"/>
          <w:sz w:val="24"/>
          <w:szCs w:val="24"/>
        </w:rPr>
        <w:t>).</w:t>
      </w:r>
    </w:p>
    <w:p w14:paraId="68F86FE6" w14:textId="77777777" w:rsidR="00C17E83" w:rsidRPr="00C17E83" w:rsidRDefault="00C17E83" w:rsidP="00C17E83">
      <w:pPr>
        <w:numPr>
          <w:ilvl w:val="0"/>
          <w:numId w:val="13"/>
        </w:numPr>
        <w:tabs>
          <w:tab w:val="left" w:pos="1560"/>
        </w:tabs>
        <w:spacing w:after="0" w:line="240" w:lineRule="auto"/>
        <w:ind w:left="0" w:firstLine="1247"/>
        <w:contextualSpacing/>
        <w:jc w:val="both"/>
        <w:rPr>
          <w:b/>
          <w:color w:val="00000A"/>
          <w:sz w:val="24"/>
          <w:szCs w:val="24"/>
        </w:rPr>
      </w:pPr>
      <w:r w:rsidRPr="00C17E83">
        <w:rPr>
          <w:color w:val="00000A"/>
          <w:sz w:val="24"/>
          <w:szCs w:val="24"/>
        </w:rPr>
        <w:t>Techninė įranga privalo veikti be sutrikimų,</w:t>
      </w:r>
      <w:r w:rsidRPr="00C17E83">
        <w:rPr>
          <w:color w:val="CC00FF"/>
          <w:sz w:val="24"/>
          <w:szCs w:val="24"/>
        </w:rPr>
        <w:t xml:space="preserve"> </w:t>
      </w:r>
      <w:r w:rsidRPr="00C17E83">
        <w:rPr>
          <w:color w:val="00000A"/>
          <w:sz w:val="24"/>
          <w:szCs w:val="24"/>
        </w:rPr>
        <w:t>kai temperatūros režimas techninės įrangos įdiegimo patalpoje yra nuo +10 °C iki +40 °C, o santykinė oro drėgmė – 70 proc. ir mažesnė.</w:t>
      </w:r>
    </w:p>
    <w:p w14:paraId="1DE9B5B4" w14:textId="77777777" w:rsidR="00C17E83" w:rsidRPr="00C17E83" w:rsidRDefault="00C17E83" w:rsidP="00C17E83">
      <w:pPr>
        <w:numPr>
          <w:ilvl w:val="0"/>
          <w:numId w:val="13"/>
        </w:numPr>
        <w:tabs>
          <w:tab w:val="left" w:pos="1560"/>
        </w:tabs>
        <w:spacing w:after="0" w:line="240" w:lineRule="auto"/>
        <w:ind w:left="0" w:firstLine="1247"/>
        <w:contextualSpacing/>
        <w:jc w:val="both"/>
        <w:rPr>
          <w:b/>
          <w:color w:val="00000A"/>
          <w:sz w:val="24"/>
          <w:szCs w:val="24"/>
        </w:rPr>
      </w:pPr>
      <w:r w:rsidRPr="00C17E83">
        <w:rPr>
          <w:color w:val="00000A"/>
          <w:sz w:val="24"/>
          <w:szCs w:val="24"/>
          <w:lang w:eastAsia="en-US"/>
        </w:rPr>
        <w:t>Pardavėjas turi pateikti tikslią pasiūlymą atitinkančios techninės ar programinės įrangos techninę specifikaciją.</w:t>
      </w:r>
    </w:p>
    <w:p w14:paraId="29EC8A7E" w14:textId="77777777" w:rsidR="00C17E83" w:rsidRPr="00C17E83" w:rsidRDefault="00C17E83" w:rsidP="00C17E83">
      <w:pPr>
        <w:numPr>
          <w:ilvl w:val="0"/>
          <w:numId w:val="13"/>
        </w:numPr>
        <w:tabs>
          <w:tab w:val="left" w:pos="1560"/>
        </w:tabs>
        <w:spacing w:after="0" w:line="240" w:lineRule="auto"/>
        <w:ind w:left="0" w:firstLine="1247"/>
        <w:contextualSpacing/>
        <w:jc w:val="both"/>
        <w:rPr>
          <w:bCs/>
          <w:color w:val="00000A"/>
          <w:sz w:val="24"/>
          <w:szCs w:val="24"/>
          <w:lang w:eastAsia="en-US"/>
        </w:rPr>
      </w:pPr>
      <w:r w:rsidRPr="00C17E83">
        <w:rPr>
          <w:bCs/>
          <w:color w:val="00000A"/>
          <w:sz w:val="24"/>
          <w:szCs w:val="24"/>
          <w:lang w:eastAsia="en-US"/>
        </w:rPr>
        <w:t xml:space="preserve">Garantinis laikotarpis: </w:t>
      </w:r>
    </w:p>
    <w:p w14:paraId="7289BDEA" w14:textId="77777777" w:rsidR="00C17E83" w:rsidRPr="00C17E83" w:rsidRDefault="00C17E83" w:rsidP="00C17E83">
      <w:pPr>
        <w:numPr>
          <w:ilvl w:val="1"/>
          <w:numId w:val="13"/>
        </w:numPr>
        <w:tabs>
          <w:tab w:val="left" w:pos="1701"/>
        </w:tabs>
        <w:spacing w:after="0" w:line="240" w:lineRule="auto"/>
        <w:ind w:left="0" w:firstLine="1247"/>
        <w:contextualSpacing/>
        <w:jc w:val="both"/>
        <w:rPr>
          <w:bCs/>
          <w:color w:val="00000A"/>
          <w:sz w:val="24"/>
          <w:szCs w:val="24"/>
          <w:lang w:eastAsia="en-US"/>
        </w:rPr>
      </w:pPr>
      <w:r w:rsidRPr="00C17E83">
        <w:rPr>
          <w:bCs/>
          <w:color w:val="00000A"/>
          <w:sz w:val="24"/>
          <w:szCs w:val="24"/>
          <w:lang w:eastAsia="en-US"/>
        </w:rPr>
        <w:t xml:space="preserve"> </w:t>
      </w:r>
      <w:r w:rsidRPr="00C17E83">
        <w:rPr>
          <w:color w:val="00000A"/>
          <w:sz w:val="24"/>
          <w:szCs w:val="24"/>
        </w:rPr>
        <w:t>Visai įrangai privalo būti suteikta ne trumpesnė kaip 24 mėnesių garantija.</w:t>
      </w:r>
      <w:r w:rsidRPr="00C17E83" w:rsidDel="00245D04">
        <w:rPr>
          <w:bCs/>
          <w:color w:val="00000A"/>
          <w:sz w:val="24"/>
          <w:szCs w:val="24"/>
          <w:lang w:eastAsia="en-US"/>
        </w:rPr>
        <w:t xml:space="preserve"> </w:t>
      </w:r>
    </w:p>
    <w:p w14:paraId="2947B86A" w14:textId="77777777" w:rsidR="00C17E83" w:rsidRPr="00C17E83" w:rsidRDefault="00C17E83" w:rsidP="00C17E83">
      <w:pPr>
        <w:numPr>
          <w:ilvl w:val="1"/>
          <w:numId w:val="13"/>
        </w:numPr>
        <w:tabs>
          <w:tab w:val="left" w:pos="1701"/>
        </w:tabs>
        <w:spacing w:after="0" w:line="240" w:lineRule="auto"/>
        <w:ind w:left="0" w:firstLine="1247"/>
        <w:contextualSpacing/>
        <w:jc w:val="both"/>
        <w:rPr>
          <w:bCs/>
          <w:color w:val="00000A"/>
          <w:sz w:val="24"/>
          <w:szCs w:val="24"/>
          <w:lang w:eastAsia="en-US"/>
        </w:rPr>
      </w:pPr>
      <w:r w:rsidRPr="00C17E83">
        <w:rPr>
          <w:bCs/>
          <w:color w:val="00000A"/>
          <w:sz w:val="24"/>
          <w:szCs w:val="24"/>
          <w:lang w:eastAsia="en-US"/>
        </w:rPr>
        <w:t xml:space="preserve"> Garantinio remonto trukmė – ne ilgesnė kaip 30 kalendorinių dienų. Jei sugedusios įrangos per šį laikotarpį pataisyti neįmanoma, ji pakeičiama tokia pat nauja.</w:t>
      </w:r>
    </w:p>
    <w:p w14:paraId="3F7A7E78" w14:textId="77777777" w:rsidR="00C17E83" w:rsidRPr="00C17E83" w:rsidRDefault="00C17E83" w:rsidP="00C17E83">
      <w:pPr>
        <w:numPr>
          <w:ilvl w:val="1"/>
          <w:numId w:val="13"/>
        </w:numPr>
        <w:tabs>
          <w:tab w:val="left" w:pos="1701"/>
        </w:tabs>
        <w:spacing w:after="0" w:line="240" w:lineRule="auto"/>
        <w:ind w:left="0" w:firstLine="1247"/>
        <w:contextualSpacing/>
        <w:jc w:val="both"/>
        <w:rPr>
          <w:bCs/>
          <w:color w:val="00000A"/>
          <w:sz w:val="24"/>
          <w:szCs w:val="24"/>
          <w:lang w:eastAsia="en-US"/>
        </w:rPr>
      </w:pPr>
      <w:r w:rsidRPr="00C17E83">
        <w:rPr>
          <w:bCs/>
          <w:color w:val="00000A"/>
          <w:sz w:val="24"/>
          <w:szCs w:val="24"/>
          <w:lang w:eastAsia="en-US"/>
        </w:rPr>
        <w:t>Garantinis laikotarpis skaičiuojamas nuo priėmimo–perdavimo akto pasirašymo dienos.</w:t>
      </w:r>
    </w:p>
    <w:p w14:paraId="595291C4" w14:textId="77777777" w:rsidR="00C17E83" w:rsidRPr="00C17E83" w:rsidRDefault="00C17E83" w:rsidP="00C17E83">
      <w:pPr>
        <w:numPr>
          <w:ilvl w:val="1"/>
          <w:numId w:val="13"/>
        </w:numPr>
        <w:tabs>
          <w:tab w:val="left" w:pos="1701"/>
        </w:tabs>
        <w:spacing w:after="0" w:line="240" w:lineRule="auto"/>
        <w:ind w:left="0" w:firstLine="1247"/>
        <w:contextualSpacing/>
        <w:jc w:val="both"/>
        <w:rPr>
          <w:bCs/>
          <w:color w:val="00000A"/>
          <w:sz w:val="24"/>
          <w:szCs w:val="24"/>
          <w:lang w:eastAsia="en-US"/>
        </w:rPr>
      </w:pPr>
      <w:r w:rsidRPr="00C17E83">
        <w:rPr>
          <w:bCs/>
          <w:color w:val="00000A"/>
          <w:sz w:val="24"/>
          <w:szCs w:val="24"/>
          <w:lang w:eastAsia="en-US"/>
        </w:rPr>
        <w:t xml:space="preserve"> Garantiniu laikotarpiu Tiekėjas privalo atlikti darbus savo lėšomis, įskaitant ir transportavimo išlaidas.</w:t>
      </w:r>
    </w:p>
    <w:p w14:paraId="4FAEF3AE" w14:textId="77777777" w:rsidR="00C17E83" w:rsidRPr="00C17E83" w:rsidRDefault="00C17E83" w:rsidP="00C17E83">
      <w:pPr>
        <w:numPr>
          <w:ilvl w:val="0"/>
          <w:numId w:val="13"/>
        </w:numPr>
        <w:spacing w:after="0" w:line="240" w:lineRule="auto"/>
        <w:ind w:left="1560"/>
        <w:contextualSpacing/>
        <w:jc w:val="both"/>
        <w:rPr>
          <w:color w:val="00000A"/>
          <w:sz w:val="24"/>
          <w:szCs w:val="24"/>
        </w:rPr>
      </w:pPr>
      <w:r w:rsidRPr="00C17E83">
        <w:rPr>
          <w:color w:val="00000A"/>
          <w:sz w:val="24"/>
          <w:szCs w:val="24"/>
        </w:rPr>
        <w:t>Saugumo reikalavimai:</w:t>
      </w:r>
    </w:p>
    <w:p w14:paraId="05C72E22" w14:textId="77777777" w:rsidR="00C17E83" w:rsidRPr="00C17E83" w:rsidRDefault="00C17E83" w:rsidP="00C17E83">
      <w:pPr>
        <w:numPr>
          <w:ilvl w:val="1"/>
          <w:numId w:val="14"/>
        </w:numPr>
        <w:spacing w:after="0" w:line="240" w:lineRule="auto"/>
        <w:ind w:left="0" w:firstLine="1134"/>
        <w:contextualSpacing/>
        <w:jc w:val="both"/>
        <w:rPr>
          <w:color w:val="00000A"/>
          <w:sz w:val="24"/>
          <w:szCs w:val="24"/>
        </w:rPr>
      </w:pPr>
      <w:r w:rsidRPr="00C17E83">
        <w:rPr>
          <w:color w:val="00000A"/>
          <w:sz w:val="24"/>
          <w:szCs w:val="24"/>
        </w:rPr>
        <w:t xml:space="preserve">Įrenginyje neturi būti įdiegta jokia bevielė ryšio technologija IEEE 802.11, IEEE 802.15. </w:t>
      </w:r>
    </w:p>
    <w:p w14:paraId="4541929C" w14:textId="77777777" w:rsidR="00C17E83" w:rsidRPr="00C17E83" w:rsidRDefault="00C17E83" w:rsidP="00C17E83">
      <w:pPr>
        <w:numPr>
          <w:ilvl w:val="1"/>
          <w:numId w:val="14"/>
        </w:numPr>
        <w:spacing w:after="0" w:line="240" w:lineRule="auto"/>
        <w:ind w:left="0" w:firstLine="1134"/>
        <w:contextualSpacing/>
        <w:jc w:val="both"/>
        <w:rPr>
          <w:color w:val="00000A"/>
          <w:sz w:val="24"/>
          <w:szCs w:val="24"/>
        </w:rPr>
      </w:pPr>
      <w:r w:rsidRPr="00C17E83">
        <w:rPr>
          <w:color w:val="00000A"/>
          <w:sz w:val="24"/>
          <w:szCs w:val="24"/>
        </w:rPr>
        <w:t xml:space="preserve">Įranga negali būti pagaminta šalyje, kurią Lietuvos Respublika arba Europos Sąjunga paskelbusios terorizmą remiančiomis valstybėmis. </w:t>
      </w:r>
    </w:p>
    <w:p w14:paraId="7FA256B7" w14:textId="77777777" w:rsidR="00C17E83" w:rsidRPr="00C17E83" w:rsidRDefault="00C17E83" w:rsidP="00C17E83">
      <w:pPr>
        <w:numPr>
          <w:ilvl w:val="1"/>
          <w:numId w:val="14"/>
        </w:numPr>
        <w:spacing w:after="0" w:line="240" w:lineRule="auto"/>
        <w:ind w:left="0" w:firstLine="1134"/>
        <w:contextualSpacing/>
        <w:jc w:val="both"/>
        <w:rPr>
          <w:color w:val="00000A"/>
          <w:sz w:val="24"/>
          <w:szCs w:val="24"/>
        </w:rPr>
      </w:pPr>
      <w:r w:rsidRPr="00C17E83">
        <w:rPr>
          <w:color w:val="00000A"/>
          <w:sz w:val="24"/>
          <w:szCs w:val="24"/>
        </w:rPr>
        <w:t>Tiekėjas turi užtikrinti, kad įsigyjamoje įrangoje nebūtų įdiegta jokios papildomos įrangos, kuri nėra būtina tokios įrangos funkcionalumui užtikrinti. Paaiškėjus, kad įrangoje yra įdiegta įtartina ar kokia kita kenkimo techninė, ar programinė įranga, tai būtų traktuojama kaip reikalavimų neatitikimas ir sutarties sąlygų nesilaikymas. Tokiu atveju:</w:t>
      </w:r>
    </w:p>
    <w:p w14:paraId="11E5A7D7" w14:textId="77777777" w:rsidR="00C17E83" w:rsidRPr="00C17E83" w:rsidRDefault="00C17E83" w:rsidP="00C17E83">
      <w:pPr>
        <w:numPr>
          <w:ilvl w:val="2"/>
          <w:numId w:val="15"/>
        </w:numPr>
        <w:spacing w:after="0" w:line="240" w:lineRule="auto"/>
        <w:ind w:left="0" w:firstLine="1134"/>
        <w:contextualSpacing/>
        <w:jc w:val="both"/>
        <w:rPr>
          <w:color w:val="00000A"/>
          <w:sz w:val="24"/>
          <w:szCs w:val="24"/>
        </w:rPr>
      </w:pPr>
      <w:r w:rsidRPr="00C17E83">
        <w:rPr>
          <w:color w:val="00000A"/>
          <w:sz w:val="24"/>
          <w:szCs w:val="24"/>
        </w:rPr>
        <w:t>Įranga grąžinama tiekėjui arba keičiama nauja lygiaverte ar geresne, tačiau saugumo reikalavimus atitinkančia įranga;</w:t>
      </w:r>
    </w:p>
    <w:p w14:paraId="3264923D" w14:textId="77777777" w:rsidR="00C17E83" w:rsidRPr="00C17E83" w:rsidRDefault="00C17E83" w:rsidP="00C17E83">
      <w:pPr>
        <w:numPr>
          <w:ilvl w:val="2"/>
          <w:numId w:val="15"/>
        </w:numPr>
        <w:spacing w:after="0" w:line="240" w:lineRule="auto"/>
        <w:ind w:hanging="90"/>
        <w:contextualSpacing/>
        <w:jc w:val="both"/>
        <w:rPr>
          <w:color w:val="00000A"/>
          <w:sz w:val="24"/>
          <w:szCs w:val="24"/>
        </w:rPr>
      </w:pPr>
      <w:r w:rsidRPr="00C17E83">
        <w:rPr>
          <w:color w:val="00000A"/>
          <w:sz w:val="24"/>
          <w:szCs w:val="24"/>
        </w:rPr>
        <w:t>Tiekėjas padengia pirkimo proceso metu pirkėjo patirtą materialinę žalą.</w:t>
      </w:r>
    </w:p>
    <w:p w14:paraId="574AEB4D" w14:textId="77777777" w:rsidR="00C17E83" w:rsidRPr="00C17E83" w:rsidRDefault="00C17E83" w:rsidP="00C17E83">
      <w:pPr>
        <w:numPr>
          <w:ilvl w:val="0"/>
          <w:numId w:val="16"/>
        </w:numPr>
        <w:spacing w:after="0" w:line="240" w:lineRule="auto"/>
        <w:ind w:left="0" w:firstLine="1135"/>
        <w:contextualSpacing/>
        <w:jc w:val="both"/>
        <w:rPr>
          <w:color w:val="00000A"/>
          <w:sz w:val="24"/>
          <w:szCs w:val="24"/>
        </w:rPr>
      </w:pPr>
      <w:r w:rsidRPr="00C17E83">
        <w:rPr>
          <w:sz w:val="24"/>
          <w:szCs w:val="24"/>
          <w:shd w:val="clear" w:color="auto" w:fill="FFFFFF"/>
        </w:rPr>
        <w:t xml:space="preserve">  Įrenginiai bus naudojami Krašto apsaugos sistemos žinybiniame tinkle, kuris veikia Cisco technologijų pagrindu.</w:t>
      </w:r>
    </w:p>
    <w:p w14:paraId="7031CB33" w14:textId="77777777" w:rsidR="00C17E83" w:rsidRPr="00C17E83" w:rsidRDefault="00C17E83" w:rsidP="00C17E83">
      <w:pPr>
        <w:tabs>
          <w:tab w:val="left" w:pos="1560"/>
        </w:tabs>
        <w:spacing w:after="0" w:line="240" w:lineRule="auto"/>
        <w:ind w:left="0" w:firstLine="0"/>
        <w:jc w:val="both"/>
        <w:rPr>
          <w:bCs/>
          <w:color w:val="auto"/>
          <w:sz w:val="24"/>
          <w:szCs w:val="24"/>
          <w:lang w:eastAsia="en-US"/>
        </w:rPr>
      </w:pPr>
    </w:p>
    <w:p w14:paraId="414D68C0" w14:textId="77777777" w:rsidR="00C17E83" w:rsidRPr="00C17E83" w:rsidRDefault="00C17E83" w:rsidP="00C17E83">
      <w:pPr>
        <w:spacing w:after="0" w:line="240" w:lineRule="auto"/>
        <w:ind w:left="0" w:firstLine="720"/>
        <w:jc w:val="center"/>
        <w:rPr>
          <w:b/>
          <w:caps/>
          <w:color w:val="auto"/>
          <w:sz w:val="24"/>
          <w:szCs w:val="24"/>
        </w:rPr>
      </w:pPr>
    </w:p>
    <w:p w14:paraId="51B86617" w14:textId="77777777" w:rsidR="00C17E83" w:rsidRPr="00C17E83" w:rsidRDefault="00C17E83" w:rsidP="00C17E83">
      <w:pPr>
        <w:spacing w:after="0" w:line="240" w:lineRule="auto"/>
        <w:ind w:left="0" w:firstLine="0"/>
        <w:rPr>
          <w:rFonts w:eastAsia="Arial"/>
          <w:b/>
          <w:color w:val="auto"/>
          <w:sz w:val="24"/>
          <w:szCs w:val="24"/>
          <w:lang w:eastAsia="ar-SA"/>
        </w:rPr>
      </w:pPr>
    </w:p>
    <w:p w14:paraId="2A31601E" w14:textId="77777777" w:rsidR="00C17E83" w:rsidRPr="00C17E83" w:rsidRDefault="00C17E83" w:rsidP="00C17E83">
      <w:pPr>
        <w:spacing w:after="0" w:line="240" w:lineRule="auto"/>
        <w:ind w:left="0" w:firstLine="0"/>
        <w:rPr>
          <w:rFonts w:eastAsia="Arial"/>
          <w:b/>
          <w:color w:val="auto"/>
          <w:sz w:val="24"/>
          <w:szCs w:val="24"/>
          <w:lang w:eastAsia="ar-SA"/>
        </w:rPr>
      </w:pPr>
    </w:p>
    <w:p w14:paraId="4341179F" w14:textId="77777777" w:rsidR="00C17E83" w:rsidRPr="00C17E83" w:rsidRDefault="00C17E83" w:rsidP="00C17E83">
      <w:pPr>
        <w:keepNext/>
        <w:keepLines/>
        <w:tabs>
          <w:tab w:val="left" w:pos="390"/>
          <w:tab w:val="left" w:pos="1035"/>
          <w:tab w:val="left" w:pos="1500"/>
        </w:tabs>
        <w:spacing w:after="0" w:line="240" w:lineRule="auto"/>
        <w:ind w:left="0" w:firstLine="0"/>
        <w:jc w:val="center"/>
        <w:rPr>
          <w:b/>
          <w:color w:val="auto"/>
          <w:sz w:val="24"/>
          <w:szCs w:val="24"/>
        </w:rPr>
      </w:pPr>
      <w:r w:rsidRPr="00C17E83">
        <w:rPr>
          <w:b/>
          <w:color w:val="auto"/>
          <w:sz w:val="24"/>
          <w:szCs w:val="24"/>
        </w:rPr>
        <w:t>II SKYRIUS</w:t>
      </w:r>
    </w:p>
    <w:p w14:paraId="3333F57F" w14:textId="77777777" w:rsidR="00C17E83" w:rsidRPr="00C17E83" w:rsidRDefault="00C17E83" w:rsidP="00C17E83">
      <w:pPr>
        <w:spacing w:after="0" w:line="240" w:lineRule="auto"/>
        <w:ind w:left="0" w:firstLine="0"/>
        <w:jc w:val="center"/>
        <w:rPr>
          <w:b/>
          <w:color w:val="auto"/>
          <w:sz w:val="24"/>
          <w:szCs w:val="24"/>
        </w:rPr>
      </w:pPr>
      <w:r w:rsidRPr="00C17E83">
        <w:rPr>
          <w:b/>
          <w:color w:val="auto"/>
          <w:sz w:val="24"/>
          <w:szCs w:val="24"/>
        </w:rPr>
        <w:t>SPECIALIEJI REIKALAVIMAI</w:t>
      </w:r>
    </w:p>
    <w:p w14:paraId="6B5DCE98" w14:textId="77777777" w:rsidR="00C17E83" w:rsidRPr="00C17E83" w:rsidRDefault="00C17E83" w:rsidP="00C17E83">
      <w:pPr>
        <w:spacing w:after="0" w:line="240" w:lineRule="auto"/>
        <w:ind w:left="0" w:firstLine="0"/>
        <w:rPr>
          <w:rFonts w:eastAsia="Arial"/>
          <w:b/>
          <w:color w:val="auto"/>
          <w:sz w:val="24"/>
          <w:szCs w:val="24"/>
          <w:lang w:eastAsia="ar-SA"/>
        </w:rPr>
      </w:pPr>
    </w:p>
    <w:p w14:paraId="08CB85AC" w14:textId="77777777" w:rsidR="00C17E83" w:rsidRPr="00C17E83" w:rsidRDefault="00C17E83" w:rsidP="00C17E83">
      <w:pPr>
        <w:numPr>
          <w:ilvl w:val="0"/>
          <w:numId w:val="13"/>
        </w:numPr>
        <w:tabs>
          <w:tab w:val="left" w:pos="1560"/>
        </w:tabs>
        <w:spacing w:after="0" w:line="240" w:lineRule="auto"/>
        <w:ind w:left="0" w:firstLine="1247"/>
        <w:contextualSpacing/>
        <w:jc w:val="both"/>
        <w:rPr>
          <w:bCs/>
          <w:color w:val="00000A"/>
          <w:sz w:val="24"/>
          <w:szCs w:val="24"/>
          <w:lang w:eastAsia="en-US"/>
        </w:rPr>
      </w:pPr>
      <w:r w:rsidRPr="00C17E83">
        <w:rPr>
          <w:bCs/>
          <w:color w:val="00000A"/>
          <w:sz w:val="24"/>
          <w:szCs w:val="24"/>
          <w:lang w:eastAsia="en-US"/>
        </w:rPr>
        <w:t xml:space="preserve"> IP telefono aparatas</w:t>
      </w:r>
      <w:r w:rsidRPr="00C17E83">
        <w:rPr>
          <w:color w:val="00000A"/>
          <w:sz w:val="24"/>
          <w:szCs w:val="24"/>
          <w:lang w:eastAsia="en-US"/>
        </w:rPr>
        <w:t xml:space="preserve"> Cisco 8851NR arba analogiškas telefono aparatas (</w:t>
      </w:r>
      <w:hyperlink r:id="rId8" w:history="1">
        <w:r w:rsidRPr="00C17E83">
          <w:rPr>
            <w:color w:val="0000FF"/>
            <w:sz w:val="24"/>
            <w:szCs w:val="24"/>
            <w:u w:val="single"/>
            <w:lang w:eastAsia="en-US"/>
          </w:rPr>
          <w:t>https://www.cisco.com/c/en/us/products/collateral/collaboration-endpoints/unified-ip-phone-8800-series/ip-phone-8851nr-ds.html</w:t>
        </w:r>
      </w:hyperlink>
      <w:r w:rsidRPr="00C17E83">
        <w:rPr>
          <w:color w:val="00000A"/>
          <w:sz w:val="24"/>
          <w:szCs w:val="24"/>
          <w:lang w:eastAsia="en-US"/>
        </w:rPr>
        <w:t xml:space="preserve"> ) turi veikti su Cisco 4000 serijos integruotų paslaugų maršrutų </w:t>
      </w:r>
      <w:r w:rsidRPr="00C17E83">
        <w:rPr>
          <w:color w:val="00000A"/>
          <w:sz w:val="24"/>
          <w:szCs w:val="24"/>
          <w:lang w:eastAsia="en-US"/>
        </w:rPr>
        <w:lastRenderedPageBreak/>
        <w:t>parinktuvais (</w:t>
      </w:r>
      <w:hyperlink r:id="rId9" w:history="1">
        <w:r w:rsidRPr="00C17E83">
          <w:rPr>
            <w:color w:val="0000FF"/>
            <w:sz w:val="24"/>
            <w:szCs w:val="24"/>
            <w:u w:val="single"/>
            <w:lang w:eastAsia="en-US"/>
          </w:rPr>
          <w:t>https://www.cisco.com/c/en/us/products/routers/4000-series-integrated-services-routers-isr/index.html</w:t>
        </w:r>
      </w:hyperlink>
      <w:r w:rsidRPr="00C17E83">
        <w:rPr>
          <w:color w:val="0000FF"/>
          <w:sz w:val="24"/>
          <w:szCs w:val="24"/>
          <w:u w:val="single"/>
          <w:lang w:eastAsia="en-US"/>
        </w:rPr>
        <w:t xml:space="preserve">) </w:t>
      </w:r>
      <w:r w:rsidRPr="00C17E83">
        <w:rPr>
          <w:color w:val="auto"/>
          <w:sz w:val="24"/>
          <w:szCs w:val="24"/>
          <w:lang w:eastAsia="en-US"/>
        </w:rPr>
        <w:t>.</w:t>
      </w:r>
    </w:p>
    <w:p w14:paraId="02D3D30E" w14:textId="77777777" w:rsidR="00C17E83" w:rsidRPr="00C17E83" w:rsidRDefault="00C17E83" w:rsidP="00C17E83">
      <w:pPr>
        <w:numPr>
          <w:ilvl w:val="0"/>
          <w:numId w:val="13"/>
        </w:numPr>
        <w:tabs>
          <w:tab w:val="left" w:pos="1560"/>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 Reikalavimai telefono rageliui</w:t>
      </w:r>
      <w:r w:rsidRPr="00C17E83">
        <w:rPr>
          <w:bCs/>
          <w:color w:val="00000A"/>
          <w:sz w:val="24"/>
          <w:szCs w:val="24"/>
          <w:lang w:eastAsia="en-US"/>
        </w:rPr>
        <w:t xml:space="preserve">: </w:t>
      </w:r>
      <w:r w:rsidRPr="00C17E83">
        <w:rPr>
          <w:color w:val="00000A"/>
          <w:sz w:val="24"/>
          <w:szCs w:val="24"/>
          <w:lang w:eastAsia="en-US"/>
        </w:rPr>
        <w:t>standartinis plačiosios dažnių juostos audiotelefono ragelis, jungiamas per RJ-9 prievadą</w:t>
      </w:r>
      <w:r w:rsidRPr="00C17E83">
        <w:rPr>
          <w:bCs/>
          <w:color w:val="00000A"/>
          <w:sz w:val="24"/>
          <w:szCs w:val="24"/>
          <w:lang w:eastAsia="en-US"/>
        </w:rPr>
        <w:t>.</w:t>
      </w:r>
    </w:p>
    <w:p w14:paraId="13548313"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analoginės laisvų rankų įrangos lizdui</w:t>
      </w:r>
      <w:r w:rsidRPr="00C17E83">
        <w:rPr>
          <w:bCs/>
          <w:color w:val="00000A"/>
          <w:sz w:val="24"/>
          <w:szCs w:val="24"/>
          <w:lang w:eastAsia="en-US"/>
        </w:rPr>
        <w:t xml:space="preserve">: </w:t>
      </w:r>
      <w:r w:rsidRPr="00C17E83">
        <w:rPr>
          <w:color w:val="00000A"/>
          <w:sz w:val="24"/>
          <w:szCs w:val="24"/>
          <w:lang w:eastAsia="en-US"/>
        </w:rPr>
        <w:t>standartinis plačiosios dažnių juostos RJ-9 audioprievadas</w:t>
      </w:r>
      <w:r w:rsidRPr="00C17E83">
        <w:rPr>
          <w:bCs/>
          <w:color w:val="00000A"/>
          <w:sz w:val="24"/>
          <w:szCs w:val="24"/>
          <w:lang w:eastAsia="en-US"/>
        </w:rPr>
        <w:t>.</w:t>
      </w:r>
    </w:p>
    <w:p w14:paraId="2C353238"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ekranui</w:t>
      </w:r>
      <w:r w:rsidRPr="00C17E83">
        <w:rPr>
          <w:bCs/>
          <w:color w:val="00000A"/>
          <w:sz w:val="24"/>
          <w:szCs w:val="24"/>
          <w:lang w:eastAsia="en-US"/>
        </w:rPr>
        <w:t xml:space="preserve">: </w:t>
      </w:r>
    </w:p>
    <w:p w14:paraId="0FD44F4F"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spalvotas, ne mažesnis kaip 5 colių (12,7 cm);</w:t>
      </w:r>
    </w:p>
    <w:p w14:paraId="5EF34FAE"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rezoliucija ne mažesnė kaip 800 x 480 taškų</w:t>
      </w:r>
      <w:r w:rsidRPr="00C17E83">
        <w:rPr>
          <w:bCs/>
          <w:color w:val="00000A"/>
          <w:sz w:val="24"/>
          <w:szCs w:val="24"/>
          <w:lang w:eastAsia="en-US"/>
        </w:rPr>
        <w:t>.</w:t>
      </w:r>
    </w:p>
    <w:p w14:paraId="3744B914"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prievadams</w:t>
      </w:r>
      <w:r w:rsidRPr="00C17E83">
        <w:rPr>
          <w:bCs/>
          <w:color w:val="00000A"/>
          <w:sz w:val="24"/>
          <w:szCs w:val="24"/>
          <w:lang w:eastAsia="en-US"/>
        </w:rPr>
        <w:t xml:space="preserve">: </w:t>
      </w:r>
      <w:r w:rsidRPr="00C17E83">
        <w:rPr>
          <w:color w:val="00000A"/>
          <w:sz w:val="24"/>
          <w:szCs w:val="24"/>
          <w:lang w:eastAsia="en-US"/>
        </w:rPr>
        <w:t>10/100/1000 BaseT prievadas telefono aparato prijungimui į tinklą,10/100/1000 BaseT prievadas kompiuterio prijungimui.</w:t>
      </w:r>
    </w:p>
    <w:p w14:paraId="627CF933"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komutatoriui</w:t>
      </w:r>
      <w:r w:rsidRPr="00C17E83">
        <w:rPr>
          <w:bCs/>
          <w:color w:val="00000A"/>
          <w:sz w:val="24"/>
          <w:szCs w:val="24"/>
          <w:lang w:eastAsia="en-US"/>
        </w:rPr>
        <w:t xml:space="preserve">: </w:t>
      </w:r>
      <w:r w:rsidRPr="00C17E83">
        <w:rPr>
          <w:color w:val="00000A"/>
          <w:sz w:val="24"/>
          <w:szCs w:val="24"/>
          <w:lang w:eastAsia="en-US"/>
        </w:rPr>
        <w:t>integruotas 2 portų 10/100/1000 BASE-T (IEEE 802.3i/802.3u/802.3ab).</w:t>
      </w:r>
    </w:p>
    <w:p w14:paraId="6F70F78F"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maitinimo šaltiniui</w:t>
      </w:r>
      <w:r w:rsidRPr="00C17E83">
        <w:rPr>
          <w:bCs/>
          <w:color w:val="00000A"/>
          <w:sz w:val="24"/>
          <w:szCs w:val="24"/>
          <w:lang w:eastAsia="en-US"/>
        </w:rPr>
        <w:t xml:space="preserve">: </w:t>
      </w:r>
      <w:r w:rsidRPr="00C17E83">
        <w:rPr>
          <w:color w:val="00000A"/>
          <w:sz w:val="24"/>
          <w:szCs w:val="24"/>
          <w:lang w:eastAsia="en-US"/>
        </w:rPr>
        <w:t>išorinis maitinimo šaltinis AC 230V 50Hz.</w:t>
      </w:r>
    </w:p>
    <w:p w14:paraId="5BD62794"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garsiakalbiui</w:t>
      </w:r>
      <w:r w:rsidRPr="00C17E83">
        <w:rPr>
          <w:bCs/>
          <w:color w:val="00000A"/>
          <w:sz w:val="24"/>
          <w:szCs w:val="24"/>
          <w:lang w:eastAsia="en-US"/>
        </w:rPr>
        <w:t xml:space="preserve">: </w:t>
      </w:r>
      <w:r w:rsidRPr="00C17E83">
        <w:rPr>
          <w:color w:val="00000A"/>
          <w:sz w:val="24"/>
          <w:szCs w:val="24"/>
          <w:lang w:eastAsia="en-US"/>
        </w:rPr>
        <w:t>integruotas vienalaikio dvipusio ryšio garsiakalbis.</w:t>
      </w:r>
    </w:p>
    <w:p w14:paraId="41B931B5"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mygtukams</w:t>
      </w:r>
      <w:r w:rsidRPr="00C17E83">
        <w:rPr>
          <w:bCs/>
          <w:color w:val="00000A"/>
          <w:sz w:val="24"/>
          <w:szCs w:val="24"/>
          <w:lang w:eastAsia="en-US"/>
        </w:rPr>
        <w:t xml:space="preserve">: </w:t>
      </w:r>
    </w:p>
    <w:p w14:paraId="78B4B787"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ne mažiau kaip 4 programuojami funkcijų mygtukai, ne mažiau kaip 5 programuojami linijų mygtukai;</w:t>
      </w:r>
    </w:p>
    <w:p w14:paraId="47F1C0E3"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meniu valdymo mygtukai, leidžiantys keisti telefono nustatymus, peržiūrėti praleistus / gautus iškvietimus ir rinktus numerius, pasiekti balso paštą;</w:t>
      </w:r>
    </w:p>
    <w:p w14:paraId="20818E45"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garso reguliavimo mygtukas, leidžiantis nustatyti pokalbio ir skambučio garsumą.</w:t>
      </w:r>
    </w:p>
    <w:p w14:paraId="253BC3AF"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indikacijai</w:t>
      </w:r>
      <w:r w:rsidRPr="00C17E83">
        <w:rPr>
          <w:bCs/>
          <w:color w:val="00000A"/>
          <w:sz w:val="24"/>
          <w:szCs w:val="24"/>
          <w:lang w:eastAsia="en-US"/>
        </w:rPr>
        <w:t xml:space="preserve">: </w:t>
      </w:r>
      <w:r w:rsidRPr="00C17E83">
        <w:rPr>
          <w:color w:val="00000A"/>
          <w:sz w:val="24"/>
          <w:szCs w:val="24"/>
          <w:lang w:eastAsia="en-US"/>
        </w:rPr>
        <w:t>šviesinė, įspėjanti apie užlaikytą iškvietimą.</w:t>
      </w:r>
    </w:p>
    <w:p w14:paraId="00CEE985"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licencijai (jei reikalinga):</w:t>
      </w:r>
      <w:r w:rsidRPr="00C17E83">
        <w:rPr>
          <w:bCs/>
          <w:color w:val="00000A"/>
          <w:sz w:val="24"/>
          <w:szCs w:val="24"/>
          <w:lang w:eastAsia="en-US"/>
        </w:rPr>
        <w:t xml:space="preserve"> </w:t>
      </w:r>
      <w:r w:rsidRPr="00C17E83">
        <w:rPr>
          <w:color w:val="00000A"/>
          <w:sz w:val="24"/>
          <w:szCs w:val="24"/>
          <w:lang w:eastAsia="en-US"/>
        </w:rPr>
        <w:t>naudojimui su esama iškvietimų valdymo programine įranga (naudojamas įrenginys Cisco 4000 serijos integruotų paslaugų maršrutų parinktuvas).</w:t>
      </w:r>
    </w:p>
    <w:p w14:paraId="1CE137BC"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suderinamumui:</w:t>
      </w:r>
      <w:r w:rsidRPr="00C17E83">
        <w:rPr>
          <w:bCs/>
          <w:color w:val="00000A"/>
          <w:sz w:val="24"/>
          <w:szCs w:val="24"/>
          <w:lang w:eastAsia="en-US"/>
        </w:rPr>
        <w:t xml:space="preserve"> </w:t>
      </w:r>
      <w:r w:rsidRPr="00C17E83">
        <w:rPr>
          <w:color w:val="00000A"/>
          <w:sz w:val="24"/>
          <w:szCs w:val="24"/>
          <w:lang w:eastAsia="en-US"/>
        </w:rPr>
        <w:t>turi būti pilnai suderinamas su esama iškvietimų valdymo programine įranga (naudojamas įrenginys Cisco 4000 serijos integruotų paslaugų maršrutų parinktuvas).</w:t>
      </w:r>
    </w:p>
    <w:p w14:paraId="0723E56B"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 Reikalavimai standartų palaikymui Cisco 8851NR arba analogiškam telefono aparatui:</w:t>
      </w:r>
    </w:p>
    <w:p w14:paraId="0724E8BE"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IEEE 802.1Q standarto palaikymas prijungimo į tinklą prievade. „Power inline“ palaikymas arba IEEE 802.3af PoE technologijos palaikymas;</w:t>
      </w:r>
    </w:p>
    <w:p w14:paraId="2E0178F5"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G.711A, G.711µ, G.722, G.729A balso suspaudimo metodų palaikymas. XML technologijos palaikymas.</w:t>
      </w:r>
    </w:p>
    <w:p w14:paraId="098A2C7B"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tinklo ypatybių palaikymui:</w:t>
      </w:r>
    </w:p>
    <w:p w14:paraId="14D921DF"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Session Initiation Protocol (SIP) signalizavimui;</w:t>
      </w:r>
    </w:p>
    <w:p w14:paraId="68F5262A"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Session Description Protocol (SDP);</w:t>
      </w:r>
    </w:p>
    <w:p w14:paraId="1FC5F9A8"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IPv4 ir IPv6;</w:t>
      </w:r>
    </w:p>
    <w:p w14:paraId="09075C7B"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User Datagram Protocol (UDP);</w:t>
      </w:r>
    </w:p>
    <w:p w14:paraId="7A7381DE"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eastAsia="en-US"/>
        </w:rPr>
      </w:pPr>
      <w:r w:rsidRPr="00C17E83">
        <w:rPr>
          <w:color w:val="00000A"/>
          <w:sz w:val="24"/>
          <w:szCs w:val="24"/>
          <w:lang w:val="en-US" w:eastAsia="en-US"/>
        </w:rPr>
        <w:t xml:space="preserve">Dynamic Host Configuration Protocol (DHCP) </w:t>
      </w:r>
      <w:r w:rsidRPr="00C17E83">
        <w:rPr>
          <w:color w:val="00000A"/>
          <w:sz w:val="24"/>
          <w:szCs w:val="24"/>
          <w:lang w:eastAsia="en-US"/>
        </w:rPr>
        <w:t>klientų arba statiniui konfigūravimui;</w:t>
      </w:r>
    </w:p>
    <w:p w14:paraId="3C4A21C7"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Gratuitous Address Resolution Protocol (GARP);</w:t>
      </w:r>
    </w:p>
    <w:p w14:paraId="02FE9A26"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Domain Name System (DNS);</w:t>
      </w:r>
    </w:p>
    <w:p w14:paraId="7C6C68E3"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Trivial File Transfer Protocol (TFTP);</w:t>
      </w:r>
    </w:p>
    <w:p w14:paraId="6600B870" w14:textId="77777777" w:rsidR="00C17E83" w:rsidRPr="00C17E83" w:rsidRDefault="00C17E83" w:rsidP="00C17E83">
      <w:pPr>
        <w:numPr>
          <w:ilvl w:val="1"/>
          <w:numId w:val="13"/>
        </w:numPr>
        <w:tabs>
          <w:tab w:val="left" w:pos="1843"/>
          <w:tab w:val="left" w:pos="2552"/>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Secure Hypertext Transfer Protocol (HTTPS);</w:t>
      </w:r>
    </w:p>
    <w:p w14:paraId="44B087B7"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VLAN;</w:t>
      </w:r>
    </w:p>
    <w:p w14:paraId="435347F4"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Real-Time Transport Protocol (RTP);</w:t>
      </w:r>
    </w:p>
    <w:p w14:paraId="6CFC38A0"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Real-Time Control Protocol (RTCP);</w:t>
      </w:r>
    </w:p>
    <w:p w14:paraId="23153BED"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Cisco Peer-to-Peer Distribution Protocol (PPDP);</w:t>
      </w:r>
    </w:p>
    <w:p w14:paraId="00A8B8DC"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Cisco Discovery Protocol;</w:t>
      </w:r>
    </w:p>
    <w:p w14:paraId="63C88784"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val="en-US" w:eastAsia="en-US"/>
        </w:rPr>
      </w:pPr>
      <w:r w:rsidRPr="00C17E83">
        <w:rPr>
          <w:color w:val="00000A"/>
          <w:sz w:val="24"/>
          <w:szCs w:val="24"/>
          <w:lang w:val="en-US" w:eastAsia="en-US"/>
        </w:rPr>
        <w:t>LLDP (including LLDP-MED);</w:t>
      </w:r>
    </w:p>
    <w:p w14:paraId="1F03CA9E"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perjungiklių spartos automatinis nustatymas.</w:t>
      </w:r>
    </w:p>
    <w:p w14:paraId="6F80D168"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lastRenderedPageBreak/>
        <w:t>Reikalavimai audiokodavimui: privalo palaikyti G.711A, G.711µ, G.722, G.729A, Internet Low Bitrate Codec (iLBC) ir Internet Speech Audio Codec (iSAC) kodavimą.</w:t>
      </w:r>
    </w:p>
    <w:p w14:paraId="3BEE83F5" w14:textId="77777777" w:rsidR="00C17E83" w:rsidRPr="00C17E83" w:rsidRDefault="00C17E83" w:rsidP="00C17E83">
      <w:pPr>
        <w:numPr>
          <w:ilvl w:val="0"/>
          <w:numId w:val="13"/>
        </w:numPr>
        <w:tabs>
          <w:tab w:val="left" w:pos="1701"/>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klavišų išplėtimų moduliams: privalo palaikyti ne mažiau kaip 2 klavišų išplėtimų modulius.</w:t>
      </w:r>
    </w:p>
    <w:p w14:paraId="48492D8A" w14:textId="77777777" w:rsidR="00C17E83" w:rsidRPr="00C17E83" w:rsidRDefault="00C17E83" w:rsidP="00C17E83">
      <w:pPr>
        <w:numPr>
          <w:ilvl w:val="0"/>
          <w:numId w:val="13"/>
        </w:numPr>
        <w:tabs>
          <w:tab w:val="left" w:pos="1701"/>
          <w:tab w:val="left" w:pos="1985"/>
          <w:tab w:val="left" w:pos="2268"/>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Reikalavimai iškvietimų ypatybėms su Cisco 4000 serijos integruotų paslaugų maršrutų parinktuvais:</w:t>
      </w:r>
    </w:p>
    <w:p w14:paraId="3A64D150"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pliuso (+) ženklo rinkimas (angl. + Dialing);</w:t>
      </w:r>
    </w:p>
    <w:p w14:paraId="48BEBD28"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trumpasis rinkimas (angl. </w:t>
      </w:r>
      <w:r w:rsidRPr="00C17E83">
        <w:rPr>
          <w:color w:val="00000A"/>
          <w:sz w:val="24"/>
          <w:szCs w:val="24"/>
          <w:lang w:val="en-US" w:eastAsia="en-US"/>
        </w:rPr>
        <w:t>Abbreviated dialing</w:t>
      </w:r>
      <w:r w:rsidRPr="00C17E83">
        <w:rPr>
          <w:color w:val="00000A"/>
          <w:sz w:val="24"/>
          <w:szCs w:val="24"/>
          <w:lang w:eastAsia="en-US"/>
        </w:rPr>
        <w:t>);</w:t>
      </w:r>
    </w:p>
    <w:p w14:paraId="586B923A"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val="en-US" w:eastAsia="en-US"/>
        </w:rPr>
      </w:pPr>
      <w:r w:rsidRPr="00C17E83">
        <w:rPr>
          <w:color w:val="00000A"/>
          <w:sz w:val="24"/>
          <w:szCs w:val="24"/>
          <w:lang w:eastAsia="en-US"/>
        </w:rPr>
        <w:t xml:space="preserve">reguliuojami skambėjimo melodijų ir garso stiprumo lygiai (angl. </w:t>
      </w:r>
      <w:r w:rsidRPr="00C17E83">
        <w:rPr>
          <w:color w:val="00000A"/>
          <w:sz w:val="24"/>
          <w:szCs w:val="24"/>
          <w:lang w:val="en-US" w:eastAsia="en-US"/>
        </w:rPr>
        <w:t>Adjustable ring tones and volume levels);</w:t>
      </w:r>
    </w:p>
    <w:p w14:paraId="31D5AE16"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reguliuojamas ekrano šviesumas (angl. </w:t>
      </w:r>
      <w:r w:rsidRPr="00C17E83">
        <w:rPr>
          <w:color w:val="00000A"/>
          <w:sz w:val="24"/>
          <w:szCs w:val="24"/>
          <w:lang w:val="en-US" w:eastAsia="en-US"/>
        </w:rPr>
        <w:t>Adjustable display brightness</w:t>
      </w:r>
      <w:r w:rsidRPr="00C17E83">
        <w:rPr>
          <w:color w:val="00000A"/>
          <w:sz w:val="24"/>
          <w:szCs w:val="24"/>
          <w:lang w:eastAsia="en-US"/>
        </w:rPr>
        <w:t>);</w:t>
      </w:r>
    </w:p>
    <w:p w14:paraId="6D8454DC"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agento pasisveikinimas (angl. </w:t>
      </w:r>
      <w:r w:rsidRPr="00C17E83">
        <w:rPr>
          <w:color w:val="00000A"/>
          <w:sz w:val="24"/>
          <w:szCs w:val="24"/>
          <w:lang w:val="en-US" w:eastAsia="en-US"/>
        </w:rPr>
        <w:t>Agent greeting</w:t>
      </w:r>
      <w:r w:rsidRPr="00C17E83">
        <w:rPr>
          <w:color w:val="00000A"/>
          <w:sz w:val="24"/>
          <w:szCs w:val="24"/>
          <w:lang w:eastAsia="en-US"/>
        </w:rPr>
        <w:t>);</w:t>
      </w:r>
    </w:p>
    <w:p w14:paraId="08B87815"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automatinis atsakymas (angl. Auto-</w:t>
      </w:r>
      <w:r w:rsidRPr="00C17E83">
        <w:rPr>
          <w:color w:val="00000A"/>
          <w:sz w:val="24"/>
          <w:szCs w:val="24"/>
          <w:lang w:val="en-US" w:eastAsia="en-US"/>
        </w:rPr>
        <w:t>answer</w:t>
      </w:r>
      <w:r w:rsidRPr="00C17E83">
        <w:rPr>
          <w:color w:val="00000A"/>
          <w:sz w:val="24"/>
          <w:szCs w:val="24"/>
          <w:lang w:eastAsia="en-US"/>
        </w:rPr>
        <w:t>);</w:t>
      </w:r>
    </w:p>
    <w:p w14:paraId="27E3705B"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laisvų rankų įrangos automatinis aptikimas (angl. </w:t>
      </w:r>
      <w:r w:rsidRPr="00C17E83">
        <w:rPr>
          <w:color w:val="00000A"/>
          <w:sz w:val="24"/>
          <w:szCs w:val="24"/>
          <w:lang w:val="en-US" w:eastAsia="en-US"/>
        </w:rPr>
        <w:t>Auto-detection of headset</w:t>
      </w:r>
      <w:r w:rsidRPr="00C17E83">
        <w:rPr>
          <w:color w:val="00000A"/>
          <w:sz w:val="24"/>
          <w:szCs w:val="24"/>
          <w:lang w:eastAsia="en-US"/>
        </w:rPr>
        <w:t>);</w:t>
      </w:r>
    </w:p>
    <w:p w14:paraId="5B5A2BC6"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įsiterpimas į pokalbį (angl. cBarge);</w:t>
      </w:r>
    </w:p>
    <w:p w14:paraId="2D4E272B" w14:textId="77777777" w:rsidR="00C17E83" w:rsidRPr="00C17E83" w:rsidRDefault="00C17E83" w:rsidP="00C17E83">
      <w:pPr>
        <w:numPr>
          <w:ilvl w:val="1"/>
          <w:numId w:val="13"/>
        </w:numPr>
        <w:tabs>
          <w:tab w:val="left" w:pos="1843"/>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užimtumo indikatoriaus laukas (angl. Busy Lamp Field (BLF));</w:t>
      </w:r>
    </w:p>
    <w:p w14:paraId="2A41671A"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užimtumo indikatoriaus laukas iškvietimo perėmimas (angl. Busy Lamp Field (BLF) Pickup);</w:t>
      </w:r>
    </w:p>
    <w:p w14:paraId="2A1D190D"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užimtumo indikatoriaus lauko spartusis numerio rinkimas (angl. Busy Lamp Field (BLF) speed dial);</w:t>
      </w:r>
    </w:p>
    <w:p w14:paraId="3956E1F0"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priešpriešinis iškvietimas (atskambinimas) (angl. Callback);</w:t>
      </w:r>
    </w:p>
    <w:p w14:paraId="55268256"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iškvietimo peradresavimas (angl. Call forward);</w:t>
      </w:r>
    </w:p>
    <w:p w14:paraId="41630864"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iškvietimo peradresavimo pranešimas (angl. Call forward notification);</w:t>
      </w:r>
    </w:p>
    <w:p w14:paraId="0F45B46E"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iškvietimų filtras (angl. Call filter);</w:t>
      </w:r>
    </w:p>
    <w:p w14:paraId="00279A1C"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iškvietimų istorijos sąrašai (angl. Call history lists);</w:t>
      </w:r>
    </w:p>
    <w:p w14:paraId="0A4FD5DA"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iškvietimų nukėlimas (angl. Call park);</w:t>
      </w:r>
    </w:p>
    <w:p w14:paraId="33CBD015"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iškvietimų perėmimas (angl. Call pickup);</w:t>
      </w:r>
    </w:p>
    <w:p w14:paraId="2CFA8D36"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iškvietimų laikmatis (angl. Call timer);</w:t>
      </w:r>
    </w:p>
    <w:p w14:paraId="2308282C"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iškvietimo laukimas (angl. Call waiting);</w:t>
      </w:r>
    </w:p>
    <w:p w14:paraId="0AF9F020"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iškvietimo kontrolierius (angl. Call chaperone);</w:t>
      </w:r>
    </w:p>
    <w:p w14:paraId="317DA613"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kviečiančiojo abonento identifikatorius (angl. Caller ID);</w:t>
      </w:r>
    </w:p>
    <w:p w14:paraId="3C58E9B4"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bendrovės telefonų sąrašas (angl. Corporate directory);</w:t>
      </w:r>
    </w:p>
    <w:p w14:paraId="3A0A6277"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val="en-US" w:eastAsia="en-US"/>
        </w:rPr>
      </w:pPr>
      <w:r w:rsidRPr="00C17E83">
        <w:rPr>
          <w:color w:val="00000A"/>
          <w:sz w:val="24"/>
          <w:szCs w:val="24"/>
          <w:lang w:eastAsia="en-US"/>
        </w:rPr>
        <w:t xml:space="preserve">konferencija, įskaitant tradicinę prisijungimo ypatybę (angl. </w:t>
      </w:r>
      <w:r w:rsidRPr="00C17E83">
        <w:rPr>
          <w:color w:val="00000A"/>
          <w:sz w:val="24"/>
          <w:szCs w:val="24"/>
          <w:lang w:val="en-US" w:eastAsia="en-US"/>
        </w:rPr>
        <w:t>Conference, including traditional Join feature);</w:t>
      </w:r>
    </w:p>
    <w:p w14:paraId="3B7036B6"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val="en-US" w:eastAsia="en-US"/>
        </w:rPr>
      </w:pPr>
      <w:r w:rsidRPr="00C17E83">
        <w:rPr>
          <w:color w:val="00000A"/>
          <w:sz w:val="24"/>
          <w:szCs w:val="24"/>
          <w:lang w:eastAsia="en-US"/>
        </w:rPr>
        <w:t>kryžminis grupinis plėtinio judrumas (angl</w:t>
      </w:r>
      <w:r w:rsidRPr="00C17E83">
        <w:rPr>
          <w:color w:val="00000A"/>
          <w:sz w:val="24"/>
          <w:szCs w:val="24"/>
          <w:lang w:val="en-US" w:eastAsia="en-US"/>
        </w:rPr>
        <w:t>. Cross Cluster Extension Mobility (EMCC));</w:t>
      </w:r>
    </w:p>
    <w:p w14:paraId="5AEFC8E5"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tiesioginis iškvietimo persiuntimas (angl. Direct transfer);</w:t>
      </w:r>
    </w:p>
    <w:p w14:paraId="3BFADECB"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plėtinio judrumas (angl. Extension mobility);</w:t>
      </w:r>
    </w:p>
    <w:p w14:paraId="2241F747"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Sparčiojo numerio rinkimo paslauga (angl. Fast-dial service);</w:t>
      </w:r>
    </w:p>
    <w:p w14:paraId="57B816FD"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priverstiniai prieigos kodai ir kliento klausimo kodai (angl. Forced access codes and client matter codes);</w:t>
      </w:r>
    </w:p>
    <w:p w14:paraId="4C56CA97"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grupinis iškvietos perėmimas (angl. Group </w:t>
      </w:r>
      <w:r w:rsidRPr="00C17E83">
        <w:rPr>
          <w:color w:val="00000A"/>
          <w:sz w:val="24"/>
          <w:szCs w:val="24"/>
          <w:lang w:val="en-US" w:eastAsia="en-US"/>
        </w:rPr>
        <w:t>call pickup)</w:t>
      </w:r>
      <w:r w:rsidRPr="00C17E83">
        <w:rPr>
          <w:color w:val="00000A"/>
          <w:sz w:val="24"/>
          <w:szCs w:val="24"/>
          <w:lang w:eastAsia="en-US"/>
        </w:rPr>
        <w:t>;</w:t>
      </w:r>
    </w:p>
    <w:p w14:paraId="38A6E52A"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iškvietos užlaikymas (angl. </w:t>
      </w:r>
      <w:r w:rsidRPr="00C17E83">
        <w:rPr>
          <w:color w:val="00000A"/>
          <w:sz w:val="24"/>
          <w:szCs w:val="24"/>
          <w:lang w:val="en-US" w:eastAsia="en-US"/>
        </w:rPr>
        <w:t>Hold)</w:t>
      </w:r>
      <w:r w:rsidRPr="00C17E83">
        <w:rPr>
          <w:color w:val="00000A"/>
          <w:sz w:val="24"/>
          <w:szCs w:val="24"/>
          <w:lang w:eastAsia="en-US"/>
        </w:rPr>
        <w:t>;</w:t>
      </w:r>
    </w:p>
    <w:p w14:paraId="75B23BB8"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vidinio ryšio sistema (angl. </w:t>
      </w:r>
      <w:r w:rsidRPr="00C17E83">
        <w:rPr>
          <w:color w:val="00000A"/>
          <w:sz w:val="24"/>
          <w:szCs w:val="24"/>
          <w:lang w:val="en-US" w:eastAsia="en-US"/>
        </w:rPr>
        <w:t>Intercom)</w:t>
      </w:r>
      <w:r w:rsidRPr="00C17E83">
        <w:rPr>
          <w:color w:val="00000A"/>
          <w:sz w:val="24"/>
          <w:szCs w:val="24"/>
          <w:lang w:eastAsia="en-US"/>
        </w:rPr>
        <w:t>;</w:t>
      </w:r>
    </w:p>
    <w:p w14:paraId="51A9FC47"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tiesioginis nukreipimas (angl. Immediate divert);</w:t>
      </w:r>
    </w:p>
    <w:p w14:paraId="01400225"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kenkėjiško kviečiančiojo abonento identifikatorius (angl. Malicious-caller ID);</w:t>
      </w:r>
    </w:p>
    <w:p w14:paraId="0F9EEA76"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pranešimų laukimo indikatorius (angl</w:t>
      </w:r>
      <w:r w:rsidRPr="00C17E83">
        <w:rPr>
          <w:color w:val="00000A"/>
          <w:sz w:val="24"/>
          <w:szCs w:val="24"/>
          <w:lang w:val="en-US" w:eastAsia="en-US"/>
        </w:rPr>
        <w:t>. Message-waiting indicator</w:t>
      </w:r>
      <w:r w:rsidRPr="00C17E83">
        <w:rPr>
          <w:color w:val="00000A"/>
          <w:sz w:val="24"/>
          <w:szCs w:val="24"/>
          <w:lang w:eastAsia="en-US"/>
        </w:rPr>
        <w:t xml:space="preserve"> (MWI)); </w:t>
      </w:r>
    </w:p>
    <w:p w14:paraId="5E955A01"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„Susitikime“ konferencija (angl. Meet-me conference);</w:t>
      </w:r>
    </w:p>
    <w:p w14:paraId="22AAB2FE"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judrumas (angl. Mobility);</w:t>
      </w:r>
    </w:p>
    <w:p w14:paraId="09A1752C"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melodija užlaikius iškvietą (angl. Music on hold (MoH));</w:t>
      </w:r>
    </w:p>
    <w:p w14:paraId="1218C39F"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mikrofono išjungimas (angl. Mute);</w:t>
      </w:r>
    </w:p>
    <w:p w14:paraId="5B156BCC"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tinklo profiliai (automatiniai) (angl. Network profiles (automatic));</w:t>
      </w:r>
    </w:p>
    <w:p w14:paraId="5FD5646C"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lastRenderedPageBreak/>
        <w:t>savito iškvietimo tinkle ir ne tinkle (angl. On- and off-network distinctive ringing);</w:t>
      </w:r>
    </w:p>
    <w:p w14:paraId="187A71FB"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asmeninis telefonų sąrašas (angl. </w:t>
      </w:r>
      <w:r w:rsidRPr="00C17E83">
        <w:rPr>
          <w:color w:val="00000A"/>
          <w:sz w:val="24"/>
          <w:szCs w:val="24"/>
          <w:lang w:val="en-US" w:eastAsia="en-US"/>
        </w:rPr>
        <w:t>Personal directory</w:t>
      </w:r>
      <w:r w:rsidRPr="00C17E83">
        <w:rPr>
          <w:color w:val="00000A"/>
          <w:sz w:val="24"/>
          <w:szCs w:val="24"/>
          <w:lang w:eastAsia="en-US"/>
        </w:rPr>
        <w:t>);</w:t>
      </w:r>
    </w:p>
    <w:p w14:paraId="2C736F7E"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perėmimas (angl. PickUp);</w:t>
      </w:r>
    </w:p>
    <w:p w14:paraId="63890F49"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pirminis numerio rinkimas prieš siuntimą (angl. Predialing before sending);</w:t>
      </w:r>
    </w:p>
    <w:p w14:paraId="1C1C4D8C"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privatumas (angl. Privacy);</w:t>
      </w:r>
    </w:p>
    <w:p w14:paraId="04D7A82A"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privačiosios linijos automatinis iškvietimas skambučiu (angl. Private Line Automated Ringdown (PLAR));</w:t>
      </w:r>
    </w:p>
    <w:p w14:paraId="605AFE7D"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kartotinis iškvietimo rinkimas (angl. Redial);</w:t>
      </w:r>
    </w:p>
    <w:p w14:paraId="1DE1FA32"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skambėjimo melodija atsiradus linijai (angl. Ring tone per line appearance);</w:t>
      </w:r>
    </w:p>
    <w:p w14:paraId="01482284"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val="en-US" w:eastAsia="en-US"/>
        </w:rPr>
      </w:pPr>
      <w:r w:rsidRPr="00C17E83">
        <w:rPr>
          <w:color w:val="00000A"/>
          <w:sz w:val="24"/>
          <w:szCs w:val="24"/>
          <w:lang w:eastAsia="en-US"/>
        </w:rPr>
        <w:t xml:space="preserve">universaliojo ištekliaus adreso paslauga (angl. </w:t>
      </w:r>
      <w:r w:rsidRPr="00C17E83">
        <w:rPr>
          <w:color w:val="00000A"/>
          <w:sz w:val="24"/>
          <w:szCs w:val="24"/>
          <w:lang w:val="en-US" w:eastAsia="en-US"/>
        </w:rPr>
        <w:t>Service Uniform Resource Locator (URL));</w:t>
      </w:r>
    </w:p>
    <w:p w14:paraId="4760C6F8"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paskirstančioji linija (angl. Shared line);</w:t>
      </w:r>
    </w:p>
    <w:p w14:paraId="66BDE798"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 xml:space="preserve">tylus stebėjimas ir įrašymas (angl. </w:t>
      </w:r>
      <w:r w:rsidRPr="00C17E83">
        <w:rPr>
          <w:color w:val="00000A"/>
          <w:sz w:val="24"/>
          <w:szCs w:val="24"/>
          <w:lang w:val="en-US" w:eastAsia="en-US"/>
        </w:rPr>
        <w:t>Silent monitoring and recording</w:t>
      </w:r>
      <w:r w:rsidRPr="00C17E83">
        <w:rPr>
          <w:color w:val="00000A"/>
          <w:sz w:val="24"/>
          <w:szCs w:val="24"/>
          <w:lang w:eastAsia="en-US"/>
        </w:rPr>
        <w:t>);</w:t>
      </w:r>
    </w:p>
    <w:p w14:paraId="1E6A8CCF"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spartusis numerio rinkimas (angl. Speed dial);</w:t>
      </w:r>
    </w:p>
    <w:p w14:paraId="78A8ABD3"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laiko ir datos vaizdavimas (angl. Time and date display);</w:t>
      </w:r>
    </w:p>
    <w:p w14:paraId="79D4BA8E"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iškvietimo persiuntimas (angl. Transfer);</w:t>
      </w:r>
    </w:p>
    <w:p w14:paraId="7105D1FE"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universaliojo ištekliaus identifikatoriaus numerio rinkimas (angl. Uniform Resource Identifier (URI) dialing);</w:t>
      </w:r>
    </w:p>
    <w:p w14:paraId="0755F995"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regimas balso paštas (angl. Visual voice mail);</w:t>
      </w:r>
    </w:p>
    <w:p w14:paraId="085489CC"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balso paštas (angl. Voice mail);</w:t>
      </w:r>
    </w:p>
    <w:p w14:paraId="2E370138" w14:textId="77777777" w:rsidR="00C17E83" w:rsidRPr="00C17E83" w:rsidRDefault="00C17E83" w:rsidP="00C17E83">
      <w:pPr>
        <w:numPr>
          <w:ilvl w:val="1"/>
          <w:numId w:val="13"/>
        </w:numPr>
        <w:tabs>
          <w:tab w:val="left" w:pos="1985"/>
        </w:tabs>
        <w:spacing w:after="0" w:line="240" w:lineRule="auto"/>
        <w:ind w:left="0" w:firstLine="1247"/>
        <w:contextualSpacing/>
        <w:jc w:val="both"/>
        <w:rPr>
          <w:bCs/>
          <w:color w:val="00000A"/>
          <w:sz w:val="24"/>
          <w:szCs w:val="24"/>
          <w:lang w:eastAsia="en-US"/>
        </w:rPr>
      </w:pPr>
      <w:r w:rsidRPr="00C17E83">
        <w:rPr>
          <w:color w:val="00000A"/>
          <w:sz w:val="24"/>
          <w:szCs w:val="24"/>
          <w:lang w:eastAsia="en-US"/>
        </w:rPr>
        <w:t>instruktavimas pakuždomis (angl. Whisper coaching).</w:t>
      </w:r>
    </w:p>
    <w:p w14:paraId="0F369E55" w14:textId="77777777" w:rsidR="00C17E83" w:rsidRPr="00C17E83" w:rsidRDefault="00C17E83" w:rsidP="00C17E83">
      <w:pPr>
        <w:spacing w:after="0" w:line="240" w:lineRule="auto"/>
        <w:ind w:left="0" w:firstLine="0"/>
        <w:jc w:val="both"/>
        <w:rPr>
          <w:bCs/>
          <w:color w:val="auto"/>
          <w:sz w:val="24"/>
          <w:szCs w:val="24"/>
          <w:lang w:eastAsia="en-US"/>
        </w:rPr>
      </w:pPr>
    </w:p>
    <w:p w14:paraId="3D64E651" w14:textId="77777777" w:rsidR="00C17E83" w:rsidRPr="00C17E83" w:rsidRDefault="00C17E83" w:rsidP="00C17E83">
      <w:pPr>
        <w:autoSpaceDE w:val="0"/>
        <w:autoSpaceDN w:val="0"/>
        <w:adjustRightInd w:val="0"/>
        <w:spacing w:after="0" w:line="240" w:lineRule="auto"/>
        <w:ind w:left="0" w:firstLine="0"/>
        <w:jc w:val="center"/>
        <w:rPr>
          <w:bCs/>
          <w:color w:val="auto"/>
          <w:sz w:val="24"/>
          <w:szCs w:val="24"/>
        </w:rPr>
      </w:pPr>
      <w:r w:rsidRPr="00C17E83">
        <w:rPr>
          <w:bCs/>
          <w:color w:val="auto"/>
          <w:sz w:val="24"/>
          <w:szCs w:val="24"/>
        </w:rPr>
        <w:t>_____________________________________________________________</w:t>
      </w:r>
    </w:p>
    <w:p w14:paraId="01ED16FC" w14:textId="41E175F9" w:rsidR="0086460F" w:rsidRPr="009A21C7" w:rsidRDefault="0086460F" w:rsidP="00C17E83">
      <w:pPr>
        <w:spacing w:after="0" w:line="240" w:lineRule="auto"/>
        <w:ind w:left="0" w:firstLine="0"/>
        <w:jc w:val="center"/>
        <w:rPr>
          <w:b/>
          <w:bCs/>
          <w:sz w:val="24"/>
          <w:szCs w:val="24"/>
        </w:rPr>
      </w:pPr>
      <w:bookmarkStart w:id="1" w:name="_GoBack"/>
      <w:bookmarkEnd w:id="1"/>
    </w:p>
    <w:sectPr w:rsidR="0086460F" w:rsidRPr="009A21C7" w:rsidSect="0096357F">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2A30B" w14:textId="77777777" w:rsidR="001350A6" w:rsidRDefault="001350A6" w:rsidP="00C11225">
      <w:pPr>
        <w:spacing w:after="0" w:line="240" w:lineRule="auto"/>
      </w:pPr>
      <w:r>
        <w:separator/>
      </w:r>
    </w:p>
  </w:endnote>
  <w:endnote w:type="continuationSeparator" w:id="0">
    <w:p w14:paraId="771BE454" w14:textId="77777777" w:rsidR="001350A6" w:rsidRDefault="001350A6"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AEFDD" w14:textId="77777777" w:rsidR="001350A6" w:rsidRDefault="001350A6" w:rsidP="00C11225">
      <w:pPr>
        <w:spacing w:after="0" w:line="240" w:lineRule="auto"/>
      </w:pPr>
      <w:r>
        <w:separator/>
      </w:r>
    </w:p>
  </w:footnote>
  <w:footnote w:type="continuationSeparator" w:id="0">
    <w:p w14:paraId="5C4D9235" w14:textId="77777777" w:rsidR="001350A6" w:rsidRDefault="001350A6"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3621"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8"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9"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2"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4"/>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5"/>
  </w:num>
  <w:num w:numId="7">
    <w:abstractNumId w:val="6"/>
  </w:num>
  <w:num w:numId="8">
    <w:abstractNumId w:val="7"/>
  </w:num>
  <w:num w:numId="9">
    <w:abstractNumId w:val="11"/>
  </w:num>
  <w:num w:numId="10">
    <w:abstractNumId w:val="3"/>
  </w:num>
  <w:num w:numId="11">
    <w:abstractNumId w:val="8"/>
  </w:num>
  <w:num w:numId="12">
    <w:abstractNumId w:val="12"/>
  </w:num>
  <w:num w:numId="13">
    <w:abstractNumId w:val="1"/>
  </w:num>
  <w:num w:numId="14">
    <w:abstractNumId w:val="1"/>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
    <w:lvlOverride w:ilvl="0">
      <w:lvl w:ilvl="0">
        <w:start w:val="1"/>
        <w:numFmt w:val="decimal"/>
        <w:suff w:val="space"/>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6DD8"/>
    <w:rsid w:val="000C7081"/>
    <w:rsid w:val="000D62B9"/>
    <w:rsid w:val="000D6B58"/>
    <w:rsid w:val="000E453C"/>
    <w:rsid w:val="000F752B"/>
    <w:rsid w:val="00104FF0"/>
    <w:rsid w:val="00124A52"/>
    <w:rsid w:val="00131E57"/>
    <w:rsid w:val="00133FF7"/>
    <w:rsid w:val="001350A6"/>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11AA"/>
    <w:rsid w:val="00454392"/>
    <w:rsid w:val="00482DA0"/>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3DE7"/>
    <w:rsid w:val="0071599D"/>
    <w:rsid w:val="00716379"/>
    <w:rsid w:val="0072562D"/>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45699"/>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6357F"/>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17E83"/>
    <w:rsid w:val="00C217A7"/>
    <w:rsid w:val="00C25860"/>
    <w:rsid w:val="00C26EE6"/>
    <w:rsid w:val="00C401DE"/>
    <w:rsid w:val="00C4770B"/>
    <w:rsid w:val="00C529E4"/>
    <w:rsid w:val="00C545AC"/>
    <w:rsid w:val="00C56B39"/>
    <w:rsid w:val="00C5784A"/>
    <w:rsid w:val="00C605A8"/>
    <w:rsid w:val="00C633C0"/>
    <w:rsid w:val="00C71E73"/>
    <w:rsid w:val="00C92DAB"/>
    <w:rsid w:val="00C95642"/>
    <w:rsid w:val="00CC427F"/>
    <w:rsid w:val="00CD7701"/>
    <w:rsid w:val="00CE021E"/>
    <w:rsid w:val="00D15624"/>
    <w:rsid w:val="00D174F7"/>
    <w:rsid w:val="00D52BE9"/>
    <w:rsid w:val="00D62F50"/>
    <w:rsid w:val="00D86D93"/>
    <w:rsid w:val="00DB33F1"/>
    <w:rsid w:val="00DB3E37"/>
    <w:rsid w:val="00DB47AF"/>
    <w:rsid w:val="00DC4B33"/>
    <w:rsid w:val="00DD2C86"/>
    <w:rsid w:val="00DE1C8A"/>
    <w:rsid w:val="00DF6CE5"/>
    <w:rsid w:val="00E007BF"/>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c/en/us/products/collateral/collaboration-endpoints/unified-ip-phone-8800-series/ip-phone-8851nr-d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sco.com/c/en/us/products/routers/4000-series-integrated-services-routers-isr/index.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822C-82D5-4DE5-846A-C661FD19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17</cp:revision>
  <cp:lastPrinted>2023-09-25T12:25:00Z</cp:lastPrinted>
  <dcterms:created xsi:type="dcterms:W3CDTF">2024-02-12T11:52:00Z</dcterms:created>
  <dcterms:modified xsi:type="dcterms:W3CDTF">2025-07-04T08:13:00Z</dcterms:modified>
</cp:coreProperties>
</file>