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5E05E" w14:textId="1A36E3BE" w:rsidR="00B15A23" w:rsidRPr="00CA06F0" w:rsidRDefault="0058185A" w:rsidP="00B15A23">
      <w:pPr>
        <w:pStyle w:val="Body2"/>
        <w:jc w:val="right"/>
        <w:rPr>
          <w:lang w:val="pt-BR"/>
        </w:rPr>
      </w:pPr>
      <w:r>
        <w:rPr>
          <w:lang w:val="lt-LT"/>
        </w:rPr>
        <w:t>Pirkimo</w:t>
      </w:r>
      <w:r w:rsidR="00B15A23" w:rsidRPr="00520670">
        <w:rPr>
          <w:lang w:val="lt-LT"/>
        </w:rPr>
        <w:t xml:space="preserve"> sąlygų</w:t>
      </w:r>
      <w:r w:rsidR="00B15A23" w:rsidRPr="00CA06F0">
        <w:rPr>
          <w:lang w:val="pt-BR"/>
        </w:rPr>
        <w:t xml:space="preserve"> </w:t>
      </w:r>
      <w:r w:rsidR="00CA06F0">
        <w:rPr>
          <w:lang w:val="pt-BR"/>
        </w:rPr>
        <w:t>6</w:t>
      </w:r>
      <w:r w:rsidR="00B15A23" w:rsidRPr="00CA06F0">
        <w:rPr>
          <w:lang w:val="pt-BR"/>
        </w:rPr>
        <w:t xml:space="preserve"> priedas</w:t>
      </w:r>
    </w:p>
    <w:p w14:paraId="4A1D6BEF" w14:textId="77777777" w:rsidR="00B15A23" w:rsidRPr="00CA06F0" w:rsidRDefault="00B15A23" w:rsidP="00B15A23">
      <w:pPr>
        <w:pStyle w:val="Body2"/>
        <w:rPr>
          <w:lang w:val="pt-BR"/>
        </w:rPr>
      </w:pPr>
    </w:p>
    <w:p w14:paraId="65C29E57" w14:textId="77777777" w:rsidR="00B15A23" w:rsidRPr="00CA06F0" w:rsidRDefault="00B15A23" w:rsidP="00B15A23">
      <w:pPr>
        <w:shd w:val="clear" w:color="auto" w:fill="FFFFFF"/>
        <w:jc w:val="right"/>
        <w:rPr>
          <w:b/>
          <w:bCs/>
          <w:color w:val="000000"/>
          <w:sz w:val="22"/>
          <w:szCs w:val="22"/>
          <w:lang w:val="pt-BR"/>
        </w:rPr>
      </w:pPr>
    </w:p>
    <w:p w14:paraId="76416CBC" w14:textId="77777777" w:rsidR="00B15A23" w:rsidRPr="004B2AF8" w:rsidRDefault="00B15A23" w:rsidP="00B15A23">
      <w:pPr>
        <w:ind w:right="-178"/>
        <w:jc w:val="center"/>
        <w:rPr>
          <w:sz w:val="22"/>
          <w:szCs w:val="22"/>
          <w:lang w:val="lt-LT"/>
        </w:rPr>
      </w:pPr>
      <w:r w:rsidRPr="004B2AF8">
        <w:rPr>
          <w:sz w:val="22"/>
          <w:szCs w:val="22"/>
          <w:lang w:val="lt-LT"/>
        </w:rPr>
        <w:t>Herbas arba prekių ženklas</w:t>
      </w:r>
    </w:p>
    <w:p w14:paraId="46F54F2C" w14:textId="77777777" w:rsidR="00B15A23" w:rsidRPr="004B2AF8" w:rsidRDefault="00B15A23" w:rsidP="00B15A23">
      <w:pPr>
        <w:ind w:right="-178"/>
        <w:jc w:val="center"/>
        <w:rPr>
          <w:sz w:val="22"/>
          <w:szCs w:val="22"/>
          <w:lang w:val="lt-LT"/>
        </w:rPr>
      </w:pPr>
    </w:p>
    <w:p w14:paraId="4BEB33F5" w14:textId="77777777" w:rsidR="00B15A23" w:rsidRPr="004B2AF8" w:rsidRDefault="00B15A23" w:rsidP="00B15A23">
      <w:pPr>
        <w:ind w:right="-178"/>
        <w:jc w:val="center"/>
        <w:rPr>
          <w:sz w:val="22"/>
          <w:szCs w:val="22"/>
          <w:lang w:val="lt-LT"/>
        </w:rPr>
      </w:pPr>
      <w:r w:rsidRPr="004B2AF8">
        <w:rPr>
          <w:sz w:val="22"/>
          <w:szCs w:val="22"/>
          <w:lang w:val="lt-LT"/>
        </w:rPr>
        <w:t>(Teikėjo pavadinimas)</w:t>
      </w:r>
    </w:p>
    <w:p w14:paraId="19352A34" w14:textId="77777777" w:rsidR="00B15A23" w:rsidRPr="004B2AF8" w:rsidRDefault="00B15A23" w:rsidP="00B15A23">
      <w:pPr>
        <w:ind w:right="-178"/>
        <w:jc w:val="center"/>
        <w:rPr>
          <w:sz w:val="22"/>
          <w:szCs w:val="22"/>
          <w:lang w:val="lt-LT"/>
        </w:rPr>
      </w:pPr>
    </w:p>
    <w:p w14:paraId="27A0CB75" w14:textId="77777777" w:rsidR="00B15A23" w:rsidRPr="004B2AF8" w:rsidRDefault="00B15A23" w:rsidP="00B15A23">
      <w:pPr>
        <w:ind w:right="-178"/>
        <w:jc w:val="center"/>
        <w:rPr>
          <w:sz w:val="22"/>
          <w:szCs w:val="22"/>
          <w:lang w:val="lt-LT"/>
        </w:rPr>
      </w:pPr>
      <w:r w:rsidRPr="004B2AF8">
        <w:rPr>
          <w:sz w:val="22"/>
          <w:szCs w:val="22"/>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AA14AE" w14:textId="77777777" w:rsidR="00B15A23" w:rsidRPr="004B2AF8" w:rsidRDefault="00B15A23" w:rsidP="00B15A23">
      <w:pPr>
        <w:ind w:right="-178"/>
        <w:jc w:val="center"/>
        <w:rPr>
          <w:sz w:val="22"/>
          <w:szCs w:val="22"/>
          <w:lang w:val="lt-LT"/>
        </w:rPr>
      </w:pPr>
    </w:p>
    <w:p w14:paraId="3DE8347F" w14:textId="77777777" w:rsidR="00B15A23" w:rsidRPr="004B2AF8" w:rsidRDefault="00B15A23" w:rsidP="00B15A23">
      <w:pPr>
        <w:jc w:val="center"/>
        <w:rPr>
          <w:b/>
          <w:bCs/>
          <w:sz w:val="22"/>
          <w:szCs w:val="22"/>
          <w:lang w:val="lt-LT"/>
        </w:rPr>
      </w:pPr>
    </w:p>
    <w:p w14:paraId="1032CB73" w14:textId="77777777" w:rsidR="00B15A23" w:rsidRPr="004B2AF8" w:rsidRDefault="00B15A23" w:rsidP="00B15A23">
      <w:pPr>
        <w:rPr>
          <w:sz w:val="22"/>
          <w:szCs w:val="22"/>
          <w:lang w:val="lt-LT"/>
        </w:rPr>
      </w:pPr>
      <w:r w:rsidRPr="004B2AF8">
        <w:rPr>
          <w:sz w:val="22"/>
          <w:szCs w:val="22"/>
          <w:lang w:val="lt-LT"/>
        </w:rPr>
        <w:t xml:space="preserve">Lietuvos Respublikos sveikatos apsaugos ministerijai  </w:t>
      </w:r>
    </w:p>
    <w:p w14:paraId="07B3B00E" w14:textId="77777777" w:rsidR="00B15A23" w:rsidRPr="004B2AF8" w:rsidRDefault="00B15A23" w:rsidP="00B15A23">
      <w:pPr>
        <w:spacing w:after="120"/>
        <w:jc w:val="center"/>
        <w:rPr>
          <w:b/>
          <w:bCs/>
          <w:sz w:val="22"/>
          <w:szCs w:val="22"/>
          <w:lang w:val="lt-LT"/>
        </w:rPr>
      </w:pPr>
    </w:p>
    <w:p w14:paraId="1375C22F" w14:textId="77777777" w:rsidR="00B15A23" w:rsidRPr="004B2AF8" w:rsidRDefault="00B15A23" w:rsidP="00B15A23">
      <w:pPr>
        <w:spacing w:after="120"/>
        <w:jc w:val="center"/>
        <w:rPr>
          <w:b/>
          <w:bCs/>
          <w:sz w:val="22"/>
          <w:szCs w:val="22"/>
          <w:lang w:val="lt-LT"/>
        </w:rPr>
      </w:pPr>
      <w:r w:rsidRPr="004B2AF8">
        <w:rPr>
          <w:b/>
          <w:bCs/>
          <w:sz w:val="22"/>
          <w:szCs w:val="22"/>
          <w:lang w:val="lt-LT"/>
        </w:rPr>
        <w:t>PASIŪLYMAS</w:t>
      </w:r>
    </w:p>
    <w:p w14:paraId="27A74849" w14:textId="77777777" w:rsidR="00B15A23" w:rsidRPr="004B2AF8" w:rsidRDefault="00B15A23" w:rsidP="00B15A23">
      <w:pPr>
        <w:jc w:val="center"/>
        <w:rPr>
          <w:b/>
          <w:sz w:val="22"/>
          <w:szCs w:val="22"/>
          <w:lang w:val="lt-LT" w:eastAsia="lt-LT"/>
        </w:rPr>
      </w:pPr>
      <w:r w:rsidRPr="004B2AF8">
        <w:rPr>
          <w:b/>
          <w:sz w:val="22"/>
          <w:szCs w:val="22"/>
          <w:lang w:val="lt-LT" w:eastAsia="lt-LT"/>
        </w:rPr>
        <w:t xml:space="preserve">DĖL </w:t>
      </w:r>
      <w:r w:rsidRPr="004B2AF8">
        <w:rPr>
          <w:b/>
          <w:bCs/>
          <w:sz w:val="22"/>
          <w:szCs w:val="22"/>
          <w:lang w:val="lt-LT" w:eastAsia="lt-LT"/>
        </w:rPr>
        <w:t xml:space="preserve">ELEKTRONINĖS INFORMACIJOS IŠ </w:t>
      </w:r>
      <w:r w:rsidRPr="004B2AF8">
        <w:rPr>
          <w:b/>
          <w:sz w:val="22"/>
          <w:szCs w:val="22"/>
          <w:lang w:val="lt-LT" w:eastAsia="lt-LT"/>
        </w:rPr>
        <w:t xml:space="preserve">VAISTŲ SĄVEIKŲ DUOMENŲ BAZĖS TEIKIMO </w:t>
      </w:r>
      <w:r w:rsidRPr="004B2AF8">
        <w:rPr>
          <w:b/>
          <w:sz w:val="22"/>
          <w:szCs w:val="22"/>
          <w:lang w:val="lt-LT"/>
        </w:rPr>
        <w:t>PASLAUGŲ VIEŠOJO PIRKIMO</w:t>
      </w:r>
    </w:p>
    <w:p w14:paraId="578CEFBC" w14:textId="77777777" w:rsidR="00B15A23" w:rsidRPr="004B2AF8" w:rsidRDefault="00B15A23" w:rsidP="00B15A23">
      <w:pPr>
        <w:shd w:val="clear" w:color="auto" w:fill="FFFFFF"/>
        <w:rPr>
          <w:sz w:val="22"/>
          <w:szCs w:val="22"/>
          <w:lang w:val="lt-LT"/>
        </w:rPr>
      </w:pPr>
    </w:p>
    <w:p w14:paraId="54D5E99F" w14:textId="77777777" w:rsidR="00B15A23" w:rsidRPr="004B2AF8" w:rsidRDefault="00B15A23" w:rsidP="00B15A23">
      <w:pPr>
        <w:shd w:val="clear" w:color="auto" w:fill="FFFFFF"/>
        <w:jc w:val="center"/>
        <w:rPr>
          <w:b/>
          <w:bCs/>
          <w:color w:val="000000"/>
          <w:sz w:val="22"/>
          <w:szCs w:val="22"/>
          <w:lang w:val="lt-LT"/>
        </w:rPr>
      </w:pPr>
      <w:r w:rsidRPr="004B2AF8">
        <w:rPr>
          <w:sz w:val="22"/>
          <w:szCs w:val="22"/>
          <w:lang w:val="lt-LT"/>
        </w:rPr>
        <w:t>____________</w:t>
      </w:r>
      <w:r w:rsidRPr="004B2AF8">
        <w:rPr>
          <w:b/>
          <w:bCs/>
          <w:color w:val="000000"/>
          <w:sz w:val="22"/>
          <w:szCs w:val="22"/>
          <w:lang w:val="lt-LT"/>
        </w:rPr>
        <w:t xml:space="preserve"> </w:t>
      </w:r>
    </w:p>
    <w:p w14:paraId="2D7048F0" w14:textId="77777777" w:rsidR="00B15A23" w:rsidRPr="004B2AF8" w:rsidRDefault="00B15A23" w:rsidP="00B15A23">
      <w:pPr>
        <w:shd w:val="clear" w:color="auto" w:fill="FFFFFF"/>
        <w:jc w:val="center"/>
        <w:rPr>
          <w:color w:val="000000"/>
          <w:sz w:val="22"/>
          <w:szCs w:val="22"/>
          <w:lang w:val="lt-LT"/>
        </w:rPr>
      </w:pPr>
      <w:r w:rsidRPr="004B2AF8">
        <w:rPr>
          <w:color w:val="000000"/>
          <w:sz w:val="22"/>
          <w:szCs w:val="22"/>
          <w:lang w:val="lt-LT"/>
        </w:rPr>
        <w:t>(Data)</w:t>
      </w:r>
    </w:p>
    <w:p w14:paraId="47AAE04D" w14:textId="77777777" w:rsidR="00B15A23" w:rsidRPr="004B2AF8" w:rsidRDefault="00B15A23" w:rsidP="00B15A23">
      <w:pPr>
        <w:shd w:val="clear" w:color="auto" w:fill="FFFFFF"/>
        <w:jc w:val="center"/>
        <w:rPr>
          <w:color w:val="000000"/>
          <w:sz w:val="22"/>
          <w:szCs w:val="22"/>
          <w:lang w:val="lt-LT"/>
        </w:rPr>
      </w:pPr>
      <w:r w:rsidRPr="004B2AF8">
        <w:rPr>
          <w:color w:val="000000"/>
          <w:sz w:val="22"/>
          <w:szCs w:val="22"/>
          <w:lang w:val="lt-LT"/>
        </w:rPr>
        <w:t>_____________</w:t>
      </w:r>
    </w:p>
    <w:p w14:paraId="016BBDE6" w14:textId="77777777" w:rsidR="00B15A23" w:rsidRPr="004B2AF8" w:rsidRDefault="00B15A23" w:rsidP="00B15A23">
      <w:pPr>
        <w:shd w:val="clear" w:color="auto" w:fill="FFFFFF"/>
        <w:jc w:val="center"/>
        <w:rPr>
          <w:color w:val="000000"/>
          <w:sz w:val="22"/>
          <w:szCs w:val="22"/>
          <w:lang w:val="lt-LT"/>
        </w:rPr>
      </w:pPr>
      <w:r w:rsidRPr="004B2AF8">
        <w:rPr>
          <w:color w:val="000000"/>
          <w:sz w:val="22"/>
          <w:szCs w:val="22"/>
          <w:lang w:val="lt-LT"/>
        </w:rPr>
        <w:t>(Sudarymo vieta)</w:t>
      </w:r>
    </w:p>
    <w:p w14:paraId="1D60BE74" w14:textId="77777777" w:rsidR="00B15A23" w:rsidRPr="004B2AF8" w:rsidRDefault="00B15A23" w:rsidP="00B15A23">
      <w:pPr>
        <w:jc w:val="center"/>
        <w:rPr>
          <w:sz w:val="22"/>
          <w:szCs w:val="22"/>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848"/>
      </w:tblGrid>
      <w:tr w:rsidR="00B15A23" w:rsidRPr="0058185A" w14:paraId="00F6D52E" w14:textId="77777777" w:rsidTr="00FE059C">
        <w:tc>
          <w:tcPr>
            <w:tcW w:w="4928" w:type="dxa"/>
          </w:tcPr>
          <w:p w14:paraId="23772DD4" w14:textId="77777777" w:rsidR="00B15A23" w:rsidRPr="004B2AF8" w:rsidRDefault="00B15A23" w:rsidP="00FE059C">
            <w:pPr>
              <w:spacing w:after="60"/>
              <w:jc w:val="both"/>
              <w:rPr>
                <w:i/>
                <w:iCs/>
                <w:sz w:val="22"/>
                <w:szCs w:val="22"/>
                <w:lang w:val="lt-LT"/>
              </w:rPr>
            </w:pPr>
            <w:r w:rsidRPr="004B2AF8">
              <w:rPr>
                <w:sz w:val="22"/>
                <w:szCs w:val="22"/>
                <w:lang w:val="lt-LT"/>
              </w:rPr>
              <w:t xml:space="preserve">Dalyvio pavadinimas </w:t>
            </w:r>
            <w:r w:rsidRPr="004B2AF8">
              <w:rPr>
                <w:i/>
                <w:iCs/>
                <w:sz w:val="22"/>
                <w:szCs w:val="22"/>
                <w:lang w:val="lt-LT"/>
              </w:rPr>
              <w:t>/Jeigu dalyvauja ūkio subjektų grupė, surašomi visi dalyvių pavadinimai/</w:t>
            </w:r>
          </w:p>
        </w:tc>
        <w:tc>
          <w:tcPr>
            <w:tcW w:w="4848" w:type="dxa"/>
          </w:tcPr>
          <w:p w14:paraId="2E25DA26" w14:textId="77777777" w:rsidR="00B15A23" w:rsidRPr="004B2AF8" w:rsidRDefault="00B15A23" w:rsidP="00FE059C">
            <w:pPr>
              <w:jc w:val="both"/>
              <w:rPr>
                <w:sz w:val="22"/>
                <w:szCs w:val="22"/>
                <w:lang w:val="lt-LT"/>
              </w:rPr>
            </w:pPr>
          </w:p>
          <w:p w14:paraId="7D2EA181" w14:textId="77777777" w:rsidR="00B15A23" w:rsidRPr="004B2AF8" w:rsidRDefault="00B15A23" w:rsidP="00FE059C">
            <w:pPr>
              <w:jc w:val="both"/>
              <w:rPr>
                <w:sz w:val="22"/>
                <w:szCs w:val="22"/>
                <w:lang w:val="lt-LT"/>
              </w:rPr>
            </w:pPr>
          </w:p>
        </w:tc>
      </w:tr>
      <w:tr w:rsidR="00B15A23" w:rsidRPr="0058185A" w14:paraId="74B943E1" w14:textId="77777777" w:rsidTr="00FE059C">
        <w:tc>
          <w:tcPr>
            <w:tcW w:w="4928" w:type="dxa"/>
          </w:tcPr>
          <w:p w14:paraId="185CF299" w14:textId="77777777" w:rsidR="00B15A23" w:rsidRPr="004B2AF8" w:rsidRDefault="00B15A23" w:rsidP="00FE059C">
            <w:pPr>
              <w:spacing w:after="60"/>
              <w:jc w:val="both"/>
              <w:rPr>
                <w:sz w:val="22"/>
                <w:szCs w:val="22"/>
                <w:lang w:val="lt-LT"/>
              </w:rPr>
            </w:pPr>
            <w:r w:rsidRPr="004B2AF8">
              <w:rPr>
                <w:sz w:val="22"/>
                <w:szCs w:val="22"/>
                <w:lang w:val="lt-LT"/>
              </w:rPr>
              <w:t>Dalyvio adresas</w:t>
            </w:r>
            <w:r w:rsidRPr="004B2AF8">
              <w:rPr>
                <w:i/>
                <w:iCs/>
                <w:sz w:val="22"/>
                <w:szCs w:val="22"/>
                <w:lang w:val="lt-LT"/>
              </w:rPr>
              <w:t xml:space="preserve"> /Jeigu dalyvauja ūkio subjektų grupė, surašomi visi dalyvių adresai/</w:t>
            </w:r>
          </w:p>
        </w:tc>
        <w:tc>
          <w:tcPr>
            <w:tcW w:w="4848" w:type="dxa"/>
          </w:tcPr>
          <w:p w14:paraId="40D3837E" w14:textId="77777777" w:rsidR="00B15A23" w:rsidRPr="004B2AF8" w:rsidRDefault="00B15A23" w:rsidP="00FE059C">
            <w:pPr>
              <w:jc w:val="both"/>
              <w:rPr>
                <w:sz w:val="22"/>
                <w:szCs w:val="22"/>
                <w:lang w:val="lt-LT"/>
              </w:rPr>
            </w:pPr>
          </w:p>
          <w:p w14:paraId="0D6848B0" w14:textId="77777777" w:rsidR="00B15A23" w:rsidRPr="004B2AF8" w:rsidRDefault="00B15A23" w:rsidP="00FE059C">
            <w:pPr>
              <w:jc w:val="both"/>
              <w:rPr>
                <w:sz w:val="22"/>
                <w:szCs w:val="22"/>
                <w:lang w:val="lt-LT"/>
              </w:rPr>
            </w:pPr>
          </w:p>
        </w:tc>
      </w:tr>
      <w:tr w:rsidR="00B15A23" w:rsidRPr="0058185A" w14:paraId="39467B75" w14:textId="77777777" w:rsidTr="00FE059C">
        <w:tc>
          <w:tcPr>
            <w:tcW w:w="4928" w:type="dxa"/>
          </w:tcPr>
          <w:p w14:paraId="026DF492" w14:textId="77777777" w:rsidR="00B15A23" w:rsidRPr="004B2AF8" w:rsidRDefault="00B15A23" w:rsidP="00FE059C">
            <w:pPr>
              <w:spacing w:after="60"/>
              <w:jc w:val="both"/>
              <w:rPr>
                <w:sz w:val="22"/>
                <w:szCs w:val="22"/>
                <w:lang w:val="lt-LT"/>
              </w:rPr>
            </w:pPr>
            <w:r w:rsidRPr="004B2AF8">
              <w:rPr>
                <w:sz w:val="22"/>
                <w:szCs w:val="22"/>
                <w:lang w:val="lt-LT"/>
              </w:rPr>
              <w:t xml:space="preserve">Už pasiūlymą atsakingo asmens pareigos, vardas, pavardė, </w:t>
            </w:r>
          </w:p>
        </w:tc>
        <w:tc>
          <w:tcPr>
            <w:tcW w:w="4848" w:type="dxa"/>
          </w:tcPr>
          <w:p w14:paraId="4F4C32D2" w14:textId="77777777" w:rsidR="00B15A23" w:rsidRPr="004B2AF8" w:rsidRDefault="00B15A23" w:rsidP="00FE059C">
            <w:pPr>
              <w:jc w:val="both"/>
              <w:rPr>
                <w:sz w:val="22"/>
                <w:szCs w:val="22"/>
                <w:lang w:val="lt-LT"/>
              </w:rPr>
            </w:pPr>
          </w:p>
        </w:tc>
      </w:tr>
      <w:tr w:rsidR="00B15A23" w:rsidRPr="004B2AF8" w14:paraId="017C9ADC" w14:textId="77777777" w:rsidTr="00FE059C">
        <w:tc>
          <w:tcPr>
            <w:tcW w:w="4928" w:type="dxa"/>
          </w:tcPr>
          <w:p w14:paraId="5FFB07D3" w14:textId="77777777" w:rsidR="00B15A23" w:rsidRPr="004B2AF8" w:rsidRDefault="00B15A23" w:rsidP="00FE059C">
            <w:pPr>
              <w:spacing w:after="60"/>
              <w:jc w:val="both"/>
              <w:rPr>
                <w:sz w:val="22"/>
                <w:szCs w:val="22"/>
                <w:lang w:val="lt-LT"/>
              </w:rPr>
            </w:pPr>
            <w:r w:rsidRPr="004B2AF8">
              <w:rPr>
                <w:sz w:val="22"/>
                <w:szCs w:val="22"/>
                <w:lang w:val="lt-LT"/>
              </w:rPr>
              <w:t>Telefono numeris</w:t>
            </w:r>
          </w:p>
        </w:tc>
        <w:tc>
          <w:tcPr>
            <w:tcW w:w="4848" w:type="dxa"/>
          </w:tcPr>
          <w:p w14:paraId="3C681F11" w14:textId="77777777" w:rsidR="00B15A23" w:rsidRPr="004B2AF8" w:rsidRDefault="00B15A23" w:rsidP="00FE059C">
            <w:pPr>
              <w:jc w:val="both"/>
              <w:rPr>
                <w:sz w:val="22"/>
                <w:szCs w:val="22"/>
                <w:lang w:val="lt-LT"/>
              </w:rPr>
            </w:pPr>
          </w:p>
        </w:tc>
      </w:tr>
      <w:tr w:rsidR="00B15A23" w:rsidRPr="004B2AF8" w14:paraId="2C7A3884" w14:textId="77777777" w:rsidTr="00FE059C">
        <w:tc>
          <w:tcPr>
            <w:tcW w:w="4928" w:type="dxa"/>
          </w:tcPr>
          <w:p w14:paraId="1E952269" w14:textId="77777777" w:rsidR="00B15A23" w:rsidRPr="004B2AF8" w:rsidRDefault="00B15A23" w:rsidP="00FE059C">
            <w:pPr>
              <w:spacing w:after="60"/>
              <w:jc w:val="both"/>
              <w:rPr>
                <w:sz w:val="22"/>
                <w:szCs w:val="22"/>
                <w:lang w:val="lt-LT"/>
              </w:rPr>
            </w:pPr>
            <w:r w:rsidRPr="004B2AF8">
              <w:rPr>
                <w:sz w:val="22"/>
                <w:szCs w:val="22"/>
                <w:lang w:val="lt-LT"/>
              </w:rPr>
              <w:t>El. pašto adresas</w:t>
            </w:r>
          </w:p>
        </w:tc>
        <w:tc>
          <w:tcPr>
            <w:tcW w:w="4848" w:type="dxa"/>
          </w:tcPr>
          <w:p w14:paraId="5A55E68B" w14:textId="77777777" w:rsidR="00B15A23" w:rsidRPr="004B2AF8" w:rsidRDefault="00B15A23" w:rsidP="00FE059C">
            <w:pPr>
              <w:jc w:val="both"/>
              <w:rPr>
                <w:sz w:val="22"/>
                <w:szCs w:val="22"/>
                <w:lang w:val="lt-LT"/>
              </w:rPr>
            </w:pPr>
          </w:p>
        </w:tc>
      </w:tr>
    </w:tbl>
    <w:p w14:paraId="67D6E782" w14:textId="77777777" w:rsidR="00B15A23" w:rsidRPr="004B2AF8" w:rsidRDefault="00B15A23" w:rsidP="00B15A23">
      <w:pPr>
        <w:pStyle w:val="Betarp"/>
        <w:ind w:hanging="142"/>
        <w:rPr>
          <w:i/>
          <w:sz w:val="22"/>
          <w:szCs w:val="22"/>
        </w:rPr>
      </w:pPr>
    </w:p>
    <w:p w14:paraId="3A7C51F9" w14:textId="77777777" w:rsidR="00B15A23" w:rsidRPr="004B2AF8" w:rsidRDefault="00B15A23" w:rsidP="00B15A23">
      <w:pPr>
        <w:pStyle w:val="Betarp"/>
        <w:rPr>
          <w:i/>
          <w:sz w:val="22"/>
          <w:szCs w:val="22"/>
        </w:rPr>
      </w:pPr>
      <w:r w:rsidRPr="004B2AF8">
        <w:rPr>
          <w:i/>
          <w:sz w:val="22"/>
          <w:szCs w:val="22"/>
        </w:rPr>
        <w:t>Pastaba.  Pildoma, jei teikėjas ketina pasitelkti subteikėją (-</w:t>
      </w:r>
      <w:proofErr w:type="spellStart"/>
      <w:r w:rsidRPr="004B2AF8">
        <w:rPr>
          <w:i/>
          <w:sz w:val="22"/>
          <w:szCs w:val="22"/>
        </w:rPr>
        <w:t>us</w:t>
      </w:r>
      <w:proofErr w:type="spellEnd"/>
      <w:r w:rsidRPr="004B2AF8">
        <w:rPr>
          <w: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B15A23" w:rsidRPr="004B2AF8" w14:paraId="3AE9A465" w14:textId="77777777" w:rsidTr="00FE059C">
        <w:tc>
          <w:tcPr>
            <w:tcW w:w="4957" w:type="dxa"/>
          </w:tcPr>
          <w:p w14:paraId="4E619EF0" w14:textId="77777777" w:rsidR="00B15A23" w:rsidRPr="004B2AF8" w:rsidRDefault="00B15A23" w:rsidP="00FE059C">
            <w:pPr>
              <w:pStyle w:val="Betarp"/>
              <w:rPr>
                <w:sz w:val="22"/>
                <w:szCs w:val="22"/>
              </w:rPr>
            </w:pPr>
            <w:r w:rsidRPr="004B2AF8">
              <w:rPr>
                <w:sz w:val="22"/>
                <w:szCs w:val="22"/>
              </w:rPr>
              <w:t>Subteikėjo (-ų) pavadinimas (-ai)</w:t>
            </w:r>
          </w:p>
        </w:tc>
        <w:tc>
          <w:tcPr>
            <w:tcW w:w="4819" w:type="dxa"/>
          </w:tcPr>
          <w:p w14:paraId="121B4318" w14:textId="77777777" w:rsidR="00B15A23" w:rsidRPr="004B2AF8" w:rsidRDefault="00B15A23" w:rsidP="00FE059C">
            <w:pPr>
              <w:pStyle w:val="Betarp"/>
              <w:rPr>
                <w:sz w:val="22"/>
                <w:szCs w:val="22"/>
              </w:rPr>
            </w:pPr>
          </w:p>
        </w:tc>
      </w:tr>
      <w:tr w:rsidR="00B15A23" w:rsidRPr="004B2AF8" w14:paraId="13377ED3" w14:textId="77777777" w:rsidTr="00FE059C">
        <w:tc>
          <w:tcPr>
            <w:tcW w:w="4957" w:type="dxa"/>
          </w:tcPr>
          <w:p w14:paraId="305484C5" w14:textId="77777777" w:rsidR="00B15A23" w:rsidRPr="004B2AF8" w:rsidRDefault="00B15A23" w:rsidP="00FE059C">
            <w:pPr>
              <w:pStyle w:val="Betarp"/>
              <w:rPr>
                <w:sz w:val="22"/>
                <w:szCs w:val="22"/>
              </w:rPr>
            </w:pPr>
            <w:r w:rsidRPr="004B2AF8">
              <w:rPr>
                <w:sz w:val="22"/>
                <w:szCs w:val="22"/>
              </w:rPr>
              <w:t>Subteikėjo (-ų) adresas (-ai)</w:t>
            </w:r>
          </w:p>
        </w:tc>
        <w:tc>
          <w:tcPr>
            <w:tcW w:w="4819" w:type="dxa"/>
          </w:tcPr>
          <w:p w14:paraId="35763762" w14:textId="77777777" w:rsidR="00B15A23" w:rsidRPr="004B2AF8" w:rsidRDefault="00B15A23" w:rsidP="00FE059C">
            <w:pPr>
              <w:pStyle w:val="Betarp"/>
              <w:rPr>
                <w:sz w:val="22"/>
                <w:szCs w:val="22"/>
              </w:rPr>
            </w:pPr>
          </w:p>
        </w:tc>
      </w:tr>
      <w:tr w:rsidR="00B15A23" w:rsidRPr="0058185A" w14:paraId="13829A9A" w14:textId="77777777" w:rsidTr="00FE059C">
        <w:tc>
          <w:tcPr>
            <w:tcW w:w="4957" w:type="dxa"/>
          </w:tcPr>
          <w:p w14:paraId="53091E6C" w14:textId="77777777" w:rsidR="00B15A23" w:rsidRPr="004B2AF8" w:rsidRDefault="00B15A23" w:rsidP="00FE059C">
            <w:pPr>
              <w:pStyle w:val="Betarp"/>
              <w:rPr>
                <w:sz w:val="22"/>
                <w:szCs w:val="22"/>
              </w:rPr>
            </w:pPr>
            <w:r w:rsidRPr="004B2AF8">
              <w:rPr>
                <w:sz w:val="22"/>
                <w:szCs w:val="22"/>
              </w:rPr>
              <w:t>Įsipareigojimų dalis (procentais), kuriai ketinama pasitelkti subteikėją (-</w:t>
            </w:r>
            <w:proofErr w:type="spellStart"/>
            <w:r w:rsidRPr="004B2AF8">
              <w:rPr>
                <w:sz w:val="22"/>
                <w:szCs w:val="22"/>
              </w:rPr>
              <w:t>us</w:t>
            </w:r>
            <w:proofErr w:type="spellEnd"/>
            <w:r w:rsidRPr="004B2AF8">
              <w:rPr>
                <w:sz w:val="22"/>
                <w:szCs w:val="22"/>
              </w:rPr>
              <w:t>)</w:t>
            </w:r>
          </w:p>
        </w:tc>
        <w:tc>
          <w:tcPr>
            <w:tcW w:w="4819" w:type="dxa"/>
          </w:tcPr>
          <w:p w14:paraId="1FE0F0CD" w14:textId="77777777" w:rsidR="00B15A23" w:rsidRPr="004B2AF8" w:rsidRDefault="00B15A23" w:rsidP="00FE059C">
            <w:pPr>
              <w:pStyle w:val="Betarp"/>
              <w:rPr>
                <w:sz w:val="22"/>
                <w:szCs w:val="22"/>
              </w:rPr>
            </w:pPr>
          </w:p>
        </w:tc>
      </w:tr>
    </w:tbl>
    <w:p w14:paraId="1471CD48" w14:textId="77777777" w:rsidR="00B15A23" w:rsidRPr="004B2AF8" w:rsidRDefault="00B15A23" w:rsidP="00B15A23">
      <w:pPr>
        <w:widowControl w:val="0"/>
        <w:ind w:firstLine="567"/>
        <w:jc w:val="both"/>
        <w:rPr>
          <w:sz w:val="22"/>
          <w:szCs w:val="22"/>
          <w:lang w:val="lt-LT"/>
        </w:rPr>
      </w:pPr>
    </w:p>
    <w:p w14:paraId="6CDCF3A2" w14:textId="77777777" w:rsidR="00B15A23" w:rsidRPr="004B2AF8" w:rsidRDefault="00B15A23" w:rsidP="00B15A23">
      <w:pPr>
        <w:pStyle w:val="Betarp"/>
        <w:ind w:firstLine="567"/>
        <w:rPr>
          <w:sz w:val="22"/>
          <w:szCs w:val="22"/>
        </w:rPr>
      </w:pPr>
      <w:r w:rsidRPr="004B2AF8">
        <w:rPr>
          <w:sz w:val="22"/>
          <w:szCs w:val="22"/>
        </w:rPr>
        <w:t>1. Šiuo pasiūlymu pažymime, kad sutinkame su visomis pirkimo sąlygomis, nustatytomis:</w:t>
      </w:r>
    </w:p>
    <w:p w14:paraId="737B7BB2" w14:textId="77777777" w:rsidR="00B15A23" w:rsidRPr="004B2AF8" w:rsidRDefault="00B15A23" w:rsidP="00B15A23">
      <w:pPr>
        <w:pStyle w:val="Betarp"/>
        <w:ind w:right="-66" w:firstLine="567"/>
        <w:jc w:val="both"/>
        <w:rPr>
          <w:sz w:val="22"/>
          <w:szCs w:val="22"/>
        </w:rPr>
      </w:pPr>
      <w:r w:rsidRPr="004B2AF8">
        <w:rPr>
          <w:sz w:val="22"/>
          <w:szCs w:val="22"/>
        </w:rPr>
        <w:t xml:space="preserve">1) atviro konkurso skelbime, išspausdintame Centrinėje </w:t>
      </w:r>
      <w:hyperlink r:id="rId7" w:anchor="26z" w:history="1">
        <w:r w:rsidRPr="004B2AF8">
          <w:rPr>
            <w:sz w:val="22"/>
            <w:szCs w:val="22"/>
          </w:rPr>
          <w:t>viešųjų</w:t>
        </w:r>
      </w:hyperlink>
      <w:r w:rsidRPr="004B2AF8">
        <w:rPr>
          <w:sz w:val="22"/>
          <w:szCs w:val="22"/>
        </w:rPr>
        <w:t xml:space="preserve"> </w:t>
      </w:r>
      <w:hyperlink r:id="rId8" w:anchor="27z" w:history="1">
        <w:r w:rsidRPr="004B2AF8">
          <w:rPr>
            <w:sz w:val="22"/>
            <w:szCs w:val="22"/>
          </w:rPr>
          <w:t>pirkimų</w:t>
        </w:r>
      </w:hyperlink>
      <w:r w:rsidRPr="004B2AF8">
        <w:rPr>
          <w:sz w:val="22"/>
          <w:szCs w:val="22"/>
        </w:rPr>
        <w:t xml:space="preserve"> informacinėje sistemoje; </w:t>
      </w:r>
    </w:p>
    <w:p w14:paraId="63454097" w14:textId="77777777" w:rsidR="00B15A23" w:rsidRPr="004B2AF8" w:rsidRDefault="00B15A23" w:rsidP="00B15A23">
      <w:pPr>
        <w:pStyle w:val="Betarp"/>
        <w:ind w:right="-423" w:firstLine="567"/>
        <w:rPr>
          <w:sz w:val="22"/>
          <w:szCs w:val="22"/>
        </w:rPr>
      </w:pPr>
      <w:r w:rsidRPr="004B2AF8">
        <w:rPr>
          <w:sz w:val="22"/>
          <w:szCs w:val="22"/>
        </w:rPr>
        <w:t>2) atviro konkurso sąlygose;</w:t>
      </w:r>
    </w:p>
    <w:p w14:paraId="72CBD478" w14:textId="77777777" w:rsidR="00B15A23" w:rsidRPr="004B2AF8" w:rsidRDefault="00B15A23" w:rsidP="00B15A23">
      <w:pPr>
        <w:pStyle w:val="Betarp"/>
        <w:ind w:right="-423" w:firstLine="567"/>
        <w:rPr>
          <w:sz w:val="22"/>
          <w:szCs w:val="22"/>
        </w:rPr>
      </w:pPr>
      <w:r w:rsidRPr="004B2AF8">
        <w:rPr>
          <w:sz w:val="22"/>
          <w:szCs w:val="22"/>
        </w:rPr>
        <w:t>3) kituose pirkimo dokumentuose (jų paaiškinimuose, papildymuose).</w:t>
      </w:r>
    </w:p>
    <w:p w14:paraId="10A2E3DA" w14:textId="77777777" w:rsidR="00B15A23" w:rsidRPr="004B2AF8" w:rsidRDefault="00B15A23" w:rsidP="00B15A23">
      <w:pPr>
        <w:widowControl w:val="0"/>
        <w:ind w:right="-66" w:firstLine="567"/>
        <w:jc w:val="both"/>
        <w:rPr>
          <w:sz w:val="22"/>
          <w:szCs w:val="22"/>
          <w:lang w:val="lt-LT"/>
        </w:rPr>
      </w:pPr>
      <w:r w:rsidRPr="004B2AF8">
        <w:rPr>
          <w:sz w:val="22"/>
          <w:szCs w:val="22"/>
          <w:lang w:val="lt-LT"/>
        </w:rPr>
        <w:t>2. Pateikdamas CVP IS priemonėmis pasiūlymą, patvirtintu, kad dokumentų skaitmeninės kopijos ir elektroninėmis priemonėmis pateikti duomenys tikri.</w:t>
      </w:r>
    </w:p>
    <w:p w14:paraId="540BD72B" w14:textId="77777777" w:rsidR="00B15A23" w:rsidRPr="004B2AF8" w:rsidRDefault="00B15A23" w:rsidP="00B15A23">
      <w:pPr>
        <w:jc w:val="both"/>
        <w:rPr>
          <w:sz w:val="22"/>
          <w:szCs w:val="22"/>
          <w:lang w:val="lt-LT"/>
        </w:rPr>
      </w:pPr>
    </w:p>
    <w:p w14:paraId="654A7691" w14:textId="77777777" w:rsidR="00B15A23" w:rsidRPr="004B2AF8" w:rsidRDefault="00B15A23" w:rsidP="00B15A23">
      <w:pPr>
        <w:jc w:val="both"/>
        <w:rPr>
          <w:sz w:val="22"/>
          <w:szCs w:val="22"/>
          <w:lang w:val="lt-LT"/>
        </w:rPr>
      </w:pPr>
    </w:p>
    <w:p w14:paraId="74B392BB" w14:textId="77777777" w:rsidR="00B15A23" w:rsidRPr="004B2AF8" w:rsidRDefault="00B15A23" w:rsidP="00B15A23">
      <w:pPr>
        <w:jc w:val="both"/>
        <w:rPr>
          <w:sz w:val="22"/>
          <w:szCs w:val="22"/>
          <w:lang w:val="lt-LT"/>
        </w:rPr>
      </w:pPr>
    </w:p>
    <w:p w14:paraId="28110C04" w14:textId="77777777" w:rsidR="00B15A23" w:rsidRPr="004B2AF8" w:rsidRDefault="00B15A23" w:rsidP="00B15A23">
      <w:pPr>
        <w:jc w:val="both"/>
        <w:rPr>
          <w:sz w:val="22"/>
          <w:szCs w:val="22"/>
          <w:lang w:val="lt-LT"/>
        </w:rPr>
      </w:pPr>
    </w:p>
    <w:p w14:paraId="3106C780" w14:textId="77777777" w:rsidR="00B15A23" w:rsidRPr="004B2AF8" w:rsidRDefault="00B15A23" w:rsidP="00B15A23">
      <w:pPr>
        <w:jc w:val="both"/>
        <w:rPr>
          <w:sz w:val="22"/>
          <w:szCs w:val="22"/>
          <w:lang w:val="lt-LT"/>
        </w:rPr>
      </w:pPr>
    </w:p>
    <w:p w14:paraId="6C204F5E" w14:textId="0AE48CA1" w:rsidR="00B15A23" w:rsidRDefault="00B15A23" w:rsidP="00B15A23">
      <w:pPr>
        <w:jc w:val="both"/>
        <w:rPr>
          <w:sz w:val="22"/>
          <w:szCs w:val="22"/>
          <w:lang w:val="lt-LT"/>
        </w:rPr>
      </w:pPr>
    </w:p>
    <w:p w14:paraId="7CF3A8EB" w14:textId="77777777" w:rsidR="004B2AF8" w:rsidRPr="004B2AF8" w:rsidRDefault="004B2AF8" w:rsidP="00B15A23">
      <w:pPr>
        <w:jc w:val="both"/>
        <w:rPr>
          <w:sz w:val="22"/>
          <w:szCs w:val="22"/>
          <w:lang w:val="lt-LT"/>
        </w:rPr>
      </w:pPr>
    </w:p>
    <w:p w14:paraId="2E91A922" w14:textId="320DB42A" w:rsidR="00B15A23" w:rsidRDefault="00B15A23" w:rsidP="00B15A23">
      <w:pPr>
        <w:ind w:firstLine="567"/>
        <w:jc w:val="both"/>
        <w:rPr>
          <w:sz w:val="22"/>
          <w:szCs w:val="22"/>
          <w:lang w:val="lt-LT"/>
        </w:rPr>
      </w:pPr>
      <w:r w:rsidRPr="004B2AF8">
        <w:rPr>
          <w:sz w:val="22"/>
          <w:szCs w:val="22"/>
          <w:lang w:val="lt-LT"/>
        </w:rPr>
        <w:lastRenderedPageBreak/>
        <w:t>Mes siūlome šias paslaugas kurios visiškai atitinka konkurso sąlygose ir techninėje specifikacijoje nustatytus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819"/>
      </w:tblGrid>
      <w:tr w:rsidR="004B2AF8" w:rsidRPr="0058185A" w14:paraId="16A9F37D" w14:textId="77777777" w:rsidTr="004B2AF8">
        <w:trPr>
          <w:trHeight w:val="144"/>
        </w:trPr>
        <w:tc>
          <w:tcPr>
            <w:tcW w:w="704" w:type="dxa"/>
            <w:vAlign w:val="center"/>
          </w:tcPr>
          <w:p w14:paraId="52FF3DE7" w14:textId="77777777" w:rsidR="004B2AF8" w:rsidRPr="00A24856" w:rsidRDefault="004B2AF8" w:rsidP="004B2AF8">
            <w:pPr>
              <w:tabs>
                <w:tab w:val="left" w:pos="720"/>
                <w:tab w:val="left" w:pos="851"/>
                <w:tab w:val="left" w:pos="993"/>
                <w:tab w:val="left" w:pos="1260"/>
              </w:tabs>
              <w:suppressAutoHyphens/>
              <w:contextualSpacing/>
              <w:jc w:val="center"/>
              <w:rPr>
                <w:b/>
                <w:bCs/>
                <w:sz w:val="22"/>
                <w:szCs w:val="22"/>
                <w:lang w:val="lt-LT"/>
              </w:rPr>
            </w:pPr>
            <w:r w:rsidRPr="00A24856">
              <w:rPr>
                <w:b/>
                <w:bCs/>
                <w:sz w:val="22"/>
                <w:szCs w:val="22"/>
                <w:lang w:val="lt-LT"/>
              </w:rPr>
              <w:t>Eil. Nr.</w:t>
            </w:r>
          </w:p>
        </w:tc>
        <w:tc>
          <w:tcPr>
            <w:tcW w:w="4253" w:type="dxa"/>
            <w:vAlign w:val="center"/>
          </w:tcPr>
          <w:p w14:paraId="24F6B67D" w14:textId="77777777" w:rsidR="004B2AF8" w:rsidRPr="00A24856" w:rsidRDefault="004B2AF8" w:rsidP="004B2AF8">
            <w:pPr>
              <w:tabs>
                <w:tab w:val="left" w:pos="720"/>
                <w:tab w:val="left" w:pos="851"/>
                <w:tab w:val="left" w:pos="993"/>
                <w:tab w:val="left" w:pos="1260"/>
              </w:tabs>
              <w:suppressAutoHyphens/>
              <w:contextualSpacing/>
              <w:jc w:val="center"/>
              <w:rPr>
                <w:b/>
                <w:bCs/>
                <w:sz w:val="22"/>
                <w:szCs w:val="22"/>
                <w:lang w:val="lt-LT"/>
              </w:rPr>
            </w:pPr>
            <w:r w:rsidRPr="00A24856">
              <w:rPr>
                <w:b/>
                <w:bCs/>
                <w:sz w:val="22"/>
                <w:szCs w:val="22"/>
                <w:lang w:val="lt-LT"/>
              </w:rPr>
              <w:t>Reikalavimai pirkimo objektui</w:t>
            </w:r>
          </w:p>
        </w:tc>
        <w:tc>
          <w:tcPr>
            <w:tcW w:w="4819" w:type="dxa"/>
            <w:vAlign w:val="center"/>
          </w:tcPr>
          <w:p w14:paraId="27C39EA5" w14:textId="0FA6C47C" w:rsidR="004B2AF8" w:rsidRPr="004B2AF8" w:rsidRDefault="004B2AF8" w:rsidP="004B2AF8">
            <w:pPr>
              <w:tabs>
                <w:tab w:val="left" w:pos="720"/>
                <w:tab w:val="left" w:pos="851"/>
                <w:tab w:val="left" w:pos="993"/>
                <w:tab w:val="left" w:pos="1260"/>
              </w:tabs>
              <w:suppressAutoHyphens/>
              <w:contextualSpacing/>
              <w:jc w:val="center"/>
              <w:rPr>
                <w:sz w:val="22"/>
                <w:szCs w:val="22"/>
                <w:lang w:val="lt-LT"/>
              </w:rPr>
            </w:pPr>
            <w:r w:rsidRPr="004B2AF8">
              <w:rPr>
                <w:b/>
                <w:bCs/>
                <w:sz w:val="22"/>
                <w:szCs w:val="22"/>
                <w:lang w:val="lt-LT"/>
              </w:rPr>
              <w:t>Teikėjo siūlomos duomenų bazės parametras (teikėjas privalo užpildyti)</w:t>
            </w:r>
          </w:p>
        </w:tc>
      </w:tr>
      <w:tr w:rsidR="004B2AF8" w:rsidRPr="0058185A" w14:paraId="34D207FC" w14:textId="77777777" w:rsidTr="004B2AF8">
        <w:trPr>
          <w:trHeight w:val="144"/>
        </w:trPr>
        <w:tc>
          <w:tcPr>
            <w:tcW w:w="704" w:type="dxa"/>
          </w:tcPr>
          <w:p w14:paraId="10EECA32"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w:t>
            </w:r>
          </w:p>
        </w:tc>
        <w:tc>
          <w:tcPr>
            <w:tcW w:w="4253" w:type="dxa"/>
          </w:tcPr>
          <w:p w14:paraId="33CF9417" w14:textId="2B65E257" w:rsidR="004B2AF8" w:rsidRPr="0047751B" w:rsidRDefault="000266DB" w:rsidP="0047751B">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2"/>
              </w:tabs>
              <w:autoSpaceDE w:val="0"/>
              <w:autoSpaceDN w:val="0"/>
              <w:ind w:left="0"/>
              <w:contextualSpacing w:val="0"/>
              <w:jc w:val="both"/>
              <w:rPr>
                <w:rFonts w:eastAsia="Times New Roman"/>
                <w:szCs w:val="22"/>
                <w:bdr w:val="none" w:sz="0" w:space="0" w:color="auto"/>
                <w:lang w:val="lt-LT"/>
              </w:rPr>
            </w:pPr>
            <w:r w:rsidRPr="00A24856">
              <w:rPr>
                <w:sz w:val="22"/>
                <w:szCs w:val="22"/>
                <w:lang w:val="lt-LT"/>
              </w:rPr>
              <w:t xml:space="preserve">Vaistų sąveikų duomenų bazėje turi būti sukaupta </w:t>
            </w:r>
            <w:r w:rsidR="0047751B" w:rsidRPr="0047751B">
              <w:rPr>
                <w:rFonts w:eastAsia="Times New Roman"/>
                <w:szCs w:val="22"/>
                <w:bdr w:val="none" w:sz="0" w:space="0" w:color="auto"/>
                <w:lang w:val="lt-LT"/>
              </w:rPr>
              <w:t>informacijos ne mažiau kaip 28 tūkst. skirtingų vaistų sąveikų.</w:t>
            </w:r>
          </w:p>
        </w:tc>
        <w:tc>
          <w:tcPr>
            <w:tcW w:w="4819" w:type="dxa"/>
          </w:tcPr>
          <w:p w14:paraId="3D710B79"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p>
        </w:tc>
      </w:tr>
      <w:tr w:rsidR="004B2AF8" w:rsidRPr="0058185A" w14:paraId="29C1140F" w14:textId="77777777" w:rsidTr="004B2AF8">
        <w:trPr>
          <w:trHeight w:val="144"/>
        </w:trPr>
        <w:tc>
          <w:tcPr>
            <w:tcW w:w="704" w:type="dxa"/>
          </w:tcPr>
          <w:p w14:paraId="78891F04"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w:t>
            </w:r>
          </w:p>
        </w:tc>
        <w:tc>
          <w:tcPr>
            <w:tcW w:w="4253" w:type="dxa"/>
          </w:tcPr>
          <w:p w14:paraId="3F77DFCE" w14:textId="5D30B700"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Vaistų sąveikų duomenų bazėje turi būti sukaupta </w:t>
            </w:r>
            <w:r w:rsidR="001C5C64" w:rsidRPr="001C5C64">
              <w:rPr>
                <w:sz w:val="22"/>
                <w:szCs w:val="22"/>
                <w:lang w:val="lt-LT"/>
              </w:rPr>
              <w:t>informacijos ne mažiau kaip 18 tūkst. atvejų apie kliniškai reikšmingas nepageidaujamas reakcijas.</w:t>
            </w:r>
            <w:r w:rsidR="001C5C64">
              <w:rPr>
                <w:sz w:val="22"/>
                <w:szCs w:val="22"/>
                <w:lang w:val="lt-LT"/>
              </w:rPr>
              <w:t xml:space="preserve"> </w:t>
            </w:r>
          </w:p>
        </w:tc>
        <w:tc>
          <w:tcPr>
            <w:tcW w:w="4819" w:type="dxa"/>
          </w:tcPr>
          <w:p w14:paraId="74D1A558" w14:textId="77777777" w:rsidR="004B2AF8" w:rsidRPr="004B2AF8" w:rsidRDefault="004B2AF8" w:rsidP="001E351F">
            <w:pPr>
              <w:tabs>
                <w:tab w:val="left" w:pos="720"/>
                <w:tab w:val="left" w:pos="851"/>
                <w:tab w:val="left" w:pos="993"/>
                <w:tab w:val="left" w:pos="1260"/>
              </w:tabs>
              <w:suppressAutoHyphens/>
              <w:ind w:left="360"/>
              <w:contextualSpacing/>
              <w:rPr>
                <w:sz w:val="22"/>
                <w:szCs w:val="22"/>
                <w:lang w:val="lt-LT"/>
              </w:rPr>
            </w:pPr>
          </w:p>
        </w:tc>
      </w:tr>
      <w:tr w:rsidR="004B2AF8" w:rsidRPr="0058185A" w14:paraId="3EEB9DDD" w14:textId="77777777" w:rsidTr="004B2AF8">
        <w:trPr>
          <w:trHeight w:val="144"/>
        </w:trPr>
        <w:tc>
          <w:tcPr>
            <w:tcW w:w="704" w:type="dxa"/>
          </w:tcPr>
          <w:p w14:paraId="6F2B5D49"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3.</w:t>
            </w:r>
          </w:p>
        </w:tc>
        <w:tc>
          <w:tcPr>
            <w:tcW w:w="4253" w:type="dxa"/>
          </w:tcPr>
          <w:p w14:paraId="6DA6B18D" w14:textId="1AA66726" w:rsidR="004B2AF8" w:rsidRPr="000D09AF" w:rsidRDefault="000D09AF" w:rsidP="004B2AF8">
            <w:pPr>
              <w:tabs>
                <w:tab w:val="left" w:pos="720"/>
                <w:tab w:val="left" w:pos="851"/>
                <w:tab w:val="left" w:pos="993"/>
                <w:tab w:val="left" w:pos="1260"/>
              </w:tabs>
              <w:suppressAutoHyphens/>
              <w:contextualSpacing/>
              <w:jc w:val="both"/>
              <w:rPr>
                <w:sz w:val="22"/>
                <w:szCs w:val="22"/>
                <w:lang w:val="lt-LT"/>
              </w:rPr>
            </w:pPr>
            <w:r w:rsidRPr="000D09AF">
              <w:rPr>
                <w:sz w:val="22"/>
                <w:szCs w:val="22"/>
                <w:lang w:val="lt-LT"/>
              </w:rPr>
              <w:t xml:space="preserve">Informacija apie vaistus ir jų sąveikas duomenų bazėje turi </w:t>
            </w:r>
            <w:r w:rsidR="00A6380E">
              <w:rPr>
                <w:sz w:val="22"/>
                <w:szCs w:val="22"/>
                <w:lang w:val="lt-LT"/>
              </w:rPr>
              <w:t xml:space="preserve">būti </w:t>
            </w:r>
            <w:r w:rsidRPr="000D09AF">
              <w:rPr>
                <w:sz w:val="22"/>
                <w:szCs w:val="22"/>
                <w:lang w:val="lt-LT"/>
              </w:rPr>
              <w:t>periodiškai atnaujinama (ne rečiau kaip 1-ą kartą per ketvirtį).</w:t>
            </w:r>
          </w:p>
        </w:tc>
        <w:tc>
          <w:tcPr>
            <w:tcW w:w="4819" w:type="dxa"/>
          </w:tcPr>
          <w:p w14:paraId="2EF66E20" w14:textId="77777777" w:rsidR="004B2AF8" w:rsidRPr="004B2AF8" w:rsidRDefault="004B2AF8" w:rsidP="004B2AF8">
            <w:pPr>
              <w:tabs>
                <w:tab w:val="left" w:pos="720"/>
                <w:tab w:val="left" w:pos="851"/>
                <w:tab w:val="left" w:pos="993"/>
                <w:tab w:val="left" w:pos="1260"/>
              </w:tabs>
              <w:suppressAutoHyphens/>
              <w:ind w:left="360"/>
              <w:contextualSpacing/>
              <w:jc w:val="both"/>
              <w:rPr>
                <w:b/>
                <w:bCs/>
                <w:sz w:val="22"/>
                <w:szCs w:val="22"/>
                <w:lang w:val="lt-LT"/>
              </w:rPr>
            </w:pPr>
          </w:p>
        </w:tc>
      </w:tr>
      <w:tr w:rsidR="004B2AF8" w:rsidRPr="0058185A" w14:paraId="70B8E787" w14:textId="77777777" w:rsidTr="004B2AF8">
        <w:trPr>
          <w:trHeight w:val="144"/>
        </w:trPr>
        <w:tc>
          <w:tcPr>
            <w:tcW w:w="704" w:type="dxa"/>
          </w:tcPr>
          <w:p w14:paraId="7013F1C3"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4.</w:t>
            </w:r>
          </w:p>
        </w:tc>
        <w:tc>
          <w:tcPr>
            <w:tcW w:w="4253" w:type="dxa"/>
          </w:tcPr>
          <w:p w14:paraId="482EB4CF" w14:textId="699A3E74"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Vaistų sąveikos sudarytos, atnaujinamos ir plečiamos remiantis moksliškai pagrįstais įrodymais: įvertinus atskirus klinikinius atvejus, klinikinių tyrimų duomenis, sistemines apžvalgas, </w:t>
            </w:r>
            <w:proofErr w:type="spellStart"/>
            <w:r w:rsidRPr="00A24856">
              <w:rPr>
                <w:sz w:val="22"/>
                <w:szCs w:val="22"/>
                <w:lang w:val="lt-LT"/>
              </w:rPr>
              <w:t>metaanalizes</w:t>
            </w:r>
            <w:proofErr w:type="spellEnd"/>
            <w:r w:rsidRPr="00A24856">
              <w:rPr>
                <w:sz w:val="22"/>
                <w:szCs w:val="22"/>
                <w:lang w:val="lt-LT"/>
              </w:rPr>
              <w:t xml:space="preserve"> bei farmakologinio budrumo sistemose gaunamą informaciją.</w:t>
            </w:r>
          </w:p>
        </w:tc>
        <w:tc>
          <w:tcPr>
            <w:tcW w:w="4819" w:type="dxa"/>
          </w:tcPr>
          <w:p w14:paraId="42DB437D"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p>
        </w:tc>
      </w:tr>
      <w:tr w:rsidR="004B2AF8" w:rsidRPr="0058185A" w14:paraId="030C640F" w14:textId="77777777" w:rsidTr="004B2AF8">
        <w:trPr>
          <w:trHeight w:val="144"/>
        </w:trPr>
        <w:tc>
          <w:tcPr>
            <w:tcW w:w="704" w:type="dxa"/>
          </w:tcPr>
          <w:p w14:paraId="00970D13"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5.</w:t>
            </w:r>
          </w:p>
        </w:tc>
        <w:tc>
          <w:tcPr>
            <w:tcW w:w="4253" w:type="dxa"/>
          </w:tcPr>
          <w:p w14:paraId="3DDD3C16" w14:textId="34A332D2"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Vaistų sąveikos atvejams pateikiamas aprašymo dokumentacijos lygis, nusakantis remiantis kokiais įrodymais yra patvirtintas konkretus atvejis.</w:t>
            </w:r>
          </w:p>
        </w:tc>
        <w:tc>
          <w:tcPr>
            <w:tcW w:w="4819" w:type="dxa"/>
          </w:tcPr>
          <w:p w14:paraId="6B56FBF2"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4B2AF8" w:rsidRPr="0058185A" w14:paraId="38515BBA" w14:textId="77777777" w:rsidTr="004B2AF8">
        <w:trPr>
          <w:trHeight w:val="144"/>
        </w:trPr>
        <w:tc>
          <w:tcPr>
            <w:tcW w:w="704" w:type="dxa"/>
          </w:tcPr>
          <w:p w14:paraId="0D6751B8"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6.</w:t>
            </w:r>
          </w:p>
        </w:tc>
        <w:tc>
          <w:tcPr>
            <w:tcW w:w="4253" w:type="dxa"/>
          </w:tcPr>
          <w:p w14:paraId="4FB6B126" w14:textId="2DBE1B16"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Vaistų sąveikų duomenų bazėje įdiegta vaistų sąveikos klasifikacija pagal jos klinikinę reikšmę (GRADE arba lygiavertis klasifikatorius).</w:t>
            </w:r>
          </w:p>
        </w:tc>
        <w:tc>
          <w:tcPr>
            <w:tcW w:w="4819" w:type="dxa"/>
          </w:tcPr>
          <w:p w14:paraId="2EB6DD37" w14:textId="77777777" w:rsidR="004B2AF8" w:rsidRPr="004B2AF8" w:rsidRDefault="004B2AF8" w:rsidP="004B2AF8">
            <w:pPr>
              <w:tabs>
                <w:tab w:val="left" w:pos="720"/>
                <w:tab w:val="left" w:pos="851"/>
                <w:tab w:val="left" w:pos="993"/>
                <w:tab w:val="left" w:pos="1260"/>
              </w:tabs>
              <w:suppressAutoHyphens/>
              <w:ind w:left="720"/>
              <w:contextualSpacing/>
              <w:jc w:val="both"/>
              <w:rPr>
                <w:sz w:val="22"/>
                <w:szCs w:val="22"/>
                <w:lang w:val="lt-LT"/>
              </w:rPr>
            </w:pPr>
            <w:r w:rsidRPr="004B2AF8">
              <w:rPr>
                <w:sz w:val="22"/>
                <w:szCs w:val="22"/>
                <w:lang w:val="lt-LT"/>
              </w:rPr>
              <w:t xml:space="preserve"> </w:t>
            </w:r>
          </w:p>
        </w:tc>
      </w:tr>
      <w:tr w:rsidR="004B2AF8" w:rsidRPr="0058185A" w14:paraId="493FA30D" w14:textId="77777777" w:rsidTr="004B2AF8">
        <w:trPr>
          <w:trHeight w:val="144"/>
        </w:trPr>
        <w:tc>
          <w:tcPr>
            <w:tcW w:w="704" w:type="dxa"/>
          </w:tcPr>
          <w:p w14:paraId="2438B2C2"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7.</w:t>
            </w:r>
          </w:p>
        </w:tc>
        <w:tc>
          <w:tcPr>
            <w:tcW w:w="4253" w:type="dxa"/>
          </w:tcPr>
          <w:p w14:paraId="2E2E7B31" w14:textId="7D63FED5"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Vaistų sąveikų duomenų bazėje pateikiama klasifikuota informacija apie kliniškai reikšmingas nepageidaujamas reakcijas.  </w:t>
            </w:r>
          </w:p>
        </w:tc>
        <w:tc>
          <w:tcPr>
            <w:tcW w:w="4819" w:type="dxa"/>
          </w:tcPr>
          <w:p w14:paraId="4838E1EA"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p>
        </w:tc>
      </w:tr>
      <w:tr w:rsidR="004B2AF8" w:rsidRPr="0058185A" w14:paraId="213ECE3F" w14:textId="77777777" w:rsidTr="004B2AF8">
        <w:trPr>
          <w:trHeight w:val="144"/>
        </w:trPr>
        <w:tc>
          <w:tcPr>
            <w:tcW w:w="704" w:type="dxa"/>
          </w:tcPr>
          <w:p w14:paraId="295F09C8"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8.</w:t>
            </w:r>
          </w:p>
        </w:tc>
        <w:tc>
          <w:tcPr>
            <w:tcW w:w="4253" w:type="dxa"/>
          </w:tcPr>
          <w:p w14:paraId="3E071240" w14:textId="6AA16C7A" w:rsidR="004B2AF8" w:rsidRPr="00332A76" w:rsidRDefault="000266DB" w:rsidP="004B2AF8">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 xml:space="preserve">Yra įprastinės vaistų duomenų bazės duomenų pildymo veiklos procedūros aprašas (angl.: </w:t>
            </w:r>
            <w:proofErr w:type="spellStart"/>
            <w:r w:rsidRPr="00332A76">
              <w:rPr>
                <w:sz w:val="22"/>
                <w:szCs w:val="22"/>
                <w:lang w:val="lt-LT"/>
              </w:rPr>
              <w:t>standard</w:t>
            </w:r>
            <w:proofErr w:type="spellEnd"/>
            <w:r w:rsidRPr="00332A76">
              <w:rPr>
                <w:sz w:val="22"/>
                <w:szCs w:val="22"/>
                <w:lang w:val="lt-LT"/>
              </w:rPr>
              <w:t xml:space="preserve"> </w:t>
            </w:r>
            <w:proofErr w:type="spellStart"/>
            <w:r w:rsidRPr="00332A76">
              <w:rPr>
                <w:sz w:val="22"/>
                <w:szCs w:val="22"/>
                <w:lang w:val="lt-LT"/>
              </w:rPr>
              <w:t>operating</w:t>
            </w:r>
            <w:proofErr w:type="spellEnd"/>
            <w:r w:rsidRPr="00332A76">
              <w:rPr>
                <w:sz w:val="22"/>
                <w:szCs w:val="22"/>
                <w:lang w:val="lt-LT"/>
              </w:rPr>
              <w:t xml:space="preserve"> </w:t>
            </w:r>
            <w:proofErr w:type="spellStart"/>
            <w:r w:rsidRPr="00332A76">
              <w:rPr>
                <w:sz w:val="22"/>
                <w:szCs w:val="22"/>
                <w:lang w:val="lt-LT"/>
              </w:rPr>
              <w:t>procedure</w:t>
            </w:r>
            <w:proofErr w:type="spellEnd"/>
            <w:r w:rsidRPr="00332A76">
              <w:rPr>
                <w:sz w:val="22"/>
                <w:szCs w:val="22"/>
                <w:lang w:val="lt-LT"/>
              </w:rPr>
              <w:t xml:space="preserve"> </w:t>
            </w:r>
            <w:proofErr w:type="spellStart"/>
            <w:r w:rsidRPr="00332A76">
              <w:rPr>
                <w:sz w:val="22"/>
                <w:szCs w:val="22"/>
                <w:lang w:val="lt-LT"/>
              </w:rPr>
              <w:t>description</w:t>
            </w:r>
            <w:proofErr w:type="spellEnd"/>
            <w:r w:rsidRPr="00332A76">
              <w:rPr>
                <w:sz w:val="22"/>
                <w:szCs w:val="22"/>
                <w:lang w:val="lt-LT"/>
              </w:rPr>
              <w:t>).</w:t>
            </w:r>
          </w:p>
        </w:tc>
        <w:tc>
          <w:tcPr>
            <w:tcW w:w="4819" w:type="dxa"/>
          </w:tcPr>
          <w:p w14:paraId="3053FDDD"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p>
        </w:tc>
      </w:tr>
      <w:tr w:rsidR="004B2AF8" w:rsidRPr="0058185A" w14:paraId="3EEA044D" w14:textId="77777777" w:rsidTr="004B2AF8">
        <w:trPr>
          <w:trHeight w:val="144"/>
        </w:trPr>
        <w:tc>
          <w:tcPr>
            <w:tcW w:w="704" w:type="dxa"/>
          </w:tcPr>
          <w:p w14:paraId="017AFAE4"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9.</w:t>
            </w:r>
          </w:p>
        </w:tc>
        <w:tc>
          <w:tcPr>
            <w:tcW w:w="4253" w:type="dxa"/>
          </w:tcPr>
          <w:p w14:paraId="65F7B28D" w14:textId="000CAD71" w:rsidR="004B2AF8" w:rsidRPr="00332A76" w:rsidRDefault="000266DB" w:rsidP="004B2AF8">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 xml:space="preserve">Paslaugų teikėjo turimas įprastinės veiklos procedūros aprašas (angl.: </w:t>
            </w:r>
            <w:proofErr w:type="spellStart"/>
            <w:r w:rsidRPr="00332A76">
              <w:rPr>
                <w:sz w:val="22"/>
                <w:szCs w:val="22"/>
                <w:lang w:val="lt-LT"/>
              </w:rPr>
              <w:t>standard</w:t>
            </w:r>
            <w:proofErr w:type="spellEnd"/>
            <w:r w:rsidRPr="00332A76">
              <w:rPr>
                <w:sz w:val="22"/>
                <w:szCs w:val="22"/>
                <w:lang w:val="lt-LT"/>
              </w:rPr>
              <w:t xml:space="preserve"> </w:t>
            </w:r>
            <w:proofErr w:type="spellStart"/>
            <w:r w:rsidRPr="00332A76">
              <w:rPr>
                <w:sz w:val="22"/>
                <w:szCs w:val="22"/>
                <w:lang w:val="lt-LT"/>
              </w:rPr>
              <w:t>operating</w:t>
            </w:r>
            <w:proofErr w:type="spellEnd"/>
            <w:r w:rsidRPr="00332A76">
              <w:rPr>
                <w:sz w:val="22"/>
                <w:szCs w:val="22"/>
                <w:lang w:val="lt-LT"/>
              </w:rPr>
              <w:t xml:space="preserve"> </w:t>
            </w:r>
            <w:proofErr w:type="spellStart"/>
            <w:r w:rsidRPr="00332A76">
              <w:rPr>
                <w:sz w:val="22"/>
                <w:szCs w:val="22"/>
                <w:lang w:val="lt-LT"/>
              </w:rPr>
              <w:t>procedure</w:t>
            </w:r>
            <w:proofErr w:type="spellEnd"/>
            <w:r w:rsidRPr="00332A76">
              <w:rPr>
                <w:sz w:val="22"/>
                <w:szCs w:val="22"/>
                <w:lang w:val="lt-LT"/>
              </w:rPr>
              <w:t xml:space="preserve"> </w:t>
            </w:r>
            <w:proofErr w:type="spellStart"/>
            <w:r w:rsidRPr="00332A76">
              <w:rPr>
                <w:sz w:val="22"/>
                <w:szCs w:val="22"/>
                <w:lang w:val="lt-LT"/>
              </w:rPr>
              <w:t>description</w:t>
            </w:r>
            <w:proofErr w:type="spellEnd"/>
            <w:r w:rsidRPr="00332A76">
              <w:rPr>
                <w:sz w:val="22"/>
                <w:szCs w:val="22"/>
                <w:lang w:val="lt-LT"/>
              </w:rPr>
              <w:t>) aprašo vaistų sąveikos duomenų bazės duomenų atrinkimo, įvedimo, keitimo ir kitas tvarkymo operacijos bei taikomus tvarkymo principus.</w:t>
            </w:r>
          </w:p>
        </w:tc>
        <w:tc>
          <w:tcPr>
            <w:tcW w:w="4819" w:type="dxa"/>
          </w:tcPr>
          <w:p w14:paraId="6A89AE20"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4B2AF8" w:rsidRPr="0058185A" w14:paraId="0357DBF5" w14:textId="77777777" w:rsidTr="004B2AF8">
        <w:trPr>
          <w:trHeight w:val="144"/>
        </w:trPr>
        <w:tc>
          <w:tcPr>
            <w:tcW w:w="704" w:type="dxa"/>
          </w:tcPr>
          <w:p w14:paraId="32B3CF6C" w14:textId="77777777" w:rsidR="004B2AF8" w:rsidRPr="00A24856" w:rsidRDefault="004B2AF8" w:rsidP="004B2AF8">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10.</w:t>
            </w:r>
          </w:p>
        </w:tc>
        <w:tc>
          <w:tcPr>
            <w:tcW w:w="4253" w:type="dxa"/>
          </w:tcPr>
          <w:p w14:paraId="372926B8" w14:textId="3F47958F" w:rsidR="004B2AF8" w:rsidRPr="00A24856" w:rsidRDefault="000266DB" w:rsidP="004B2AF8">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Vaistų sąveikų duomenų bazėje turi būti naudojami Lietuvoje registruotų vaistų ir į jų sudėtį įeinančių veikliųjų medžiagų pavadinimai ir turi būti atnaujinami ne rečiau kaip vieną kartą per mėnesį</w:t>
            </w:r>
            <w:r w:rsidRPr="00CA06F0">
              <w:rPr>
                <w:sz w:val="22"/>
                <w:szCs w:val="22"/>
                <w:lang w:val="lt-LT"/>
              </w:rPr>
              <w:t>.</w:t>
            </w:r>
          </w:p>
        </w:tc>
        <w:tc>
          <w:tcPr>
            <w:tcW w:w="4819" w:type="dxa"/>
          </w:tcPr>
          <w:p w14:paraId="40BF3B6F" w14:textId="77777777" w:rsidR="004B2AF8" w:rsidRPr="004B2AF8" w:rsidRDefault="004B2AF8" w:rsidP="004B2AF8">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636E6A14" w14:textId="77777777" w:rsidTr="004B2AF8">
        <w:trPr>
          <w:trHeight w:val="144"/>
        </w:trPr>
        <w:tc>
          <w:tcPr>
            <w:tcW w:w="704" w:type="dxa"/>
          </w:tcPr>
          <w:p w14:paraId="5C9DF62E"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11.</w:t>
            </w:r>
          </w:p>
        </w:tc>
        <w:tc>
          <w:tcPr>
            <w:tcW w:w="4253" w:type="dxa"/>
          </w:tcPr>
          <w:p w14:paraId="32FA3B0C" w14:textId="77B1A75A"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Vaistų sąveikų analizės užklausa gali būti vykdoma vienu metu pateikiant ir vaistų pavadinimus ir veikliųjų medžiagų pavadinimus.</w:t>
            </w:r>
          </w:p>
        </w:tc>
        <w:tc>
          <w:tcPr>
            <w:tcW w:w="4819" w:type="dxa"/>
          </w:tcPr>
          <w:p w14:paraId="44B80A42"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3CB0E0F4" w14:textId="77777777" w:rsidTr="004B2AF8">
        <w:trPr>
          <w:trHeight w:val="1790"/>
        </w:trPr>
        <w:tc>
          <w:tcPr>
            <w:tcW w:w="704" w:type="dxa"/>
          </w:tcPr>
          <w:p w14:paraId="1DE874E2"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lastRenderedPageBreak/>
              <w:t>12.</w:t>
            </w:r>
          </w:p>
        </w:tc>
        <w:tc>
          <w:tcPr>
            <w:tcW w:w="4253" w:type="dxa"/>
          </w:tcPr>
          <w:p w14:paraId="79D8BFFD" w14:textId="2B495B38"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Vaistų sąveikų duomenų bazėje turi būti informacija apie ne mažiau kaip 2/3 Lietuvoje registruotų vaistų veikliųjų medžiagų sąveikas.</w:t>
            </w:r>
          </w:p>
        </w:tc>
        <w:tc>
          <w:tcPr>
            <w:tcW w:w="4819" w:type="dxa"/>
          </w:tcPr>
          <w:p w14:paraId="0B4A4E77"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464E308A" w14:textId="77777777" w:rsidTr="004B2AF8">
        <w:trPr>
          <w:trHeight w:val="527"/>
        </w:trPr>
        <w:tc>
          <w:tcPr>
            <w:tcW w:w="704" w:type="dxa"/>
          </w:tcPr>
          <w:p w14:paraId="68B2D38B"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13.</w:t>
            </w:r>
          </w:p>
        </w:tc>
        <w:tc>
          <w:tcPr>
            <w:tcW w:w="4253" w:type="dxa"/>
          </w:tcPr>
          <w:p w14:paraId="2F6A72B5" w14:textId="7F9FCDC8"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Vaistų sąveikų duomenų bazė turi būti pasiekiama per paslaugų teikėjo valdomą interneto svetainę. </w:t>
            </w:r>
            <w:r w:rsidRPr="00A24856">
              <w:rPr>
                <w:bCs/>
                <w:sz w:val="22"/>
                <w:szCs w:val="22"/>
                <w:lang w:val="lt-LT"/>
              </w:rPr>
              <w:t>Teikėjas kartu su pasiūlymu turi pateikti prisijungimą prie šios interneto svetainės.</w:t>
            </w:r>
          </w:p>
        </w:tc>
        <w:tc>
          <w:tcPr>
            <w:tcW w:w="4819" w:type="dxa"/>
          </w:tcPr>
          <w:p w14:paraId="21BF6338"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07FF7A32" w14:textId="77777777" w:rsidTr="004B2AF8">
        <w:trPr>
          <w:trHeight w:val="144"/>
        </w:trPr>
        <w:tc>
          <w:tcPr>
            <w:tcW w:w="704" w:type="dxa"/>
          </w:tcPr>
          <w:p w14:paraId="40A8E5C4"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14.</w:t>
            </w:r>
          </w:p>
        </w:tc>
        <w:tc>
          <w:tcPr>
            <w:tcW w:w="4253" w:type="dxa"/>
          </w:tcPr>
          <w:p w14:paraId="2A835C8F" w14:textId="1CB2C245"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 xml:space="preserve">Užklausa apie galimą vaistų sąveiką turi būti vykdoma naudojantis paslaugų teikėjo sukurta ir teikiama </w:t>
            </w:r>
            <w:proofErr w:type="spellStart"/>
            <w:r w:rsidRPr="00332A76">
              <w:rPr>
                <w:sz w:val="22"/>
                <w:szCs w:val="22"/>
                <w:lang w:val="lt-LT"/>
              </w:rPr>
              <w:t>saityno</w:t>
            </w:r>
            <w:proofErr w:type="spellEnd"/>
            <w:r w:rsidRPr="00332A76">
              <w:rPr>
                <w:sz w:val="22"/>
                <w:szCs w:val="22"/>
                <w:lang w:val="lt-LT"/>
              </w:rPr>
              <w:t xml:space="preserve"> paslauga.</w:t>
            </w:r>
          </w:p>
        </w:tc>
        <w:tc>
          <w:tcPr>
            <w:tcW w:w="4819" w:type="dxa"/>
          </w:tcPr>
          <w:p w14:paraId="0C8290F3"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69F41763" w14:textId="77777777" w:rsidTr="004B2AF8">
        <w:trPr>
          <w:trHeight w:val="144"/>
        </w:trPr>
        <w:tc>
          <w:tcPr>
            <w:tcW w:w="704" w:type="dxa"/>
          </w:tcPr>
          <w:p w14:paraId="6EFF8151"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15.</w:t>
            </w:r>
          </w:p>
        </w:tc>
        <w:tc>
          <w:tcPr>
            <w:tcW w:w="4253" w:type="dxa"/>
          </w:tcPr>
          <w:p w14:paraId="5B10E042" w14:textId="0CC8E092"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Užklausos apie galimą vaistų sąveiką (naudojant iki 10 vaistų ir/ar veikliųjų medžiagų pavadinimų), vykdomos per paslaugų teikėjo sukurtą </w:t>
            </w:r>
            <w:proofErr w:type="spellStart"/>
            <w:r w:rsidRPr="00A24856">
              <w:rPr>
                <w:sz w:val="22"/>
                <w:szCs w:val="22"/>
                <w:lang w:val="lt-LT"/>
              </w:rPr>
              <w:t>saityno</w:t>
            </w:r>
            <w:proofErr w:type="spellEnd"/>
            <w:r w:rsidRPr="00A24856">
              <w:rPr>
                <w:sz w:val="22"/>
                <w:szCs w:val="22"/>
                <w:lang w:val="lt-LT"/>
              </w:rPr>
              <w:t xml:space="preserve"> paslaugą, atsakymo vidutinė trukmė ne daugiau 100 </w:t>
            </w:r>
            <w:proofErr w:type="spellStart"/>
            <w:r w:rsidRPr="00A24856">
              <w:rPr>
                <w:sz w:val="22"/>
                <w:szCs w:val="22"/>
                <w:lang w:val="lt-LT"/>
              </w:rPr>
              <w:t>ms</w:t>
            </w:r>
            <w:proofErr w:type="spellEnd"/>
            <w:r w:rsidRPr="00A24856">
              <w:rPr>
                <w:sz w:val="22"/>
                <w:szCs w:val="22"/>
                <w:lang w:val="lt-LT"/>
              </w:rPr>
              <w:t>.</w:t>
            </w:r>
          </w:p>
        </w:tc>
        <w:tc>
          <w:tcPr>
            <w:tcW w:w="4819" w:type="dxa"/>
          </w:tcPr>
          <w:p w14:paraId="31782A1B"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1605E827" w14:textId="77777777" w:rsidTr="004B2AF8">
        <w:trPr>
          <w:trHeight w:val="530"/>
        </w:trPr>
        <w:tc>
          <w:tcPr>
            <w:tcW w:w="704" w:type="dxa"/>
          </w:tcPr>
          <w:p w14:paraId="5432190A"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16.</w:t>
            </w:r>
          </w:p>
        </w:tc>
        <w:tc>
          <w:tcPr>
            <w:tcW w:w="4253" w:type="dxa"/>
          </w:tcPr>
          <w:p w14:paraId="20F779F0" w14:textId="73B6434E"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Neribojamas užklausų apie galimas vaistų sąveikas skaičius.</w:t>
            </w:r>
          </w:p>
        </w:tc>
        <w:tc>
          <w:tcPr>
            <w:tcW w:w="4819" w:type="dxa"/>
          </w:tcPr>
          <w:p w14:paraId="510DB5D7"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4E02F9C5" w14:textId="77777777" w:rsidTr="004B2AF8">
        <w:trPr>
          <w:trHeight w:val="144"/>
        </w:trPr>
        <w:tc>
          <w:tcPr>
            <w:tcW w:w="704" w:type="dxa"/>
          </w:tcPr>
          <w:p w14:paraId="7BA7DAFC"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17.</w:t>
            </w:r>
          </w:p>
        </w:tc>
        <w:tc>
          <w:tcPr>
            <w:tcW w:w="4253" w:type="dxa"/>
          </w:tcPr>
          <w:p w14:paraId="7188E5F0" w14:textId="0A4F8733"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Vaistų sąveikų tikrinimas vykdomas pateikus vaistų pavadinimus ir (ar) tarptautinius veikliųjų medžiagų pavadinimus, arba – veikliųjų medžiagų pavadinimus, nurodytus Europos farmakopėjoje, arba – veikliųjų medžiagų pavadinimus, nurodytus Europos Sąjungos valstybės narės ar trečiosios valstybės nacionalinėje farmakopėjoje; arba − įprastus bendrinius veikliųjų medžiagų pavadinimus, arba – mokslinius veikliųjų medžiagų pavadinimus (toliau – veikliųjų medžiagų pavadinimai).</w:t>
            </w:r>
          </w:p>
        </w:tc>
        <w:tc>
          <w:tcPr>
            <w:tcW w:w="4819" w:type="dxa"/>
          </w:tcPr>
          <w:p w14:paraId="2BEA13B6"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4B257EC6" w14:textId="77777777" w:rsidTr="004B2AF8">
        <w:trPr>
          <w:trHeight w:val="144"/>
        </w:trPr>
        <w:tc>
          <w:tcPr>
            <w:tcW w:w="704" w:type="dxa"/>
          </w:tcPr>
          <w:p w14:paraId="6334CD6F"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18.</w:t>
            </w:r>
          </w:p>
        </w:tc>
        <w:tc>
          <w:tcPr>
            <w:tcW w:w="4253" w:type="dxa"/>
          </w:tcPr>
          <w:p w14:paraId="7BBA177A" w14:textId="2D50A948"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Vykdant vaistų sąveikų patikrą naudojami Lietuvoje registruotų vaistų ir (ar) į jų sudėtį įeinančių veikliųjų medžiagų pavadinimai.</w:t>
            </w:r>
          </w:p>
        </w:tc>
        <w:tc>
          <w:tcPr>
            <w:tcW w:w="4819" w:type="dxa"/>
          </w:tcPr>
          <w:p w14:paraId="2D23A2B3"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6222C008" w14:textId="77777777" w:rsidTr="004B2AF8">
        <w:trPr>
          <w:trHeight w:val="144"/>
        </w:trPr>
        <w:tc>
          <w:tcPr>
            <w:tcW w:w="704" w:type="dxa"/>
          </w:tcPr>
          <w:p w14:paraId="787D5249"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19.</w:t>
            </w:r>
          </w:p>
        </w:tc>
        <w:tc>
          <w:tcPr>
            <w:tcW w:w="4253" w:type="dxa"/>
          </w:tcPr>
          <w:p w14:paraId="7ACAAAFC" w14:textId="260DBC8D"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Vaistų sąveikų analizės užklausa gali būti vykdoma vienu metu pateikiant iki 30 vaistų pavadinimų ir iki 30 veikliųjų medžiagų pavadinimų.</w:t>
            </w:r>
          </w:p>
        </w:tc>
        <w:tc>
          <w:tcPr>
            <w:tcW w:w="4819" w:type="dxa"/>
          </w:tcPr>
          <w:p w14:paraId="4C0E781D"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27740E4E" w14:textId="77777777" w:rsidTr="004B2AF8">
        <w:trPr>
          <w:trHeight w:val="144"/>
        </w:trPr>
        <w:tc>
          <w:tcPr>
            <w:tcW w:w="704" w:type="dxa"/>
          </w:tcPr>
          <w:p w14:paraId="6A2DE864"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20.</w:t>
            </w:r>
          </w:p>
        </w:tc>
        <w:tc>
          <w:tcPr>
            <w:tcW w:w="4253" w:type="dxa"/>
          </w:tcPr>
          <w:p w14:paraId="7E393D55" w14:textId="1BCE0B4B"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Atlikus vaistų sąveikų užklausą ir nustačius vaistų sąveiką, turi būti pateikiama klinikinė jos pasekmė ir reikšmė, taip pat rekomendacijos, kaip jos išvengti. Šios rekomendacijos turi būti pagrindžiamos moksliniais faktais, pateikiamos nuorodos į literatūros šaltinius.</w:t>
            </w:r>
          </w:p>
        </w:tc>
        <w:tc>
          <w:tcPr>
            <w:tcW w:w="4819" w:type="dxa"/>
          </w:tcPr>
          <w:p w14:paraId="74F2F37E"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5E554920" w14:textId="77777777" w:rsidTr="004B2AF8">
        <w:trPr>
          <w:trHeight w:val="144"/>
        </w:trPr>
        <w:tc>
          <w:tcPr>
            <w:tcW w:w="704" w:type="dxa"/>
          </w:tcPr>
          <w:p w14:paraId="2A557E9C"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21.</w:t>
            </w:r>
          </w:p>
        </w:tc>
        <w:tc>
          <w:tcPr>
            <w:tcW w:w="4253" w:type="dxa"/>
          </w:tcPr>
          <w:p w14:paraId="1597B6AC" w14:textId="77777777" w:rsidR="005E6E3F" w:rsidRPr="005E6E3F" w:rsidRDefault="005E6E3F" w:rsidP="005E6E3F">
            <w:pPr>
              <w:tabs>
                <w:tab w:val="left" w:pos="720"/>
                <w:tab w:val="left" w:pos="851"/>
                <w:tab w:val="left" w:pos="993"/>
                <w:tab w:val="left" w:pos="1260"/>
              </w:tabs>
              <w:suppressAutoHyphens/>
              <w:contextualSpacing/>
              <w:jc w:val="both"/>
              <w:rPr>
                <w:sz w:val="22"/>
                <w:szCs w:val="22"/>
                <w:lang w:val="lt-LT"/>
              </w:rPr>
            </w:pPr>
            <w:r w:rsidRPr="005E6E3F">
              <w:rPr>
                <w:sz w:val="22"/>
                <w:szCs w:val="22"/>
                <w:lang w:val="lt-LT"/>
              </w:rPr>
              <w:t xml:space="preserve">Daugiau kaip pusei pateikiamų vaistų sąveikos atvejų, turi būti pateikiamas išsamus aprašymas su užpildytomis visomis dalimis klinikinė pasekmės ir reikšmės, taip pat rekomendacijos, kaip jos išvengti. Šios rekomendacijos turi būti pagrindžiamos </w:t>
            </w:r>
            <w:r w:rsidRPr="005E6E3F">
              <w:rPr>
                <w:sz w:val="22"/>
                <w:szCs w:val="22"/>
                <w:lang w:val="lt-LT"/>
              </w:rPr>
              <w:lastRenderedPageBreak/>
              <w:t>moksliniais faktais, turi būti pateikiamos nuorodos į du ar daugiau literatūros šaltinių.</w:t>
            </w:r>
          </w:p>
          <w:p w14:paraId="31AA3A31" w14:textId="2F9E724C"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p>
        </w:tc>
        <w:tc>
          <w:tcPr>
            <w:tcW w:w="4819" w:type="dxa"/>
          </w:tcPr>
          <w:p w14:paraId="6A8729A3"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4D1D534C" w14:textId="77777777" w:rsidTr="004B2AF8">
        <w:trPr>
          <w:trHeight w:val="144"/>
        </w:trPr>
        <w:tc>
          <w:tcPr>
            <w:tcW w:w="704" w:type="dxa"/>
          </w:tcPr>
          <w:p w14:paraId="08E33495"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22.</w:t>
            </w:r>
          </w:p>
        </w:tc>
        <w:tc>
          <w:tcPr>
            <w:tcW w:w="4253" w:type="dxa"/>
          </w:tcPr>
          <w:p w14:paraId="0F64F772" w14:textId="1E8CA218" w:rsidR="005E6E3F" w:rsidRPr="00332A76" w:rsidRDefault="005E6E3F" w:rsidP="005E6E3F">
            <w:pPr>
              <w:tabs>
                <w:tab w:val="left" w:pos="720"/>
                <w:tab w:val="left" w:pos="851"/>
                <w:tab w:val="left" w:pos="993"/>
                <w:tab w:val="left" w:pos="1260"/>
              </w:tabs>
              <w:suppressAutoHyphens/>
              <w:contextualSpacing/>
              <w:jc w:val="both"/>
              <w:rPr>
                <w:sz w:val="22"/>
                <w:szCs w:val="22"/>
                <w:lang w:val="lt-LT"/>
              </w:rPr>
            </w:pPr>
            <w:r w:rsidRPr="00332A76">
              <w:rPr>
                <w:sz w:val="22"/>
                <w:szCs w:val="22"/>
                <w:lang w:val="lt-LT"/>
              </w:rPr>
              <w:t>Vaistų sąveikos aprašymas, paaiškinimas apie klinikinę sąveikos pasekmę bei rekomendacijos pateikiamos lietuvių kalba.</w:t>
            </w:r>
          </w:p>
        </w:tc>
        <w:tc>
          <w:tcPr>
            <w:tcW w:w="4819" w:type="dxa"/>
          </w:tcPr>
          <w:p w14:paraId="2F75968C"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0E7472A9" w14:textId="77777777" w:rsidTr="004B2AF8">
        <w:trPr>
          <w:trHeight w:val="144"/>
        </w:trPr>
        <w:tc>
          <w:tcPr>
            <w:tcW w:w="704" w:type="dxa"/>
          </w:tcPr>
          <w:p w14:paraId="79116DA9"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23.</w:t>
            </w:r>
          </w:p>
        </w:tc>
        <w:tc>
          <w:tcPr>
            <w:tcW w:w="4253" w:type="dxa"/>
          </w:tcPr>
          <w:p w14:paraId="2CA8F18B" w14:textId="1EBEA7B0" w:rsidR="005E6E3F" w:rsidRPr="00A24856" w:rsidRDefault="00A24856"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Perkančiajai organizacijai suteikiama teisė analizuoti vykdomų </w:t>
            </w:r>
            <w:proofErr w:type="spellStart"/>
            <w:r w:rsidRPr="00A24856">
              <w:rPr>
                <w:sz w:val="22"/>
                <w:szCs w:val="22"/>
                <w:lang w:val="lt-LT"/>
              </w:rPr>
              <w:t>saityno</w:t>
            </w:r>
            <w:proofErr w:type="spellEnd"/>
            <w:r w:rsidRPr="00A24856">
              <w:rPr>
                <w:sz w:val="22"/>
                <w:szCs w:val="22"/>
                <w:lang w:val="lt-LT"/>
              </w:rPr>
              <w:t xml:space="preserve"> paslaugų rezultatus ir identifikuotas vaistų sąveikas.</w:t>
            </w:r>
          </w:p>
        </w:tc>
        <w:tc>
          <w:tcPr>
            <w:tcW w:w="4819" w:type="dxa"/>
          </w:tcPr>
          <w:p w14:paraId="684732CB"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23CB405D" w14:textId="77777777" w:rsidTr="004B2AF8">
        <w:trPr>
          <w:trHeight w:val="144"/>
        </w:trPr>
        <w:tc>
          <w:tcPr>
            <w:tcW w:w="704" w:type="dxa"/>
          </w:tcPr>
          <w:p w14:paraId="245F79DD"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24.</w:t>
            </w:r>
          </w:p>
        </w:tc>
        <w:tc>
          <w:tcPr>
            <w:tcW w:w="4253" w:type="dxa"/>
          </w:tcPr>
          <w:p w14:paraId="7DD2DD29" w14:textId="5B3DE98B" w:rsidR="005E6E3F" w:rsidRPr="00A24856" w:rsidRDefault="00A24856"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Prieiga prie vaistų sąveikų interneto svetainės užklausų vykdymui interaktyviu būdu administruojama nurodant asmens sveikatos priežiūros įstaigų statiniams IP adresams arba kitu lygiaverčiu būdu.</w:t>
            </w:r>
          </w:p>
        </w:tc>
        <w:tc>
          <w:tcPr>
            <w:tcW w:w="4819" w:type="dxa"/>
          </w:tcPr>
          <w:p w14:paraId="1D7B71D8"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261326D8" w14:textId="77777777" w:rsidTr="004B2AF8">
        <w:trPr>
          <w:trHeight w:val="144"/>
        </w:trPr>
        <w:tc>
          <w:tcPr>
            <w:tcW w:w="704" w:type="dxa"/>
          </w:tcPr>
          <w:p w14:paraId="477101E8"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25.</w:t>
            </w:r>
          </w:p>
        </w:tc>
        <w:tc>
          <w:tcPr>
            <w:tcW w:w="4253" w:type="dxa"/>
          </w:tcPr>
          <w:p w14:paraId="5562FE1E" w14:textId="4FE8830B" w:rsidR="005E6E3F" w:rsidRPr="00A24856" w:rsidRDefault="00A24856"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Teikėjas privalo užtikrinti adekvačią klinikinės informacijos išaiškinimo ir techninę paramą probleminiais atvejais 24 valandų laikotarpyje nuo pranešimo gavimo.</w:t>
            </w:r>
          </w:p>
        </w:tc>
        <w:tc>
          <w:tcPr>
            <w:tcW w:w="4819" w:type="dxa"/>
          </w:tcPr>
          <w:p w14:paraId="51BBA0C3"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p>
        </w:tc>
      </w:tr>
      <w:tr w:rsidR="005E6E3F" w:rsidRPr="0058185A" w14:paraId="54DFC473" w14:textId="77777777" w:rsidTr="004B2AF8">
        <w:trPr>
          <w:trHeight w:val="144"/>
        </w:trPr>
        <w:tc>
          <w:tcPr>
            <w:tcW w:w="704" w:type="dxa"/>
          </w:tcPr>
          <w:p w14:paraId="47C5E351"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26.</w:t>
            </w:r>
          </w:p>
        </w:tc>
        <w:tc>
          <w:tcPr>
            <w:tcW w:w="4253" w:type="dxa"/>
          </w:tcPr>
          <w:p w14:paraId="0DAE72C5" w14:textId="3D6EA05A" w:rsidR="005E6E3F" w:rsidRPr="00A24856" w:rsidRDefault="00A24856"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 xml:space="preserve">Paslaugų teikėjas pasiūlymo vertinimo metu suteikia prieigą prie siūlomos vaistų sąveikų duomenų bazės, kurioje vaistų sąveikų užklausos būtų vykdomos naudojantis interneto svetaine ir </w:t>
            </w:r>
            <w:proofErr w:type="spellStart"/>
            <w:r w:rsidRPr="00A24856">
              <w:rPr>
                <w:sz w:val="22"/>
                <w:szCs w:val="22"/>
                <w:lang w:val="lt-LT"/>
              </w:rPr>
              <w:t>saityno</w:t>
            </w:r>
            <w:proofErr w:type="spellEnd"/>
            <w:r w:rsidRPr="00A24856">
              <w:rPr>
                <w:sz w:val="22"/>
                <w:szCs w:val="22"/>
                <w:lang w:val="lt-LT"/>
              </w:rPr>
              <w:t xml:space="preserve"> paslauga.</w:t>
            </w:r>
          </w:p>
        </w:tc>
        <w:tc>
          <w:tcPr>
            <w:tcW w:w="4819" w:type="dxa"/>
          </w:tcPr>
          <w:p w14:paraId="7875A8F5" w14:textId="77777777" w:rsidR="005E6E3F" w:rsidRPr="004B2AF8" w:rsidRDefault="005E6E3F" w:rsidP="005E6E3F">
            <w:pPr>
              <w:tabs>
                <w:tab w:val="left" w:pos="720"/>
                <w:tab w:val="left" w:pos="851"/>
                <w:tab w:val="left" w:pos="993"/>
                <w:tab w:val="left" w:pos="1260"/>
              </w:tabs>
              <w:suppressAutoHyphens/>
              <w:contextualSpacing/>
              <w:jc w:val="both"/>
              <w:rPr>
                <w:sz w:val="22"/>
                <w:szCs w:val="22"/>
                <w:lang w:val="lt-LT"/>
              </w:rPr>
            </w:pPr>
            <w:r w:rsidRPr="004B2AF8">
              <w:rPr>
                <w:sz w:val="22"/>
                <w:szCs w:val="22"/>
                <w:lang w:val="lt-LT"/>
              </w:rPr>
              <w:t xml:space="preserve"> </w:t>
            </w:r>
          </w:p>
        </w:tc>
      </w:tr>
      <w:tr w:rsidR="005E6E3F" w:rsidRPr="0058185A" w14:paraId="3D54F001" w14:textId="77777777" w:rsidTr="004B2AF8">
        <w:trPr>
          <w:trHeight w:val="144"/>
        </w:trPr>
        <w:tc>
          <w:tcPr>
            <w:tcW w:w="704" w:type="dxa"/>
          </w:tcPr>
          <w:p w14:paraId="27805CF3" w14:textId="77777777" w:rsidR="005E6E3F" w:rsidRPr="00A24856" w:rsidRDefault="005E6E3F" w:rsidP="005E6E3F">
            <w:pPr>
              <w:tabs>
                <w:tab w:val="left" w:pos="720"/>
                <w:tab w:val="left" w:pos="851"/>
                <w:tab w:val="left" w:pos="993"/>
                <w:tab w:val="left" w:pos="1260"/>
              </w:tabs>
              <w:suppressAutoHyphens/>
              <w:contextualSpacing/>
              <w:jc w:val="both"/>
              <w:rPr>
                <w:sz w:val="22"/>
                <w:szCs w:val="22"/>
                <w:lang w:val="lt-LT"/>
              </w:rPr>
            </w:pPr>
            <w:r w:rsidRPr="00A24856">
              <w:rPr>
                <w:sz w:val="22"/>
                <w:szCs w:val="22"/>
                <w:lang w:val="lt-LT"/>
              </w:rPr>
              <w:t>27.</w:t>
            </w:r>
          </w:p>
        </w:tc>
        <w:tc>
          <w:tcPr>
            <w:tcW w:w="4253" w:type="dxa"/>
          </w:tcPr>
          <w:p w14:paraId="027AA2B5" w14:textId="101DDCAA" w:rsidR="005E6E3F" w:rsidRPr="00FF239B" w:rsidRDefault="00A24856" w:rsidP="00700A94">
            <w:pPr>
              <w:tabs>
                <w:tab w:val="left" w:pos="720"/>
                <w:tab w:val="left" w:pos="851"/>
                <w:tab w:val="left" w:pos="993"/>
                <w:tab w:val="left" w:pos="1260"/>
              </w:tabs>
              <w:suppressAutoHyphens/>
              <w:contextualSpacing/>
              <w:jc w:val="both"/>
              <w:rPr>
                <w:sz w:val="22"/>
                <w:szCs w:val="22"/>
                <w:lang w:val="lt-LT"/>
              </w:rPr>
            </w:pPr>
            <w:r w:rsidRPr="00FF239B">
              <w:rPr>
                <w:sz w:val="22"/>
                <w:szCs w:val="22"/>
                <w:lang w:val="lt-LT"/>
              </w:rPr>
              <w:t xml:space="preserve">Paslaugų teikėjas turi užtikrinti reikiamos integracijos su ESPBI IS techninius darbus </w:t>
            </w:r>
            <w:r w:rsidR="00700A94" w:rsidRPr="00700A94">
              <w:rPr>
                <w:sz w:val="22"/>
                <w:szCs w:val="22"/>
                <w:lang w:val="lt-LT"/>
              </w:rPr>
              <w:t>iki 2025</w:t>
            </w:r>
            <w:r w:rsidR="00700A94">
              <w:rPr>
                <w:sz w:val="22"/>
                <w:szCs w:val="22"/>
                <w:lang w:val="lt-LT"/>
              </w:rPr>
              <w:t xml:space="preserve"> </w:t>
            </w:r>
            <w:r w:rsidR="00700A94" w:rsidRPr="00700A94">
              <w:rPr>
                <w:sz w:val="22"/>
                <w:szCs w:val="22"/>
                <w:lang w:val="lt-LT"/>
              </w:rPr>
              <w:t>m. kovo 3 d., jei tokių integracijų iki šiol nėra sukurta.</w:t>
            </w:r>
            <w:r w:rsidR="00570864">
              <w:rPr>
                <w:sz w:val="22"/>
                <w:szCs w:val="22"/>
                <w:lang w:val="lt-LT"/>
              </w:rPr>
              <w:t xml:space="preserve"> </w:t>
            </w:r>
          </w:p>
        </w:tc>
        <w:tc>
          <w:tcPr>
            <w:tcW w:w="4819" w:type="dxa"/>
          </w:tcPr>
          <w:p w14:paraId="35C0B7B8" w14:textId="77777777" w:rsidR="005E6E3F" w:rsidRPr="004B2AF8" w:rsidRDefault="005E6E3F" w:rsidP="005E6E3F">
            <w:pPr>
              <w:tabs>
                <w:tab w:val="left" w:pos="720"/>
                <w:tab w:val="left" w:pos="851"/>
                <w:tab w:val="left" w:pos="993"/>
                <w:tab w:val="left" w:pos="1260"/>
              </w:tabs>
              <w:suppressAutoHyphens/>
              <w:ind w:left="720"/>
              <w:contextualSpacing/>
              <w:jc w:val="both"/>
              <w:rPr>
                <w:sz w:val="22"/>
                <w:szCs w:val="22"/>
                <w:lang w:val="lt-LT"/>
              </w:rPr>
            </w:pPr>
          </w:p>
        </w:tc>
      </w:tr>
    </w:tbl>
    <w:p w14:paraId="2C8CA8CE" w14:textId="77777777" w:rsidR="004B2AF8" w:rsidRPr="004B2AF8" w:rsidRDefault="004B2AF8" w:rsidP="004B2AF8">
      <w:pPr>
        <w:tabs>
          <w:tab w:val="left" w:pos="720"/>
          <w:tab w:val="left" w:pos="851"/>
          <w:tab w:val="left" w:pos="993"/>
          <w:tab w:val="left" w:pos="1260"/>
        </w:tabs>
        <w:suppressAutoHyphens/>
        <w:contextualSpacing/>
        <w:jc w:val="both"/>
        <w:rPr>
          <w:lang w:val="lt-LT"/>
        </w:rPr>
      </w:pPr>
    </w:p>
    <w:p w14:paraId="6FF39102" w14:textId="77777777" w:rsidR="00B15A23" w:rsidRPr="004B2AF8" w:rsidRDefault="00B15A23" w:rsidP="001E351F">
      <w:pPr>
        <w:rPr>
          <w:sz w:val="22"/>
          <w:szCs w:val="22"/>
          <w:lang w:val="lt-LT"/>
        </w:rPr>
      </w:pPr>
    </w:p>
    <w:tbl>
      <w:tblPr>
        <w:tblStyle w:val="Lentelstinklelis"/>
        <w:tblW w:w="9776" w:type="dxa"/>
        <w:tblLook w:val="04A0" w:firstRow="1" w:lastRow="0" w:firstColumn="1" w:lastColumn="0" w:noHBand="0" w:noVBand="1"/>
      </w:tblPr>
      <w:tblGrid>
        <w:gridCol w:w="814"/>
        <w:gridCol w:w="4143"/>
        <w:gridCol w:w="1134"/>
        <w:gridCol w:w="1701"/>
        <w:gridCol w:w="1984"/>
      </w:tblGrid>
      <w:tr w:rsidR="00B15A23" w:rsidRPr="004B2AF8" w14:paraId="487AD1A8" w14:textId="77777777" w:rsidTr="007E7F1F">
        <w:tc>
          <w:tcPr>
            <w:tcW w:w="814" w:type="dxa"/>
            <w:vAlign w:val="center"/>
          </w:tcPr>
          <w:p w14:paraId="6E0EF6EE" w14:textId="77777777" w:rsidR="00B15A23" w:rsidRPr="001E351F" w:rsidRDefault="00B15A23" w:rsidP="004B2AF8">
            <w:pPr>
              <w:jc w:val="center"/>
              <w:rPr>
                <w:bCs/>
                <w:sz w:val="22"/>
                <w:szCs w:val="22"/>
                <w:lang w:val="lt-LT"/>
              </w:rPr>
            </w:pPr>
            <w:r w:rsidRPr="001E351F">
              <w:rPr>
                <w:bCs/>
                <w:sz w:val="22"/>
                <w:szCs w:val="22"/>
                <w:lang w:val="lt-LT"/>
              </w:rPr>
              <w:t>Eil. Nr.</w:t>
            </w:r>
          </w:p>
        </w:tc>
        <w:tc>
          <w:tcPr>
            <w:tcW w:w="4143" w:type="dxa"/>
            <w:vAlign w:val="center"/>
          </w:tcPr>
          <w:p w14:paraId="4F23F661" w14:textId="77777777" w:rsidR="00B15A23" w:rsidRPr="001E351F" w:rsidRDefault="00B15A23" w:rsidP="004B2AF8">
            <w:pPr>
              <w:jc w:val="center"/>
              <w:rPr>
                <w:bCs/>
                <w:sz w:val="22"/>
                <w:szCs w:val="22"/>
                <w:lang w:val="lt-LT"/>
              </w:rPr>
            </w:pPr>
            <w:r w:rsidRPr="001E351F">
              <w:rPr>
                <w:bCs/>
                <w:sz w:val="22"/>
                <w:szCs w:val="22"/>
                <w:lang w:val="lt-LT"/>
              </w:rPr>
              <w:t>Paslaugos pavadinimas</w:t>
            </w:r>
          </w:p>
        </w:tc>
        <w:tc>
          <w:tcPr>
            <w:tcW w:w="1134" w:type="dxa"/>
            <w:vAlign w:val="center"/>
          </w:tcPr>
          <w:p w14:paraId="31AFD310" w14:textId="13418BA8" w:rsidR="00B15A23" w:rsidRPr="001E351F" w:rsidRDefault="00B15A23" w:rsidP="004B2AF8">
            <w:pPr>
              <w:jc w:val="center"/>
              <w:rPr>
                <w:bCs/>
                <w:sz w:val="22"/>
                <w:szCs w:val="22"/>
                <w:lang w:val="lt-LT"/>
              </w:rPr>
            </w:pPr>
            <w:r w:rsidRPr="001E351F">
              <w:rPr>
                <w:bCs/>
                <w:sz w:val="22"/>
                <w:szCs w:val="22"/>
                <w:lang w:val="lt-LT"/>
              </w:rPr>
              <w:t>Mato vnt.</w:t>
            </w:r>
          </w:p>
        </w:tc>
        <w:tc>
          <w:tcPr>
            <w:tcW w:w="1701" w:type="dxa"/>
            <w:vAlign w:val="center"/>
          </w:tcPr>
          <w:p w14:paraId="4140CEE6" w14:textId="77777777" w:rsidR="00B15A23" w:rsidRPr="001E351F" w:rsidRDefault="00B15A23" w:rsidP="004B2AF8">
            <w:pPr>
              <w:jc w:val="center"/>
              <w:rPr>
                <w:bCs/>
                <w:sz w:val="22"/>
                <w:szCs w:val="22"/>
                <w:lang w:val="lt-LT"/>
              </w:rPr>
            </w:pPr>
            <w:r w:rsidRPr="001E351F">
              <w:rPr>
                <w:bCs/>
                <w:sz w:val="22"/>
                <w:szCs w:val="22"/>
                <w:lang w:val="lt-LT"/>
              </w:rPr>
              <w:t>1 mėn. paslaugų įkainis Eur be PVM</w:t>
            </w:r>
          </w:p>
        </w:tc>
        <w:tc>
          <w:tcPr>
            <w:tcW w:w="1984" w:type="dxa"/>
            <w:vAlign w:val="center"/>
          </w:tcPr>
          <w:p w14:paraId="3DA5EF04" w14:textId="77777777" w:rsidR="00B15A23" w:rsidRPr="001E351F" w:rsidRDefault="00B15A23" w:rsidP="004B2AF8">
            <w:pPr>
              <w:jc w:val="center"/>
              <w:rPr>
                <w:bCs/>
                <w:sz w:val="22"/>
                <w:szCs w:val="22"/>
                <w:lang w:val="lt-LT"/>
              </w:rPr>
            </w:pPr>
            <w:r w:rsidRPr="001E351F">
              <w:rPr>
                <w:bCs/>
                <w:sz w:val="22"/>
                <w:szCs w:val="22"/>
                <w:lang w:val="lt-LT"/>
              </w:rPr>
              <w:t>12 mėn</w:t>
            </w:r>
            <w:r w:rsidR="004B2AF8" w:rsidRPr="001E351F">
              <w:rPr>
                <w:bCs/>
                <w:sz w:val="22"/>
                <w:szCs w:val="22"/>
                <w:lang w:val="lt-LT"/>
              </w:rPr>
              <w:t>.</w:t>
            </w:r>
            <w:r w:rsidRPr="001E351F">
              <w:rPr>
                <w:bCs/>
                <w:sz w:val="22"/>
                <w:szCs w:val="22"/>
                <w:lang w:val="lt-LT"/>
              </w:rPr>
              <w:t xml:space="preserve"> paslaugų kaina Eur be PVM</w:t>
            </w:r>
          </w:p>
          <w:p w14:paraId="6E4E2F55" w14:textId="6B2AC880" w:rsidR="004B2AF8" w:rsidRPr="001E351F" w:rsidRDefault="004B2AF8" w:rsidP="004B2AF8">
            <w:pPr>
              <w:jc w:val="center"/>
              <w:rPr>
                <w:bCs/>
                <w:sz w:val="22"/>
                <w:szCs w:val="22"/>
                <w:lang w:val="lt-LT"/>
              </w:rPr>
            </w:pPr>
            <w:r w:rsidRPr="001E351F">
              <w:rPr>
                <w:bCs/>
                <w:sz w:val="22"/>
                <w:szCs w:val="22"/>
                <w:lang w:val="lt-LT"/>
              </w:rPr>
              <w:t>(5</w:t>
            </w:r>
            <w:r w:rsidRPr="001E351F">
              <w:rPr>
                <w:bCs/>
                <w:sz w:val="22"/>
                <w:szCs w:val="22"/>
              </w:rPr>
              <w:t>=</w:t>
            </w:r>
            <w:r w:rsidRPr="001E351F">
              <w:rPr>
                <w:bCs/>
                <w:sz w:val="22"/>
                <w:szCs w:val="22"/>
                <w:lang w:val="lt-LT"/>
              </w:rPr>
              <w:t>4*</w:t>
            </w:r>
            <w:r w:rsidR="002A6ADA">
              <w:rPr>
                <w:bCs/>
                <w:sz w:val="22"/>
                <w:szCs w:val="22"/>
                <w:lang w:val="lt-LT"/>
              </w:rPr>
              <w:t>36</w:t>
            </w:r>
            <w:r w:rsidR="001E351F" w:rsidRPr="001E351F">
              <w:rPr>
                <w:bCs/>
                <w:sz w:val="22"/>
                <w:szCs w:val="22"/>
                <w:lang w:val="lt-LT"/>
              </w:rPr>
              <w:t xml:space="preserve"> mėn.</w:t>
            </w:r>
            <w:r w:rsidRPr="001E351F">
              <w:rPr>
                <w:bCs/>
                <w:sz w:val="22"/>
                <w:szCs w:val="22"/>
                <w:lang w:val="lt-LT"/>
              </w:rPr>
              <w:t>)</w:t>
            </w:r>
          </w:p>
        </w:tc>
      </w:tr>
      <w:tr w:rsidR="004B2AF8" w:rsidRPr="004B2AF8" w14:paraId="79E894D8" w14:textId="77777777" w:rsidTr="007E7F1F">
        <w:tc>
          <w:tcPr>
            <w:tcW w:w="814" w:type="dxa"/>
            <w:vAlign w:val="center"/>
          </w:tcPr>
          <w:p w14:paraId="1704D5AD" w14:textId="621B9623" w:rsidR="004B2AF8" w:rsidRPr="000D5A0C" w:rsidRDefault="004B2AF8" w:rsidP="004B2AF8">
            <w:pPr>
              <w:jc w:val="center"/>
              <w:rPr>
                <w:bCs/>
                <w:sz w:val="16"/>
                <w:szCs w:val="16"/>
                <w:lang w:val="lt-LT"/>
              </w:rPr>
            </w:pPr>
            <w:r w:rsidRPr="000D5A0C">
              <w:rPr>
                <w:bCs/>
                <w:sz w:val="16"/>
                <w:szCs w:val="16"/>
                <w:lang w:val="lt-LT"/>
              </w:rPr>
              <w:t>1</w:t>
            </w:r>
          </w:p>
        </w:tc>
        <w:tc>
          <w:tcPr>
            <w:tcW w:w="4143" w:type="dxa"/>
            <w:vAlign w:val="center"/>
          </w:tcPr>
          <w:p w14:paraId="2F86188D" w14:textId="575BA10B" w:rsidR="004B2AF8" w:rsidRPr="000D5A0C" w:rsidRDefault="004B2AF8" w:rsidP="004B2AF8">
            <w:pPr>
              <w:jc w:val="center"/>
              <w:rPr>
                <w:bCs/>
                <w:sz w:val="16"/>
                <w:szCs w:val="16"/>
                <w:lang w:val="lt-LT"/>
              </w:rPr>
            </w:pPr>
            <w:r w:rsidRPr="000D5A0C">
              <w:rPr>
                <w:bCs/>
                <w:sz w:val="16"/>
                <w:szCs w:val="16"/>
                <w:lang w:val="lt-LT"/>
              </w:rPr>
              <w:t>2</w:t>
            </w:r>
          </w:p>
        </w:tc>
        <w:tc>
          <w:tcPr>
            <w:tcW w:w="1134" w:type="dxa"/>
            <w:vAlign w:val="center"/>
          </w:tcPr>
          <w:p w14:paraId="4668B6BC" w14:textId="255BF8D6" w:rsidR="004B2AF8" w:rsidRPr="000D5A0C" w:rsidRDefault="004B2AF8" w:rsidP="004B2AF8">
            <w:pPr>
              <w:jc w:val="center"/>
              <w:rPr>
                <w:bCs/>
                <w:sz w:val="16"/>
                <w:szCs w:val="16"/>
                <w:lang w:val="lt-LT"/>
              </w:rPr>
            </w:pPr>
            <w:r w:rsidRPr="000D5A0C">
              <w:rPr>
                <w:bCs/>
                <w:sz w:val="16"/>
                <w:szCs w:val="16"/>
                <w:lang w:val="lt-LT"/>
              </w:rPr>
              <w:t>3</w:t>
            </w:r>
          </w:p>
        </w:tc>
        <w:tc>
          <w:tcPr>
            <w:tcW w:w="1701" w:type="dxa"/>
            <w:vAlign w:val="center"/>
          </w:tcPr>
          <w:p w14:paraId="3A371826" w14:textId="5466023B" w:rsidR="004B2AF8" w:rsidRPr="000D5A0C" w:rsidRDefault="004B2AF8" w:rsidP="004B2AF8">
            <w:pPr>
              <w:jc w:val="center"/>
              <w:rPr>
                <w:bCs/>
                <w:sz w:val="16"/>
                <w:szCs w:val="16"/>
                <w:lang w:val="lt-LT"/>
              </w:rPr>
            </w:pPr>
            <w:r w:rsidRPr="000D5A0C">
              <w:rPr>
                <w:bCs/>
                <w:sz w:val="16"/>
                <w:szCs w:val="16"/>
                <w:lang w:val="lt-LT"/>
              </w:rPr>
              <w:t>4</w:t>
            </w:r>
          </w:p>
        </w:tc>
        <w:tc>
          <w:tcPr>
            <w:tcW w:w="1984" w:type="dxa"/>
            <w:vAlign w:val="center"/>
          </w:tcPr>
          <w:p w14:paraId="6EA63914" w14:textId="636911DC" w:rsidR="004B2AF8" w:rsidRPr="000D5A0C" w:rsidRDefault="004B2AF8" w:rsidP="004B2AF8">
            <w:pPr>
              <w:jc w:val="center"/>
              <w:rPr>
                <w:bCs/>
                <w:sz w:val="16"/>
                <w:szCs w:val="16"/>
                <w:lang w:val="lt-LT"/>
              </w:rPr>
            </w:pPr>
            <w:r w:rsidRPr="000D5A0C">
              <w:rPr>
                <w:bCs/>
                <w:sz w:val="16"/>
                <w:szCs w:val="16"/>
                <w:lang w:val="lt-LT"/>
              </w:rPr>
              <w:t>5</w:t>
            </w:r>
          </w:p>
        </w:tc>
      </w:tr>
      <w:tr w:rsidR="00B15A23" w:rsidRPr="004B2AF8" w14:paraId="787F2D89" w14:textId="77777777" w:rsidTr="007E7F1F">
        <w:tc>
          <w:tcPr>
            <w:tcW w:w="814" w:type="dxa"/>
          </w:tcPr>
          <w:p w14:paraId="2AC9E496" w14:textId="77777777" w:rsidR="00B15A23" w:rsidRPr="001E351F" w:rsidRDefault="00B15A23" w:rsidP="00FE059C">
            <w:pPr>
              <w:jc w:val="both"/>
              <w:rPr>
                <w:sz w:val="22"/>
                <w:szCs w:val="22"/>
                <w:lang w:val="lt-LT"/>
              </w:rPr>
            </w:pPr>
            <w:r w:rsidRPr="001E351F">
              <w:rPr>
                <w:sz w:val="22"/>
                <w:szCs w:val="22"/>
                <w:lang w:val="lt-LT"/>
              </w:rPr>
              <w:t>1.</w:t>
            </w:r>
          </w:p>
        </w:tc>
        <w:tc>
          <w:tcPr>
            <w:tcW w:w="4143" w:type="dxa"/>
          </w:tcPr>
          <w:p w14:paraId="1E531E12" w14:textId="5E215318" w:rsidR="00B15A23" w:rsidRPr="001E351F" w:rsidRDefault="00B15A23" w:rsidP="00FE059C">
            <w:pPr>
              <w:jc w:val="both"/>
              <w:rPr>
                <w:sz w:val="22"/>
                <w:szCs w:val="22"/>
                <w:lang w:val="lt-LT"/>
              </w:rPr>
            </w:pPr>
            <w:r w:rsidRPr="001E351F">
              <w:rPr>
                <w:bCs/>
                <w:sz w:val="22"/>
                <w:szCs w:val="22"/>
                <w:lang w:val="lt-LT"/>
              </w:rPr>
              <w:t xml:space="preserve">Elektroninės informacijos iš </w:t>
            </w:r>
            <w:r w:rsidR="004B2AF8" w:rsidRPr="001E351F">
              <w:rPr>
                <w:bCs/>
                <w:sz w:val="22"/>
                <w:szCs w:val="22"/>
                <w:lang w:val="lt-LT"/>
              </w:rPr>
              <w:t>v</w:t>
            </w:r>
            <w:r w:rsidRPr="001E351F">
              <w:rPr>
                <w:sz w:val="22"/>
                <w:szCs w:val="22"/>
                <w:lang w:val="lt-LT"/>
              </w:rPr>
              <w:t xml:space="preserve">aistų sąveikų duomenų bazės teikimo paslaugos </w:t>
            </w:r>
          </w:p>
        </w:tc>
        <w:tc>
          <w:tcPr>
            <w:tcW w:w="1134" w:type="dxa"/>
          </w:tcPr>
          <w:p w14:paraId="75B54844" w14:textId="2D7AA902" w:rsidR="00B15A23" w:rsidRPr="001E351F" w:rsidRDefault="00051F33" w:rsidP="00FE059C">
            <w:pPr>
              <w:jc w:val="center"/>
              <w:rPr>
                <w:sz w:val="22"/>
                <w:szCs w:val="22"/>
                <w:lang w:val="lt-LT"/>
              </w:rPr>
            </w:pPr>
            <w:r>
              <w:rPr>
                <w:sz w:val="22"/>
                <w:szCs w:val="22"/>
                <w:lang w:val="lt-LT"/>
              </w:rPr>
              <w:t>m</w:t>
            </w:r>
            <w:r w:rsidR="00DA63B2">
              <w:rPr>
                <w:sz w:val="22"/>
                <w:szCs w:val="22"/>
                <w:lang w:val="lt-LT"/>
              </w:rPr>
              <w:t>ėn.</w:t>
            </w:r>
          </w:p>
        </w:tc>
        <w:tc>
          <w:tcPr>
            <w:tcW w:w="1701" w:type="dxa"/>
          </w:tcPr>
          <w:p w14:paraId="46A24D97" w14:textId="77777777" w:rsidR="00B15A23" w:rsidRPr="001E351F" w:rsidRDefault="00B15A23" w:rsidP="00FE059C">
            <w:pPr>
              <w:jc w:val="center"/>
              <w:rPr>
                <w:sz w:val="22"/>
                <w:szCs w:val="22"/>
                <w:lang w:val="lt-LT"/>
              </w:rPr>
            </w:pPr>
          </w:p>
        </w:tc>
        <w:tc>
          <w:tcPr>
            <w:tcW w:w="1984" w:type="dxa"/>
          </w:tcPr>
          <w:p w14:paraId="5B87817B" w14:textId="77777777" w:rsidR="00B15A23" w:rsidRPr="001E351F" w:rsidRDefault="00B15A23" w:rsidP="00FE059C">
            <w:pPr>
              <w:jc w:val="center"/>
              <w:rPr>
                <w:sz w:val="22"/>
                <w:szCs w:val="22"/>
                <w:lang w:val="lt-LT"/>
              </w:rPr>
            </w:pPr>
          </w:p>
        </w:tc>
      </w:tr>
      <w:tr w:rsidR="00B15A23" w:rsidRPr="004B2AF8" w14:paraId="5F7B4978" w14:textId="77777777" w:rsidTr="007E7F1F">
        <w:tc>
          <w:tcPr>
            <w:tcW w:w="814" w:type="dxa"/>
          </w:tcPr>
          <w:p w14:paraId="4202E984" w14:textId="77777777" w:rsidR="00B15A23" w:rsidRPr="001E351F" w:rsidRDefault="00B15A23" w:rsidP="00FE059C">
            <w:pPr>
              <w:jc w:val="both"/>
              <w:rPr>
                <w:sz w:val="22"/>
                <w:szCs w:val="22"/>
                <w:lang w:val="lt-LT"/>
              </w:rPr>
            </w:pPr>
            <w:r w:rsidRPr="001E351F">
              <w:rPr>
                <w:sz w:val="22"/>
                <w:szCs w:val="22"/>
                <w:lang w:val="lt-LT"/>
              </w:rPr>
              <w:t>2.</w:t>
            </w:r>
          </w:p>
        </w:tc>
        <w:tc>
          <w:tcPr>
            <w:tcW w:w="6978" w:type="dxa"/>
            <w:gridSpan w:val="3"/>
          </w:tcPr>
          <w:p w14:paraId="04C53377" w14:textId="77777777" w:rsidR="00B15A23" w:rsidRPr="001E351F" w:rsidRDefault="00B15A23" w:rsidP="00FE059C">
            <w:pPr>
              <w:jc w:val="right"/>
              <w:rPr>
                <w:sz w:val="22"/>
                <w:szCs w:val="22"/>
                <w:lang w:val="lt-LT"/>
              </w:rPr>
            </w:pPr>
            <w:r w:rsidRPr="001E351F">
              <w:rPr>
                <w:sz w:val="22"/>
                <w:szCs w:val="22"/>
                <w:lang w:val="lt-LT"/>
              </w:rPr>
              <w:t xml:space="preserve">PVM </w:t>
            </w:r>
          </w:p>
        </w:tc>
        <w:tc>
          <w:tcPr>
            <w:tcW w:w="1984" w:type="dxa"/>
          </w:tcPr>
          <w:p w14:paraId="1C540CC9" w14:textId="77777777" w:rsidR="00B15A23" w:rsidRPr="001E351F" w:rsidRDefault="00B15A23" w:rsidP="00FE059C">
            <w:pPr>
              <w:jc w:val="both"/>
              <w:rPr>
                <w:sz w:val="22"/>
                <w:szCs w:val="22"/>
                <w:lang w:val="lt-LT"/>
              </w:rPr>
            </w:pPr>
          </w:p>
        </w:tc>
      </w:tr>
      <w:tr w:rsidR="00B15A23" w:rsidRPr="0058185A" w14:paraId="6D293A38" w14:textId="77777777" w:rsidTr="007E7F1F">
        <w:tc>
          <w:tcPr>
            <w:tcW w:w="814" w:type="dxa"/>
          </w:tcPr>
          <w:p w14:paraId="17BE6141" w14:textId="77777777" w:rsidR="00B15A23" w:rsidRPr="001E351F" w:rsidRDefault="00B15A23" w:rsidP="00FE059C">
            <w:pPr>
              <w:jc w:val="both"/>
              <w:rPr>
                <w:sz w:val="22"/>
                <w:szCs w:val="22"/>
                <w:lang w:val="lt-LT"/>
              </w:rPr>
            </w:pPr>
            <w:r w:rsidRPr="001E351F">
              <w:rPr>
                <w:sz w:val="22"/>
                <w:szCs w:val="22"/>
                <w:lang w:val="lt-LT"/>
              </w:rPr>
              <w:t>3.</w:t>
            </w:r>
          </w:p>
        </w:tc>
        <w:tc>
          <w:tcPr>
            <w:tcW w:w="6978" w:type="dxa"/>
            <w:gridSpan w:val="3"/>
          </w:tcPr>
          <w:p w14:paraId="7DA5BA39" w14:textId="35A669E3" w:rsidR="00B15A23" w:rsidRPr="001E351F" w:rsidRDefault="00B15A23" w:rsidP="00FE059C">
            <w:pPr>
              <w:jc w:val="right"/>
              <w:rPr>
                <w:sz w:val="22"/>
                <w:szCs w:val="22"/>
                <w:lang w:val="lt-LT"/>
              </w:rPr>
            </w:pPr>
            <w:r w:rsidRPr="001E351F">
              <w:rPr>
                <w:sz w:val="22"/>
                <w:szCs w:val="22"/>
                <w:lang w:val="lt-LT"/>
              </w:rPr>
              <w:t>Bendra pasiūlymo kaina (</w:t>
            </w:r>
            <w:r w:rsidR="002A6ADA">
              <w:rPr>
                <w:sz w:val="22"/>
                <w:szCs w:val="22"/>
                <w:lang w:val="lt-LT"/>
              </w:rPr>
              <w:t>36</w:t>
            </w:r>
            <w:r w:rsidRPr="001E351F">
              <w:rPr>
                <w:sz w:val="22"/>
                <w:szCs w:val="22"/>
                <w:lang w:val="lt-LT"/>
              </w:rPr>
              <w:t xml:space="preserve"> mėn. pasiūlymo kaina, Eur su PVM)</w:t>
            </w:r>
          </w:p>
        </w:tc>
        <w:tc>
          <w:tcPr>
            <w:tcW w:w="1984" w:type="dxa"/>
          </w:tcPr>
          <w:p w14:paraId="59E62513" w14:textId="77777777" w:rsidR="00B15A23" w:rsidRPr="001E351F" w:rsidRDefault="00B15A23" w:rsidP="00FE059C">
            <w:pPr>
              <w:jc w:val="both"/>
              <w:rPr>
                <w:sz w:val="22"/>
                <w:szCs w:val="22"/>
                <w:lang w:val="lt-LT"/>
              </w:rPr>
            </w:pPr>
          </w:p>
        </w:tc>
      </w:tr>
    </w:tbl>
    <w:p w14:paraId="40DA4851" w14:textId="77777777" w:rsidR="00F35E6C" w:rsidRDefault="00F35E6C" w:rsidP="00B15A23">
      <w:pPr>
        <w:jc w:val="both"/>
        <w:rPr>
          <w:sz w:val="22"/>
          <w:szCs w:val="22"/>
          <w:lang w:val="lt-LT"/>
        </w:rPr>
      </w:pPr>
    </w:p>
    <w:p w14:paraId="61AB5AE5" w14:textId="1DA793B5" w:rsidR="00B15A23" w:rsidRPr="004B2AF8" w:rsidRDefault="00B15A23" w:rsidP="00B15A23">
      <w:pPr>
        <w:jc w:val="both"/>
        <w:rPr>
          <w:sz w:val="22"/>
          <w:szCs w:val="22"/>
          <w:lang w:val="lt-LT"/>
        </w:rPr>
      </w:pPr>
      <w:r w:rsidRPr="004B2AF8">
        <w:rPr>
          <w:sz w:val="22"/>
          <w:szCs w:val="22"/>
          <w:lang w:val="lt-LT"/>
        </w:rPr>
        <w:t>Tais atvejais, kai pagal galiojančius teisės aktus teikėjui nereikia mokėti PVM, jis eilučių „PVM“ ir ,,Bendra pasiūlymo kaina eurais (su PVM)“ nepildo ir nurodo priežastis, dėl kurių PVM nemokamas.</w:t>
      </w:r>
    </w:p>
    <w:p w14:paraId="05CAFA68" w14:textId="77777777" w:rsidR="00B15A23" w:rsidRPr="004B2AF8" w:rsidRDefault="00B15A23" w:rsidP="00B15A23">
      <w:pPr>
        <w:ind w:firstLine="720"/>
        <w:jc w:val="both"/>
        <w:rPr>
          <w:sz w:val="22"/>
          <w:szCs w:val="22"/>
          <w:lang w:val="lt-LT"/>
        </w:rPr>
      </w:pPr>
    </w:p>
    <w:p w14:paraId="56F51AE2" w14:textId="77777777" w:rsidR="00B15A23" w:rsidRPr="004B2AF8" w:rsidRDefault="00B15A23" w:rsidP="00B15A23">
      <w:pPr>
        <w:jc w:val="both"/>
        <w:rPr>
          <w:sz w:val="22"/>
          <w:szCs w:val="22"/>
          <w:lang w:val="lt-LT"/>
        </w:rPr>
      </w:pPr>
    </w:p>
    <w:p w14:paraId="1415254C" w14:textId="7C4170AB" w:rsidR="00B15A23" w:rsidRPr="004B2AF8" w:rsidRDefault="00B15A23" w:rsidP="00B15A23">
      <w:pPr>
        <w:jc w:val="both"/>
        <w:rPr>
          <w:b/>
          <w:sz w:val="22"/>
          <w:szCs w:val="22"/>
          <w:u w:val="single"/>
          <w:lang w:val="lt-LT"/>
        </w:rPr>
      </w:pPr>
      <w:r w:rsidRPr="004B2AF8">
        <w:rPr>
          <w:b/>
          <w:sz w:val="22"/>
          <w:szCs w:val="22"/>
          <w:lang w:val="lt-LT"/>
        </w:rPr>
        <w:t xml:space="preserve">Perkančioji organizacija pasiūlymus vertins bei nugalėtoją pasirinks </w:t>
      </w:r>
      <w:r w:rsidRPr="005B1471">
        <w:rPr>
          <w:bCs/>
          <w:sz w:val="22"/>
          <w:szCs w:val="22"/>
          <w:u w:val="single"/>
          <w:lang w:val="lt-LT"/>
        </w:rPr>
        <w:t>lygin</w:t>
      </w:r>
      <w:r w:rsidR="00F93F2A" w:rsidRPr="005B1471">
        <w:rPr>
          <w:bCs/>
          <w:sz w:val="22"/>
          <w:szCs w:val="22"/>
          <w:u w:val="single"/>
          <w:lang w:val="lt-LT"/>
        </w:rPr>
        <w:t>dama</w:t>
      </w:r>
      <w:r w:rsidRPr="005B1471">
        <w:rPr>
          <w:bCs/>
          <w:sz w:val="22"/>
          <w:szCs w:val="22"/>
          <w:u w:val="single"/>
          <w:lang w:val="lt-LT"/>
        </w:rPr>
        <w:t xml:space="preserve"> kainas </w:t>
      </w:r>
      <w:r w:rsidR="009B356C" w:rsidRPr="005B1471">
        <w:rPr>
          <w:bCs/>
          <w:sz w:val="22"/>
          <w:szCs w:val="22"/>
          <w:u w:val="single"/>
          <w:lang w:val="lt-LT"/>
        </w:rPr>
        <w:t>su</w:t>
      </w:r>
      <w:r w:rsidRPr="005B1471">
        <w:rPr>
          <w:bCs/>
          <w:sz w:val="22"/>
          <w:szCs w:val="22"/>
          <w:u w:val="single"/>
          <w:lang w:val="lt-LT"/>
        </w:rPr>
        <w:t xml:space="preserve"> PVM</w:t>
      </w:r>
      <w:r w:rsidR="0010050C">
        <w:rPr>
          <w:bCs/>
          <w:sz w:val="22"/>
          <w:szCs w:val="22"/>
          <w:u w:val="single"/>
          <w:lang w:val="lt-LT"/>
        </w:rPr>
        <w:t xml:space="preserve"> </w:t>
      </w:r>
      <w:r w:rsidR="007D42E9" w:rsidRPr="005B1471">
        <w:rPr>
          <w:bCs/>
          <w:sz w:val="22"/>
          <w:szCs w:val="22"/>
          <w:u w:val="single"/>
          <w:lang w:val="lt-LT"/>
        </w:rPr>
        <w:t xml:space="preserve"> /</w:t>
      </w:r>
      <w:r w:rsidR="00F919BA">
        <w:rPr>
          <w:bCs/>
          <w:sz w:val="22"/>
          <w:szCs w:val="22"/>
          <w:u w:val="single"/>
          <w:lang w:val="lt-LT"/>
        </w:rPr>
        <w:t xml:space="preserve"> </w:t>
      </w:r>
      <w:r w:rsidR="007D42E9" w:rsidRPr="00C23F28">
        <w:rPr>
          <w:rFonts w:eastAsia="Calibri"/>
          <w:i/>
          <w:iCs/>
          <w:sz w:val="22"/>
          <w:szCs w:val="22"/>
          <w:u w:val="single"/>
          <w:bdr w:val="none" w:sz="0" w:space="0" w:color="auto"/>
          <w:lang w:val="lt-LT" w:eastAsia="lt-LT"/>
        </w:rPr>
        <w:t>įskaitant visus t</w:t>
      </w:r>
      <w:r w:rsidR="0010050C">
        <w:rPr>
          <w:rFonts w:eastAsia="Calibri"/>
          <w:i/>
          <w:iCs/>
          <w:sz w:val="22"/>
          <w:szCs w:val="22"/>
          <w:u w:val="single"/>
          <w:bdr w:val="none" w:sz="0" w:space="0" w:color="auto"/>
          <w:lang w:val="lt-LT" w:eastAsia="lt-LT"/>
        </w:rPr>
        <w:t>ei</w:t>
      </w:r>
      <w:r w:rsidR="007D42E9" w:rsidRPr="00C23F28">
        <w:rPr>
          <w:rFonts w:eastAsia="Calibri"/>
          <w:i/>
          <w:iCs/>
          <w:sz w:val="22"/>
          <w:szCs w:val="22"/>
          <w:u w:val="single"/>
          <w:bdr w:val="none" w:sz="0" w:space="0" w:color="auto"/>
          <w:lang w:val="lt-LT" w:eastAsia="lt-LT"/>
        </w:rPr>
        <w:t>kėjo mokėtinus mokesčius (jei t</w:t>
      </w:r>
      <w:r w:rsidR="0010050C">
        <w:rPr>
          <w:rFonts w:eastAsia="Calibri"/>
          <w:i/>
          <w:iCs/>
          <w:sz w:val="22"/>
          <w:szCs w:val="22"/>
          <w:u w:val="single"/>
          <w:bdr w:val="none" w:sz="0" w:space="0" w:color="auto"/>
          <w:lang w:val="lt-LT" w:eastAsia="lt-LT"/>
        </w:rPr>
        <w:t>ei</w:t>
      </w:r>
      <w:r w:rsidR="007D42E9" w:rsidRPr="00C23F28">
        <w:rPr>
          <w:rFonts w:eastAsia="Calibri"/>
          <w:i/>
          <w:iCs/>
          <w:sz w:val="22"/>
          <w:szCs w:val="22"/>
          <w:u w:val="single"/>
          <w:bdr w:val="none" w:sz="0" w:space="0" w:color="auto"/>
          <w:lang w:val="lt-LT" w:eastAsia="lt-LT"/>
        </w:rPr>
        <w:t>kėjas ne PVM mokėtojas)</w:t>
      </w:r>
      <w:r w:rsidR="00F919BA">
        <w:rPr>
          <w:rFonts w:eastAsia="Calibri"/>
          <w:i/>
          <w:iCs/>
          <w:sz w:val="22"/>
          <w:szCs w:val="22"/>
          <w:u w:val="single"/>
          <w:bdr w:val="none" w:sz="0" w:space="0" w:color="auto"/>
          <w:lang w:val="lt-LT" w:eastAsia="lt-LT"/>
        </w:rPr>
        <w:t>.</w:t>
      </w:r>
    </w:p>
    <w:p w14:paraId="0A449C3F" w14:textId="77777777" w:rsidR="00B15A23" w:rsidRPr="004B2AF8" w:rsidRDefault="00B15A23" w:rsidP="00B15A23">
      <w:pPr>
        <w:jc w:val="both"/>
        <w:rPr>
          <w:sz w:val="22"/>
          <w:szCs w:val="22"/>
          <w:lang w:val="lt-LT"/>
        </w:rPr>
      </w:pPr>
    </w:p>
    <w:p w14:paraId="052AC2E1" w14:textId="68550868" w:rsidR="00B15A23" w:rsidRPr="004B2AF8" w:rsidRDefault="00B15A23" w:rsidP="00B15A23">
      <w:pPr>
        <w:jc w:val="both"/>
        <w:rPr>
          <w:sz w:val="22"/>
          <w:szCs w:val="22"/>
          <w:lang w:val="lt-LT"/>
        </w:rPr>
      </w:pPr>
      <w:r w:rsidRPr="004B2AF8">
        <w:rPr>
          <w:sz w:val="22"/>
          <w:szCs w:val="22"/>
          <w:lang w:val="lt-LT"/>
        </w:rPr>
        <w:t>Bendra pasiūlymo kaina, eurais (</w:t>
      </w:r>
      <w:r w:rsidR="00B80A76">
        <w:rPr>
          <w:sz w:val="22"/>
          <w:szCs w:val="22"/>
          <w:lang w:val="lt-LT"/>
        </w:rPr>
        <w:t>su</w:t>
      </w:r>
      <w:r w:rsidRPr="004B2AF8">
        <w:rPr>
          <w:sz w:val="22"/>
          <w:szCs w:val="22"/>
          <w:lang w:val="lt-LT"/>
        </w:rPr>
        <w:t xml:space="preserve"> PVM) _________________________________________</w:t>
      </w:r>
    </w:p>
    <w:p w14:paraId="5482E8BC" w14:textId="77777777" w:rsidR="00B15A23" w:rsidRPr="004B2AF8" w:rsidRDefault="00B15A23" w:rsidP="00B15A23">
      <w:pPr>
        <w:pBdr>
          <w:top w:val="none" w:sz="0" w:space="0" w:color="auto"/>
        </w:pBdr>
        <w:jc w:val="both"/>
        <w:rPr>
          <w:sz w:val="22"/>
          <w:szCs w:val="22"/>
          <w:lang w:val="lt-LT"/>
        </w:rPr>
      </w:pPr>
      <w:r w:rsidRPr="004B2AF8">
        <w:rPr>
          <w:sz w:val="22"/>
          <w:szCs w:val="22"/>
          <w:lang w:val="lt-LT"/>
        </w:rPr>
        <w:t>_____________________________________________(</w:t>
      </w:r>
      <w:r w:rsidRPr="004B2AF8">
        <w:rPr>
          <w:i/>
          <w:sz w:val="22"/>
          <w:szCs w:val="22"/>
          <w:lang w:val="lt-LT"/>
        </w:rPr>
        <w:t>žodžiais</w:t>
      </w:r>
      <w:r w:rsidRPr="004B2AF8">
        <w:rPr>
          <w:sz w:val="22"/>
          <w:szCs w:val="22"/>
          <w:lang w:val="lt-LT"/>
        </w:rPr>
        <w:t>)</w:t>
      </w:r>
    </w:p>
    <w:p w14:paraId="3D275A93" w14:textId="77777777" w:rsidR="00B15A23" w:rsidRPr="004B2AF8" w:rsidRDefault="00B15A23" w:rsidP="00B15A23">
      <w:pPr>
        <w:jc w:val="both"/>
        <w:rPr>
          <w:sz w:val="22"/>
          <w:szCs w:val="22"/>
          <w:lang w:val="lt-LT"/>
        </w:rPr>
      </w:pPr>
    </w:p>
    <w:p w14:paraId="790BEF38" w14:textId="402B3A17" w:rsidR="00B47E7E" w:rsidRDefault="00B15A23" w:rsidP="002115CA">
      <w:pPr>
        <w:jc w:val="both"/>
        <w:rPr>
          <w:bCs/>
          <w:lang w:val="lt-LT"/>
        </w:rPr>
      </w:pPr>
      <w:r w:rsidRPr="00D04A95">
        <w:rPr>
          <w:bCs/>
          <w:lang w:val="lt-LT"/>
        </w:rPr>
        <w:t xml:space="preserve">Bendra pasiūlymo </w:t>
      </w:r>
      <w:r w:rsidR="008869FC" w:rsidRPr="00D04A95">
        <w:rPr>
          <w:bCs/>
          <w:lang w:val="lt-LT"/>
        </w:rPr>
        <w:t xml:space="preserve">vertė </w:t>
      </w:r>
      <w:r w:rsidR="00284181" w:rsidRPr="00D04A95">
        <w:rPr>
          <w:bCs/>
          <w:lang w:val="lt-LT"/>
        </w:rPr>
        <w:t xml:space="preserve">negali viršyti </w:t>
      </w:r>
      <w:r w:rsidR="00BD3CEB" w:rsidRPr="0010050C">
        <w:rPr>
          <w:bCs/>
          <w:lang w:val="lt-LT"/>
        </w:rPr>
        <w:t xml:space="preserve">pradinės sutarties vertės </w:t>
      </w:r>
      <w:r w:rsidR="00284181" w:rsidRPr="0012775B">
        <w:rPr>
          <w:b/>
          <w:i/>
          <w:iCs/>
          <w:u w:val="single"/>
          <w:lang w:val="lt-LT"/>
        </w:rPr>
        <w:t xml:space="preserve">660 000,00 Eur </w:t>
      </w:r>
      <w:r w:rsidR="00284181" w:rsidRPr="0012775B">
        <w:rPr>
          <w:bCs/>
          <w:i/>
          <w:iCs/>
          <w:u w:val="single"/>
          <w:lang w:val="lt-LT"/>
        </w:rPr>
        <w:t>su PVM</w:t>
      </w:r>
      <w:r w:rsidR="0010050C" w:rsidRPr="0012775B">
        <w:rPr>
          <w:bCs/>
          <w:i/>
          <w:iCs/>
          <w:u w:val="single"/>
          <w:lang w:val="lt-LT"/>
        </w:rPr>
        <w:t xml:space="preserve"> /</w:t>
      </w:r>
      <w:r w:rsidR="0010050C" w:rsidRPr="0012775B">
        <w:rPr>
          <w:rFonts w:eastAsia="Calibri"/>
          <w:i/>
          <w:iCs/>
          <w:sz w:val="22"/>
          <w:szCs w:val="22"/>
          <w:u w:val="single"/>
          <w:bdr w:val="none" w:sz="0" w:space="0" w:color="auto"/>
          <w:lang w:val="lt-LT" w:eastAsia="lt-LT"/>
        </w:rPr>
        <w:t xml:space="preserve"> įskaitant</w:t>
      </w:r>
      <w:r w:rsidR="0010050C" w:rsidRPr="00C23F28">
        <w:rPr>
          <w:rFonts w:eastAsia="Calibri"/>
          <w:i/>
          <w:iCs/>
          <w:sz w:val="22"/>
          <w:szCs w:val="22"/>
          <w:u w:val="single"/>
          <w:bdr w:val="none" w:sz="0" w:space="0" w:color="auto"/>
          <w:lang w:val="lt-LT" w:eastAsia="lt-LT"/>
        </w:rPr>
        <w:t xml:space="preserve"> visus </w:t>
      </w:r>
      <w:r w:rsidR="00B47E7E">
        <w:rPr>
          <w:rFonts w:eastAsia="Calibri"/>
          <w:i/>
          <w:iCs/>
          <w:sz w:val="22"/>
          <w:szCs w:val="22"/>
          <w:u w:val="single"/>
          <w:bdr w:val="none" w:sz="0" w:space="0" w:color="auto"/>
          <w:lang w:val="lt-LT" w:eastAsia="lt-LT"/>
        </w:rPr>
        <w:t>tei</w:t>
      </w:r>
      <w:r w:rsidR="0010050C" w:rsidRPr="00C23F28">
        <w:rPr>
          <w:rFonts w:eastAsia="Calibri"/>
          <w:i/>
          <w:iCs/>
          <w:sz w:val="22"/>
          <w:szCs w:val="22"/>
          <w:u w:val="single"/>
          <w:bdr w:val="none" w:sz="0" w:space="0" w:color="auto"/>
          <w:lang w:val="lt-LT" w:eastAsia="lt-LT"/>
        </w:rPr>
        <w:t>kėjo mokėtinus mokesčius (jei t</w:t>
      </w:r>
      <w:r w:rsidR="00B47E7E">
        <w:rPr>
          <w:rFonts w:eastAsia="Calibri"/>
          <w:i/>
          <w:iCs/>
          <w:sz w:val="22"/>
          <w:szCs w:val="22"/>
          <w:u w:val="single"/>
          <w:bdr w:val="none" w:sz="0" w:space="0" w:color="auto"/>
          <w:lang w:val="lt-LT" w:eastAsia="lt-LT"/>
        </w:rPr>
        <w:t>ei</w:t>
      </w:r>
      <w:r w:rsidR="0010050C" w:rsidRPr="00C23F28">
        <w:rPr>
          <w:rFonts w:eastAsia="Calibri"/>
          <w:i/>
          <w:iCs/>
          <w:sz w:val="22"/>
          <w:szCs w:val="22"/>
          <w:u w:val="single"/>
          <w:bdr w:val="none" w:sz="0" w:space="0" w:color="auto"/>
          <w:lang w:val="lt-LT" w:eastAsia="lt-LT"/>
        </w:rPr>
        <w:t>kėjas ne PVM mokėtojas)</w:t>
      </w:r>
      <w:r w:rsidR="00284181" w:rsidRPr="00D04A95">
        <w:rPr>
          <w:bCs/>
          <w:lang w:val="lt-LT"/>
        </w:rPr>
        <w:t xml:space="preserve">. </w:t>
      </w:r>
    </w:p>
    <w:p w14:paraId="29CA90EC" w14:textId="5544FE11" w:rsidR="00B15A23" w:rsidRPr="00D04A95" w:rsidRDefault="00C23F28" w:rsidP="002115CA">
      <w:pPr>
        <w:jc w:val="both"/>
        <w:rPr>
          <w:bCs/>
          <w:lang w:val="lt-LT"/>
        </w:rPr>
      </w:pPr>
      <w:r w:rsidRPr="00C23F28">
        <w:rPr>
          <w:rFonts w:eastAsia="Calibri"/>
          <w:i/>
          <w:iCs/>
          <w:sz w:val="22"/>
          <w:szCs w:val="22"/>
          <w:bdr w:val="none" w:sz="0" w:space="0" w:color="auto"/>
          <w:lang w:val="lt-LT" w:eastAsia="lt-LT"/>
        </w:rPr>
        <w:t>T</w:t>
      </w:r>
      <w:r w:rsidR="00B47E7E">
        <w:rPr>
          <w:rFonts w:eastAsia="Calibri"/>
          <w:i/>
          <w:iCs/>
          <w:sz w:val="22"/>
          <w:szCs w:val="22"/>
          <w:bdr w:val="none" w:sz="0" w:space="0" w:color="auto"/>
          <w:lang w:val="lt-LT" w:eastAsia="lt-LT"/>
        </w:rPr>
        <w:t>ei</w:t>
      </w:r>
      <w:r w:rsidRPr="00C23F28">
        <w:rPr>
          <w:rFonts w:eastAsia="Calibri"/>
          <w:i/>
          <w:iCs/>
          <w:sz w:val="22"/>
          <w:szCs w:val="22"/>
          <w:bdr w:val="none" w:sz="0" w:space="0" w:color="auto"/>
          <w:lang w:val="lt-LT" w:eastAsia="lt-LT"/>
        </w:rPr>
        <w:t>kėjų pasiūlymai, kurių kaina  viršys</w:t>
      </w:r>
      <w:r w:rsidRPr="00C23F28">
        <w:rPr>
          <w:rFonts w:eastAsia="Calibri"/>
          <w:b/>
          <w:bCs/>
          <w:i/>
          <w:iCs/>
          <w:sz w:val="22"/>
          <w:szCs w:val="22"/>
          <w:bdr w:val="none" w:sz="0" w:space="0" w:color="auto"/>
          <w:lang w:val="lt-LT" w:eastAsia="lt-LT"/>
        </w:rPr>
        <w:t xml:space="preserve"> </w:t>
      </w:r>
      <w:r w:rsidR="006641E5" w:rsidRPr="006641E5">
        <w:rPr>
          <w:rFonts w:eastAsia="Calibri"/>
          <w:b/>
          <w:bCs/>
          <w:i/>
          <w:iCs/>
          <w:sz w:val="22"/>
          <w:szCs w:val="22"/>
          <w:u w:val="single"/>
          <w:bdr w:val="none" w:sz="0" w:space="0" w:color="auto"/>
          <w:lang w:val="lt-LT" w:eastAsia="lt-LT"/>
        </w:rPr>
        <w:t>660</w:t>
      </w:r>
      <w:r w:rsidRPr="006641E5">
        <w:rPr>
          <w:rFonts w:eastAsia="Calibri"/>
          <w:b/>
          <w:bCs/>
          <w:i/>
          <w:iCs/>
          <w:sz w:val="22"/>
          <w:szCs w:val="22"/>
          <w:u w:val="single"/>
          <w:bdr w:val="none" w:sz="0" w:space="0" w:color="auto"/>
          <w:lang w:val="lt-LT" w:eastAsia="lt-LT"/>
        </w:rPr>
        <w:t xml:space="preserve"> 0</w:t>
      </w:r>
      <w:r w:rsidRPr="00C23F28">
        <w:rPr>
          <w:rFonts w:eastAsia="Calibri"/>
          <w:b/>
          <w:bCs/>
          <w:i/>
          <w:iCs/>
          <w:sz w:val="22"/>
          <w:szCs w:val="22"/>
          <w:u w:val="single"/>
          <w:bdr w:val="none" w:sz="0" w:space="0" w:color="auto"/>
          <w:lang w:val="lt-LT" w:eastAsia="lt-LT"/>
        </w:rPr>
        <w:t xml:space="preserve">00,00 Eur </w:t>
      </w:r>
      <w:r w:rsidRPr="00C23F28">
        <w:rPr>
          <w:rFonts w:eastAsia="Calibri"/>
          <w:i/>
          <w:iCs/>
          <w:sz w:val="22"/>
          <w:szCs w:val="22"/>
          <w:u w:val="single"/>
          <w:bdr w:val="none" w:sz="0" w:space="0" w:color="auto"/>
          <w:lang w:val="lt-LT" w:eastAsia="lt-LT"/>
        </w:rPr>
        <w:t>su PVM</w:t>
      </w:r>
      <w:r w:rsidR="00B47E7E">
        <w:rPr>
          <w:rFonts w:eastAsia="Calibri"/>
          <w:i/>
          <w:iCs/>
          <w:sz w:val="22"/>
          <w:szCs w:val="22"/>
          <w:u w:val="single"/>
          <w:bdr w:val="none" w:sz="0" w:space="0" w:color="auto"/>
          <w:lang w:val="lt-LT" w:eastAsia="lt-LT"/>
        </w:rPr>
        <w:t xml:space="preserve">  </w:t>
      </w:r>
      <w:r w:rsidRPr="00C23F28">
        <w:rPr>
          <w:rFonts w:eastAsia="Calibri"/>
          <w:i/>
          <w:iCs/>
          <w:sz w:val="22"/>
          <w:szCs w:val="22"/>
          <w:u w:val="single"/>
          <w:bdr w:val="none" w:sz="0" w:space="0" w:color="auto"/>
          <w:lang w:val="lt-LT" w:eastAsia="lt-LT"/>
        </w:rPr>
        <w:t>įskaitant visus t</w:t>
      </w:r>
      <w:r w:rsidR="00B47E7E">
        <w:rPr>
          <w:rFonts w:eastAsia="Calibri"/>
          <w:i/>
          <w:iCs/>
          <w:sz w:val="22"/>
          <w:szCs w:val="22"/>
          <w:u w:val="single"/>
          <w:bdr w:val="none" w:sz="0" w:space="0" w:color="auto"/>
          <w:lang w:val="lt-LT" w:eastAsia="lt-LT"/>
        </w:rPr>
        <w:t>ei</w:t>
      </w:r>
      <w:r w:rsidRPr="00C23F28">
        <w:rPr>
          <w:rFonts w:eastAsia="Calibri"/>
          <w:i/>
          <w:iCs/>
          <w:sz w:val="22"/>
          <w:szCs w:val="22"/>
          <w:u w:val="single"/>
          <w:bdr w:val="none" w:sz="0" w:space="0" w:color="auto"/>
          <w:lang w:val="lt-LT" w:eastAsia="lt-LT"/>
        </w:rPr>
        <w:t xml:space="preserve">kėjo mokėtinus mokesčius (jei </w:t>
      </w:r>
      <w:r w:rsidR="00B47E7E">
        <w:rPr>
          <w:rFonts w:eastAsia="Calibri"/>
          <w:i/>
          <w:iCs/>
          <w:sz w:val="22"/>
          <w:szCs w:val="22"/>
          <w:u w:val="single"/>
          <w:bdr w:val="none" w:sz="0" w:space="0" w:color="auto"/>
          <w:lang w:val="lt-LT" w:eastAsia="lt-LT"/>
        </w:rPr>
        <w:t>tei</w:t>
      </w:r>
      <w:r w:rsidRPr="00C23F28">
        <w:rPr>
          <w:rFonts w:eastAsia="Calibri"/>
          <w:i/>
          <w:iCs/>
          <w:sz w:val="22"/>
          <w:szCs w:val="22"/>
          <w:u w:val="single"/>
          <w:bdr w:val="none" w:sz="0" w:space="0" w:color="auto"/>
          <w:lang w:val="lt-LT" w:eastAsia="lt-LT"/>
        </w:rPr>
        <w:t>kėjas ne PVM mokėtojas)</w:t>
      </w:r>
      <w:r w:rsidRPr="00C23F28">
        <w:rPr>
          <w:rFonts w:eastAsia="Calibri"/>
          <w:i/>
          <w:iCs/>
          <w:sz w:val="22"/>
          <w:szCs w:val="22"/>
          <w:bdr w:val="none" w:sz="0" w:space="0" w:color="auto"/>
          <w:lang w:val="lt-LT" w:eastAsia="lt-LT"/>
        </w:rPr>
        <w:t>, bus atmetami dėl per didelės ir perkančiajai organizacijai nepriimtinos kainos.</w:t>
      </w:r>
      <w:r w:rsidR="00B15A23" w:rsidRPr="00D04A95">
        <w:rPr>
          <w:bCs/>
          <w:lang w:val="lt-LT"/>
        </w:rPr>
        <w:t xml:space="preserve"> </w:t>
      </w:r>
    </w:p>
    <w:p w14:paraId="5B266734" w14:textId="77777777" w:rsidR="00B15A23" w:rsidRPr="004B2AF8" w:rsidRDefault="00B15A23" w:rsidP="00B15A23">
      <w:pPr>
        <w:jc w:val="both"/>
        <w:rPr>
          <w:i/>
          <w:sz w:val="22"/>
          <w:szCs w:val="22"/>
          <w:lang w:val="lt-LT"/>
        </w:rPr>
      </w:pPr>
    </w:p>
    <w:p w14:paraId="6B521BF1" w14:textId="77777777" w:rsidR="00B15A23" w:rsidRPr="004B2AF8" w:rsidRDefault="00B15A23" w:rsidP="00B15A23">
      <w:pPr>
        <w:rPr>
          <w:i/>
          <w:sz w:val="22"/>
          <w:szCs w:val="22"/>
          <w:lang w:val="lt-LT"/>
        </w:rPr>
      </w:pPr>
    </w:p>
    <w:p w14:paraId="4806D586" w14:textId="77777777" w:rsidR="00B15A23" w:rsidRPr="004B2AF8" w:rsidRDefault="00B15A23" w:rsidP="00B15A23">
      <w:pPr>
        <w:jc w:val="both"/>
        <w:rPr>
          <w:i/>
          <w:sz w:val="22"/>
          <w:szCs w:val="22"/>
          <w:lang w:val="lt-LT"/>
        </w:rPr>
      </w:pPr>
      <w:r w:rsidRPr="004B2AF8">
        <w:rPr>
          <w:i/>
          <w:sz w:val="22"/>
          <w:szCs w:val="22"/>
          <w:lang w:val="lt-LT"/>
        </w:rPr>
        <w:t>Visi pasiūlyme nurodyti skaičiai, susiję su pasiūlymo kaina, turi būti pateikiami dviejų skaičių po kablelio tikslumu.</w:t>
      </w:r>
    </w:p>
    <w:p w14:paraId="493A61F3" w14:textId="77777777" w:rsidR="00B15A23" w:rsidRPr="004B2AF8" w:rsidRDefault="00B15A23" w:rsidP="00B15A23">
      <w:pPr>
        <w:widowControl w:val="0"/>
        <w:ind w:firstLine="567"/>
        <w:jc w:val="both"/>
        <w:rPr>
          <w:sz w:val="22"/>
          <w:szCs w:val="22"/>
          <w:lang w:val="lt-LT"/>
        </w:rPr>
      </w:pPr>
    </w:p>
    <w:p w14:paraId="5FCC932C" w14:textId="77777777" w:rsidR="00B15A23" w:rsidRPr="004B2AF8" w:rsidRDefault="00B15A23" w:rsidP="00B15A23">
      <w:pPr>
        <w:jc w:val="both"/>
        <w:rPr>
          <w:sz w:val="22"/>
          <w:szCs w:val="22"/>
          <w:lang w:val="lt-LT"/>
        </w:rPr>
      </w:pPr>
      <w:r w:rsidRPr="004B2AF8">
        <w:rPr>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753"/>
        <w:gridCol w:w="2206"/>
      </w:tblGrid>
      <w:tr w:rsidR="00B15A23" w:rsidRPr="004B2AF8" w14:paraId="5E678A1E" w14:textId="77777777" w:rsidTr="00FE059C">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36EE67" w14:textId="77777777" w:rsidR="00B15A23" w:rsidRPr="004B2AF8" w:rsidRDefault="00B15A23" w:rsidP="00FE059C">
            <w:pPr>
              <w:jc w:val="center"/>
              <w:rPr>
                <w:b/>
                <w:sz w:val="22"/>
                <w:szCs w:val="22"/>
                <w:lang w:val="lt-LT"/>
              </w:rPr>
            </w:pPr>
            <w:proofErr w:type="spellStart"/>
            <w:r w:rsidRPr="004B2AF8">
              <w:rPr>
                <w:b/>
                <w:sz w:val="22"/>
                <w:szCs w:val="22"/>
                <w:lang w:val="lt-LT"/>
              </w:rPr>
              <w:t>Eil.Nr</w:t>
            </w:r>
            <w:proofErr w:type="spellEnd"/>
            <w:r w:rsidRPr="004B2AF8">
              <w:rPr>
                <w:b/>
                <w:sz w:val="22"/>
                <w:szCs w:val="22"/>
                <w:lang w:val="lt-LT"/>
              </w:rPr>
              <w:t>.</w:t>
            </w:r>
          </w:p>
        </w:tc>
        <w:tc>
          <w:tcPr>
            <w:tcW w:w="6753" w:type="dxa"/>
            <w:tcBorders>
              <w:top w:val="single" w:sz="4" w:space="0" w:color="auto"/>
              <w:left w:val="single" w:sz="4" w:space="0" w:color="auto"/>
              <w:bottom w:val="single" w:sz="4" w:space="0" w:color="auto"/>
              <w:right w:val="single" w:sz="4" w:space="0" w:color="auto"/>
            </w:tcBorders>
            <w:shd w:val="clear" w:color="auto" w:fill="auto"/>
          </w:tcPr>
          <w:p w14:paraId="4464C314" w14:textId="77777777" w:rsidR="00B15A23" w:rsidRPr="004B2AF8" w:rsidRDefault="00B15A23" w:rsidP="00FE059C">
            <w:pPr>
              <w:jc w:val="center"/>
              <w:rPr>
                <w:b/>
                <w:sz w:val="22"/>
                <w:szCs w:val="22"/>
                <w:lang w:val="lt-LT"/>
              </w:rPr>
            </w:pPr>
            <w:r w:rsidRPr="004B2AF8">
              <w:rPr>
                <w:b/>
                <w:sz w:val="22"/>
                <w:szCs w:val="22"/>
                <w:lang w:val="lt-LT"/>
              </w:rPr>
              <w:t>Pateiktų dokumentų pavadinimas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89CB20D" w14:textId="77777777" w:rsidR="00B15A23" w:rsidRPr="004B2AF8" w:rsidRDefault="00B15A23" w:rsidP="00FE059C">
            <w:pPr>
              <w:jc w:val="center"/>
              <w:rPr>
                <w:b/>
                <w:sz w:val="22"/>
                <w:szCs w:val="22"/>
                <w:lang w:val="lt-LT"/>
              </w:rPr>
            </w:pPr>
            <w:r w:rsidRPr="004B2AF8">
              <w:rPr>
                <w:b/>
                <w:sz w:val="22"/>
                <w:szCs w:val="22"/>
                <w:lang w:val="lt-LT"/>
              </w:rPr>
              <w:t>Dokumento puslapių skaičius</w:t>
            </w:r>
          </w:p>
        </w:tc>
      </w:tr>
      <w:tr w:rsidR="00B15A23" w:rsidRPr="004B2AF8" w14:paraId="2F7B9D92" w14:textId="77777777" w:rsidTr="00FE059C">
        <w:tc>
          <w:tcPr>
            <w:tcW w:w="675" w:type="dxa"/>
            <w:tcBorders>
              <w:top w:val="single" w:sz="4" w:space="0" w:color="auto"/>
              <w:left w:val="single" w:sz="4" w:space="0" w:color="auto"/>
              <w:bottom w:val="single" w:sz="4" w:space="0" w:color="auto"/>
              <w:right w:val="single" w:sz="4" w:space="0" w:color="auto"/>
            </w:tcBorders>
            <w:shd w:val="clear" w:color="auto" w:fill="auto"/>
          </w:tcPr>
          <w:p w14:paraId="452A823B" w14:textId="77777777" w:rsidR="00B15A23" w:rsidRPr="004B2AF8" w:rsidRDefault="00B15A23" w:rsidP="00FE059C">
            <w:pPr>
              <w:jc w:val="center"/>
              <w:rPr>
                <w:sz w:val="22"/>
                <w:szCs w:val="22"/>
                <w:lang w:val="lt-LT"/>
              </w:rPr>
            </w:pPr>
          </w:p>
        </w:tc>
        <w:tc>
          <w:tcPr>
            <w:tcW w:w="6753" w:type="dxa"/>
            <w:tcBorders>
              <w:top w:val="single" w:sz="4" w:space="0" w:color="auto"/>
              <w:left w:val="single" w:sz="4" w:space="0" w:color="auto"/>
              <w:bottom w:val="single" w:sz="4" w:space="0" w:color="auto"/>
              <w:right w:val="single" w:sz="4" w:space="0" w:color="auto"/>
            </w:tcBorders>
            <w:shd w:val="clear" w:color="auto" w:fill="auto"/>
          </w:tcPr>
          <w:p w14:paraId="0AD2E967" w14:textId="77777777" w:rsidR="00B15A23" w:rsidRPr="004B2AF8" w:rsidRDefault="00B15A23" w:rsidP="00FE059C">
            <w:pPr>
              <w:rPr>
                <w:sz w:val="22"/>
                <w:szCs w:val="22"/>
                <w:lang w:val="lt-LT"/>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5850D155" w14:textId="77777777" w:rsidR="00B15A23" w:rsidRPr="004B2AF8" w:rsidRDefault="00B15A23" w:rsidP="00FE059C">
            <w:pPr>
              <w:jc w:val="center"/>
              <w:rPr>
                <w:sz w:val="22"/>
                <w:szCs w:val="22"/>
                <w:lang w:val="lt-LT"/>
              </w:rPr>
            </w:pPr>
          </w:p>
        </w:tc>
      </w:tr>
      <w:tr w:rsidR="00B15A23" w:rsidRPr="004B2AF8" w14:paraId="17EC1E39" w14:textId="77777777" w:rsidTr="00FE059C">
        <w:tc>
          <w:tcPr>
            <w:tcW w:w="675" w:type="dxa"/>
            <w:tcBorders>
              <w:top w:val="single" w:sz="4" w:space="0" w:color="auto"/>
              <w:left w:val="single" w:sz="4" w:space="0" w:color="auto"/>
              <w:bottom w:val="single" w:sz="4" w:space="0" w:color="auto"/>
              <w:right w:val="single" w:sz="4" w:space="0" w:color="auto"/>
            </w:tcBorders>
            <w:shd w:val="clear" w:color="auto" w:fill="auto"/>
          </w:tcPr>
          <w:p w14:paraId="3458AEE6" w14:textId="77777777" w:rsidR="00B15A23" w:rsidRPr="004B2AF8" w:rsidRDefault="00B15A23" w:rsidP="00FE059C">
            <w:pPr>
              <w:jc w:val="center"/>
              <w:rPr>
                <w:sz w:val="22"/>
                <w:szCs w:val="22"/>
                <w:lang w:val="lt-LT"/>
              </w:rPr>
            </w:pPr>
          </w:p>
        </w:tc>
        <w:tc>
          <w:tcPr>
            <w:tcW w:w="6753" w:type="dxa"/>
            <w:tcBorders>
              <w:top w:val="single" w:sz="4" w:space="0" w:color="auto"/>
              <w:left w:val="single" w:sz="4" w:space="0" w:color="auto"/>
              <w:bottom w:val="single" w:sz="4" w:space="0" w:color="auto"/>
              <w:right w:val="single" w:sz="4" w:space="0" w:color="auto"/>
            </w:tcBorders>
            <w:shd w:val="clear" w:color="auto" w:fill="auto"/>
          </w:tcPr>
          <w:p w14:paraId="493A849F" w14:textId="77777777" w:rsidR="00B15A23" w:rsidRPr="004B2AF8" w:rsidRDefault="00B15A23" w:rsidP="00FE059C">
            <w:pPr>
              <w:rPr>
                <w:sz w:val="22"/>
                <w:szCs w:val="22"/>
                <w:lang w:val="lt-LT"/>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64FEA425" w14:textId="77777777" w:rsidR="00B15A23" w:rsidRPr="004B2AF8" w:rsidRDefault="00B15A23" w:rsidP="00FE059C">
            <w:pPr>
              <w:jc w:val="center"/>
              <w:rPr>
                <w:sz w:val="22"/>
                <w:szCs w:val="22"/>
                <w:lang w:val="lt-LT"/>
              </w:rPr>
            </w:pPr>
          </w:p>
        </w:tc>
      </w:tr>
      <w:tr w:rsidR="00626D73" w:rsidRPr="004B2AF8" w14:paraId="77133417" w14:textId="77777777" w:rsidTr="00FE059C">
        <w:tc>
          <w:tcPr>
            <w:tcW w:w="675" w:type="dxa"/>
            <w:tcBorders>
              <w:top w:val="single" w:sz="4" w:space="0" w:color="auto"/>
              <w:left w:val="single" w:sz="4" w:space="0" w:color="auto"/>
              <w:bottom w:val="single" w:sz="4" w:space="0" w:color="auto"/>
              <w:right w:val="single" w:sz="4" w:space="0" w:color="auto"/>
            </w:tcBorders>
            <w:shd w:val="clear" w:color="auto" w:fill="auto"/>
          </w:tcPr>
          <w:p w14:paraId="6760A884" w14:textId="77777777" w:rsidR="00626D73" w:rsidRPr="004B2AF8" w:rsidRDefault="00626D73" w:rsidP="00FE059C">
            <w:pPr>
              <w:jc w:val="center"/>
              <w:rPr>
                <w:sz w:val="22"/>
                <w:szCs w:val="22"/>
                <w:lang w:val="lt-LT"/>
              </w:rPr>
            </w:pPr>
          </w:p>
        </w:tc>
        <w:tc>
          <w:tcPr>
            <w:tcW w:w="6753" w:type="dxa"/>
            <w:tcBorders>
              <w:top w:val="single" w:sz="4" w:space="0" w:color="auto"/>
              <w:left w:val="single" w:sz="4" w:space="0" w:color="auto"/>
              <w:bottom w:val="single" w:sz="4" w:space="0" w:color="auto"/>
              <w:right w:val="single" w:sz="4" w:space="0" w:color="auto"/>
            </w:tcBorders>
            <w:shd w:val="clear" w:color="auto" w:fill="auto"/>
          </w:tcPr>
          <w:p w14:paraId="022DB0C4" w14:textId="77777777" w:rsidR="00626D73" w:rsidRPr="004B2AF8" w:rsidRDefault="00626D73" w:rsidP="00FE059C">
            <w:pPr>
              <w:rPr>
                <w:sz w:val="22"/>
                <w:szCs w:val="22"/>
                <w:lang w:val="lt-LT"/>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DE2F664" w14:textId="77777777" w:rsidR="00626D73" w:rsidRPr="004B2AF8" w:rsidRDefault="00626D73" w:rsidP="00FE059C">
            <w:pPr>
              <w:jc w:val="center"/>
              <w:rPr>
                <w:sz w:val="22"/>
                <w:szCs w:val="22"/>
                <w:lang w:val="lt-LT"/>
              </w:rPr>
            </w:pPr>
          </w:p>
        </w:tc>
      </w:tr>
    </w:tbl>
    <w:p w14:paraId="58503112" w14:textId="77777777" w:rsidR="00B15A23" w:rsidRPr="004B2AF8" w:rsidRDefault="00B15A23" w:rsidP="00B15A23">
      <w:pPr>
        <w:widowControl w:val="0"/>
        <w:ind w:firstLine="567"/>
        <w:jc w:val="both"/>
        <w:rPr>
          <w:sz w:val="22"/>
          <w:szCs w:val="22"/>
          <w:lang w:val="lt-LT"/>
        </w:rPr>
      </w:pPr>
    </w:p>
    <w:p w14:paraId="17775A81" w14:textId="1EFBB583" w:rsidR="00B15A23" w:rsidRPr="004B2AF8" w:rsidRDefault="00B15A23" w:rsidP="00B15A23">
      <w:pPr>
        <w:widowControl w:val="0"/>
        <w:ind w:firstLine="567"/>
        <w:jc w:val="both"/>
        <w:rPr>
          <w:sz w:val="22"/>
          <w:szCs w:val="22"/>
          <w:lang w:val="lt-LT"/>
        </w:rPr>
      </w:pPr>
      <w:r w:rsidRPr="004B2AF8">
        <w:rPr>
          <w:sz w:val="22"/>
          <w:szCs w:val="22"/>
          <w:lang w:val="lt-LT"/>
        </w:rPr>
        <w:t>Pasiūlymas galioja iki ___________________________________________.</w:t>
      </w:r>
    </w:p>
    <w:p w14:paraId="58D7CDF8" w14:textId="77777777" w:rsidR="00B15A23" w:rsidRPr="004B2AF8" w:rsidRDefault="00B15A23" w:rsidP="00B15A23">
      <w:pPr>
        <w:widowControl w:val="0"/>
        <w:ind w:firstLine="567"/>
        <w:jc w:val="both"/>
        <w:rPr>
          <w:sz w:val="22"/>
          <w:szCs w:val="22"/>
          <w:lang w:val="lt-LT"/>
        </w:rPr>
      </w:pPr>
    </w:p>
    <w:p w14:paraId="6A058B64" w14:textId="77777777" w:rsidR="00B15A23" w:rsidRPr="004B2AF8" w:rsidRDefault="00B15A23" w:rsidP="00B15A23">
      <w:pPr>
        <w:ind w:firstLine="731"/>
        <w:jc w:val="both"/>
        <w:rPr>
          <w:sz w:val="22"/>
          <w:szCs w:val="22"/>
          <w:lang w:val="lt-LT"/>
        </w:rPr>
      </w:pPr>
      <w:r w:rsidRPr="004B2AF8">
        <w:rPr>
          <w:sz w:val="22"/>
          <w:szCs w:val="22"/>
          <w:lang w:val="lt-LT"/>
        </w:rPr>
        <w:t>Šiame pasiūlyme nurodyta informacija yra konfidenciali /</w:t>
      </w:r>
      <w:r w:rsidRPr="004B2AF8">
        <w:rPr>
          <w:i/>
          <w:sz w:val="22"/>
          <w:szCs w:val="22"/>
          <w:lang w:val="lt-LT"/>
        </w:rPr>
        <w:t>perkančioji organizacija šios informacijos negali atskleisti tretiesiems asmenims ir skelbti Lietuvos Respublikos viešųjų pirkimų įstatymo 20 straipsnio nustatyta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365"/>
        <w:gridCol w:w="4565"/>
      </w:tblGrid>
      <w:tr w:rsidR="00B15A23" w:rsidRPr="004B2AF8" w14:paraId="60BB94C6" w14:textId="77777777" w:rsidTr="00FE059C">
        <w:tc>
          <w:tcPr>
            <w:tcW w:w="698" w:type="dxa"/>
          </w:tcPr>
          <w:p w14:paraId="71C17589" w14:textId="77777777" w:rsidR="00B15A23" w:rsidRPr="004B2AF8" w:rsidRDefault="00B15A23" w:rsidP="00FE059C">
            <w:pPr>
              <w:jc w:val="both"/>
              <w:rPr>
                <w:sz w:val="22"/>
                <w:szCs w:val="22"/>
                <w:lang w:val="lt-LT"/>
              </w:rPr>
            </w:pPr>
            <w:r w:rsidRPr="004B2AF8">
              <w:rPr>
                <w:sz w:val="22"/>
                <w:szCs w:val="22"/>
                <w:lang w:val="lt-LT"/>
              </w:rPr>
              <w:t>Eil. Nr.</w:t>
            </w:r>
          </w:p>
        </w:tc>
        <w:tc>
          <w:tcPr>
            <w:tcW w:w="4365" w:type="dxa"/>
          </w:tcPr>
          <w:p w14:paraId="25C6EC6D" w14:textId="77777777" w:rsidR="00B15A23" w:rsidRPr="004B2AF8" w:rsidRDefault="00B15A23" w:rsidP="00FE059C">
            <w:pPr>
              <w:jc w:val="both"/>
              <w:rPr>
                <w:sz w:val="22"/>
                <w:szCs w:val="22"/>
                <w:lang w:val="lt-LT"/>
              </w:rPr>
            </w:pPr>
            <w:r w:rsidRPr="004B2AF8">
              <w:rPr>
                <w:sz w:val="22"/>
                <w:szCs w:val="22"/>
                <w:lang w:val="lt-LT"/>
              </w:rPr>
              <w:t>Pateikto dokumento pavadinimas</w:t>
            </w:r>
          </w:p>
        </w:tc>
        <w:tc>
          <w:tcPr>
            <w:tcW w:w="4565" w:type="dxa"/>
          </w:tcPr>
          <w:p w14:paraId="5B68DB8D" w14:textId="77777777" w:rsidR="00B15A23" w:rsidRPr="004B2AF8" w:rsidRDefault="00B15A23" w:rsidP="00FE059C">
            <w:pPr>
              <w:jc w:val="center"/>
              <w:rPr>
                <w:sz w:val="22"/>
                <w:szCs w:val="22"/>
                <w:lang w:val="lt-LT"/>
              </w:rPr>
            </w:pPr>
            <w:r w:rsidRPr="004B2AF8">
              <w:rPr>
                <w:sz w:val="22"/>
                <w:szCs w:val="22"/>
                <w:lang w:val="lt-LT"/>
              </w:rPr>
              <w:t>Konfidencialaus dokumento realus pagrindimas</w:t>
            </w:r>
          </w:p>
        </w:tc>
      </w:tr>
      <w:tr w:rsidR="00B15A23" w:rsidRPr="004B2AF8" w14:paraId="0BD4C388" w14:textId="77777777" w:rsidTr="00FE059C">
        <w:tc>
          <w:tcPr>
            <w:tcW w:w="698" w:type="dxa"/>
          </w:tcPr>
          <w:p w14:paraId="174766FE" w14:textId="77777777" w:rsidR="00B15A23" w:rsidRPr="004B2AF8" w:rsidRDefault="00B15A23" w:rsidP="00FE059C">
            <w:pPr>
              <w:jc w:val="both"/>
              <w:rPr>
                <w:sz w:val="22"/>
                <w:szCs w:val="22"/>
                <w:lang w:val="lt-LT"/>
              </w:rPr>
            </w:pPr>
          </w:p>
        </w:tc>
        <w:tc>
          <w:tcPr>
            <w:tcW w:w="4365" w:type="dxa"/>
          </w:tcPr>
          <w:p w14:paraId="2946E9CE" w14:textId="77777777" w:rsidR="00B15A23" w:rsidRPr="004B2AF8" w:rsidRDefault="00B15A23" w:rsidP="00FE059C">
            <w:pPr>
              <w:jc w:val="both"/>
              <w:rPr>
                <w:sz w:val="22"/>
                <w:szCs w:val="22"/>
                <w:lang w:val="lt-LT"/>
              </w:rPr>
            </w:pPr>
          </w:p>
        </w:tc>
        <w:tc>
          <w:tcPr>
            <w:tcW w:w="4565" w:type="dxa"/>
          </w:tcPr>
          <w:p w14:paraId="20843AE9" w14:textId="77777777" w:rsidR="00B15A23" w:rsidRPr="004B2AF8" w:rsidRDefault="00B15A23" w:rsidP="00FE059C">
            <w:pPr>
              <w:jc w:val="both"/>
              <w:rPr>
                <w:sz w:val="22"/>
                <w:szCs w:val="22"/>
                <w:lang w:val="lt-LT"/>
              </w:rPr>
            </w:pPr>
          </w:p>
        </w:tc>
      </w:tr>
      <w:tr w:rsidR="00B15A23" w:rsidRPr="004B2AF8" w14:paraId="0BEE7594" w14:textId="77777777" w:rsidTr="00FE059C">
        <w:tc>
          <w:tcPr>
            <w:tcW w:w="698" w:type="dxa"/>
          </w:tcPr>
          <w:p w14:paraId="7C5DE56F" w14:textId="77777777" w:rsidR="00B15A23" w:rsidRPr="004B2AF8" w:rsidRDefault="00B15A23" w:rsidP="00FE059C">
            <w:pPr>
              <w:jc w:val="both"/>
              <w:rPr>
                <w:sz w:val="22"/>
                <w:szCs w:val="22"/>
                <w:lang w:val="lt-LT"/>
              </w:rPr>
            </w:pPr>
          </w:p>
        </w:tc>
        <w:tc>
          <w:tcPr>
            <w:tcW w:w="4365" w:type="dxa"/>
          </w:tcPr>
          <w:p w14:paraId="3937D9E5" w14:textId="77777777" w:rsidR="00B15A23" w:rsidRPr="004B2AF8" w:rsidRDefault="00B15A23" w:rsidP="00FE059C">
            <w:pPr>
              <w:jc w:val="both"/>
              <w:rPr>
                <w:sz w:val="22"/>
                <w:szCs w:val="22"/>
                <w:lang w:val="lt-LT"/>
              </w:rPr>
            </w:pPr>
          </w:p>
        </w:tc>
        <w:tc>
          <w:tcPr>
            <w:tcW w:w="4565" w:type="dxa"/>
          </w:tcPr>
          <w:p w14:paraId="2EAF08B9" w14:textId="77777777" w:rsidR="00B15A23" w:rsidRPr="004B2AF8" w:rsidRDefault="00B15A23" w:rsidP="00FE059C">
            <w:pPr>
              <w:jc w:val="both"/>
              <w:rPr>
                <w:sz w:val="22"/>
                <w:szCs w:val="22"/>
                <w:lang w:val="lt-LT"/>
              </w:rPr>
            </w:pPr>
          </w:p>
        </w:tc>
      </w:tr>
    </w:tbl>
    <w:p w14:paraId="2A9EDD64" w14:textId="77777777" w:rsidR="00F462FD" w:rsidRPr="00F462FD" w:rsidRDefault="00B15A23" w:rsidP="00F462FD">
      <w:pPr>
        <w:jc w:val="both"/>
        <w:rPr>
          <w:rFonts w:eastAsia="Calibri"/>
          <w:bCs/>
          <w:sz w:val="22"/>
          <w:szCs w:val="22"/>
          <w:bdr w:val="none" w:sz="0" w:space="0" w:color="auto"/>
          <w:lang w:val="lt-LT" w:eastAsia="lt-LT"/>
        </w:rPr>
      </w:pPr>
      <w:r w:rsidRPr="004B2AF8">
        <w:rPr>
          <w:b/>
          <w:sz w:val="22"/>
          <w:szCs w:val="22"/>
          <w:lang w:val="lt-LT"/>
        </w:rPr>
        <w:t>Pastaba.</w:t>
      </w:r>
      <w:r w:rsidRPr="004B2AF8">
        <w:rPr>
          <w:sz w:val="22"/>
          <w:szCs w:val="22"/>
          <w:lang w:val="lt-LT"/>
        </w:rPr>
        <w:t xml:space="preserve"> Teikėjui nenurodžius, kokia informacija yra konfidenciali, laikoma, kad konfidencialios informacijos pasiūlyme nėra.</w:t>
      </w:r>
      <w:r w:rsidR="00F462FD">
        <w:rPr>
          <w:sz w:val="22"/>
          <w:szCs w:val="22"/>
          <w:lang w:val="lt-LT"/>
        </w:rPr>
        <w:t xml:space="preserve"> </w:t>
      </w:r>
      <w:r w:rsidR="00F462FD" w:rsidRPr="00F462FD">
        <w:rPr>
          <w:rFonts w:eastAsia="Calibri"/>
          <w:bCs/>
          <w:sz w:val="22"/>
          <w:szCs w:val="22"/>
          <w:bdr w:val="none" w:sz="0" w:space="0" w:color="auto"/>
          <w:lang w:val="lt-LT" w:eastAsia="lt-LT"/>
        </w:rPr>
        <w:t>(</w:t>
      </w:r>
      <w:r w:rsidR="00F462FD" w:rsidRPr="00F462FD">
        <w:rPr>
          <w:rFonts w:eastAsia="Calibri"/>
          <w:bCs/>
          <w:i/>
          <w:iCs/>
          <w:sz w:val="22"/>
          <w:szCs w:val="22"/>
          <w:bdr w:val="none" w:sz="0" w:space="0" w:color="auto"/>
          <w:lang w:val="lt-LT" w:eastAsia="lt-LT"/>
        </w:rPr>
        <w:t>Pildyti tuomet, jei bus pateikta konfidenciali informacija</w:t>
      </w:r>
      <w:r w:rsidR="00F462FD" w:rsidRPr="00F462FD">
        <w:rPr>
          <w:rFonts w:eastAsia="Calibri"/>
          <w:bCs/>
          <w:sz w:val="22"/>
          <w:szCs w:val="22"/>
          <w:bdr w:val="none" w:sz="0" w:space="0" w:color="auto"/>
          <w:lang w:val="lt-LT" w:eastAsia="lt-LT"/>
        </w:rPr>
        <w:t>.)</w:t>
      </w:r>
    </w:p>
    <w:p w14:paraId="2BA00984" w14:textId="77777777" w:rsidR="00F462FD" w:rsidRPr="00F462FD" w:rsidRDefault="00F462FD" w:rsidP="00F462F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Cs/>
          <w:sz w:val="22"/>
          <w:szCs w:val="22"/>
          <w:bdr w:val="none" w:sz="0" w:space="0" w:color="auto"/>
          <w:lang w:val="lt-LT" w:eastAsia="lt-LT"/>
        </w:rPr>
      </w:pPr>
    </w:p>
    <w:p w14:paraId="3599CBAB" w14:textId="77777777" w:rsidR="00F462FD" w:rsidRPr="00F462FD" w:rsidRDefault="00F462FD" w:rsidP="00F462F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eastAsia="lt-LT"/>
        </w:rPr>
      </w:pPr>
      <w:r w:rsidRPr="00F462FD">
        <w:rPr>
          <w:rFonts w:eastAsia="Calibri"/>
          <w:sz w:val="22"/>
          <w:szCs w:val="22"/>
          <w:bdr w:val="none" w:sz="0" w:space="0" w:color="auto"/>
          <w:lang w:val="lt-LT" w:eastAsia="lt-LT"/>
        </w:rPr>
        <w:t>Paslaugų teikėjas</w:t>
      </w:r>
      <w:r w:rsidRPr="00F462FD">
        <w:rPr>
          <w:rFonts w:eastAsia="Calibri"/>
          <w:bCs/>
          <w:sz w:val="22"/>
          <w:szCs w:val="22"/>
          <w:bdr w:val="none" w:sz="0" w:space="0" w:color="auto"/>
          <w:lang w:val="lt-LT" w:eastAsia="lt-LT"/>
        </w:rPr>
        <w:t xml:space="preserve"> negali nurodyti, kad konfidenciali yra pasiūlymo kaina, įkainiai, subteikėjai arba, kad visas pasiūlymas yra konfidencialus. </w:t>
      </w:r>
      <w:r w:rsidRPr="00F462FD">
        <w:rPr>
          <w:rFonts w:eastAsia="Calibri"/>
          <w:sz w:val="22"/>
          <w:szCs w:val="22"/>
          <w:bdr w:val="none" w:sz="0" w:space="0" w:color="auto"/>
          <w:lang w:val="lt-LT" w:eastAsia="lt-LT"/>
        </w:rPr>
        <w:t>Paslaugų teikėjui nenurodžius, kokia informacija yra konfidenciali, laikoma, kad konfidencialios informacijos pasiūlyme nėra.</w:t>
      </w:r>
    </w:p>
    <w:p w14:paraId="2EB8FAD9" w14:textId="68273A3B" w:rsidR="00DD126A" w:rsidRDefault="00DD126A" w:rsidP="001E351F">
      <w:pPr>
        <w:jc w:val="both"/>
        <w:rPr>
          <w:sz w:val="22"/>
          <w:szCs w:val="22"/>
          <w:lang w:val="lt-LT"/>
        </w:rPr>
      </w:pPr>
    </w:p>
    <w:p w14:paraId="550A5B6B" w14:textId="0961EB45" w:rsidR="00E204B8" w:rsidRDefault="00E204B8" w:rsidP="001E351F">
      <w:pPr>
        <w:jc w:val="both"/>
        <w:rPr>
          <w:sz w:val="22"/>
          <w:szCs w:val="22"/>
          <w:lang w:val="lt-LT"/>
        </w:rPr>
      </w:pPr>
    </w:p>
    <w:p w14:paraId="0C8B6FEA" w14:textId="5C51202D" w:rsidR="00E204B8" w:rsidRDefault="00E204B8" w:rsidP="001E351F">
      <w:pPr>
        <w:jc w:val="both"/>
        <w:rPr>
          <w:sz w:val="22"/>
          <w:szCs w:val="22"/>
          <w:lang w:val="lt-LT"/>
        </w:rPr>
      </w:pPr>
    </w:p>
    <w:p w14:paraId="2F4C32B8" w14:textId="1942848E" w:rsidR="00E204B8" w:rsidRDefault="00E204B8" w:rsidP="001E351F">
      <w:pPr>
        <w:jc w:val="both"/>
        <w:rPr>
          <w:sz w:val="22"/>
          <w:szCs w:val="22"/>
          <w:lang w:val="lt-LT"/>
        </w:rPr>
      </w:pPr>
    </w:p>
    <w:tbl>
      <w:tblPr>
        <w:tblW w:w="9889" w:type="dxa"/>
        <w:tblLayout w:type="fixed"/>
        <w:tblLook w:val="01E0" w:firstRow="1" w:lastRow="1" w:firstColumn="1" w:lastColumn="1" w:noHBand="0" w:noVBand="0"/>
      </w:tblPr>
      <w:tblGrid>
        <w:gridCol w:w="3007"/>
        <w:gridCol w:w="298"/>
        <w:gridCol w:w="608"/>
        <w:gridCol w:w="1992"/>
        <w:gridCol w:w="705"/>
        <w:gridCol w:w="2627"/>
        <w:gridCol w:w="652"/>
      </w:tblGrid>
      <w:tr w:rsidR="00E204B8" w:rsidRPr="0058185A" w14:paraId="2FEBD3BF" w14:textId="77777777" w:rsidTr="00FE059C">
        <w:tc>
          <w:tcPr>
            <w:tcW w:w="2988" w:type="dxa"/>
          </w:tcPr>
          <w:p w14:paraId="6050F6AE" w14:textId="77777777" w:rsidR="00E204B8" w:rsidRPr="00E204B8" w:rsidRDefault="00E204B8" w:rsidP="00E204B8">
            <w:pPr>
              <w:jc w:val="both"/>
              <w:rPr>
                <w:lang w:val="lt-LT"/>
              </w:rPr>
            </w:pPr>
          </w:p>
        </w:tc>
        <w:tc>
          <w:tcPr>
            <w:tcW w:w="6840" w:type="dxa"/>
            <w:gridSpan w:val="6"/>
          </w:tcPr>
          <w:p w14:paraId="1D14541E" w14:textId="77777777" w:rsidR="00E204B8" w:rsidRPr="00E204B8" w:rsidRDefault="00E204B8" w:rsidP="00E204B8">
            <w:pPr>
              <w:jc w:val="both"/>
              <w:rPr>
                <w:i/>
                <w:lang w:val="lt-LT"/>
              </w:rPr>
            </w:pPr>
          </w:p>
        </w:tc>
      </w:tr>
      <w:tr w:rsidR="00E204B8" w:rsidRPr="0058185A" w14:paraId="058E8D24" w14:textId="77777777" w:rsidTr="00FE059C">
        <w:trPr>
          <w:trHeight w:val="285"/>
        </w:trPr>
        <w:tc>
          <w:tcPr>
            <w:tcW w:w="3284" w:type="dxa"/>
            <w:gridSpan w:val="2"/>
            <w:tcBorders>
              <w:top w:val="nil"/>
              <w:left w:val="nil"/>
              <w:bottom w:val="single" w:sz="4" w:space="0" w:color="auto"/>
              <w:right w:val="nil"/>
            </w:tcBorders>
          </w:tcPr>
          <w:p w14:paraId="05271FDB" w14:textId="77777777" w:rsidR="00E204B8" w:rsidRPr="00E204B8" w:rsidRDefault="00E204B8" w:rsidP="00E204B8">
            <w:pPr>
              <w:ind w:right="-1"/>
              <w:rPr>
                <w:lang w:val="lt-LT"/>
              </w:rPr>
            </w:pPr>
          </w:p>
        </w:tc>
        <w:tc>
          <w:tcPr>
            <w:tcW w:w="604" w:type="dxa"/>
          </w:tcPr>
          <w:p w14:paraId="48FDC363" w14:textId="77777777" w:rsidR="00E204B8" w:rsidRPr="00E204B8" w:rsidRDefault="00E204B8" w:rsidP="00E204B8">
            <w:pPr>
              <w:ind w:right="-1"/>
              <w:jc w:val="center"/>
              <w:rPr>
                <w:lang w:val="lt-LT"/>
              </w:rPr>
            </w:pPr>
          </w:p>
        </w:tc>
        <w:tc>
          <w:tcPr>
            <w:tcW w:w="1980" w:type="dxa"/>
            <w:tcBorders>
              <w:top w:val="nil"/>
              <w:left w:val="nil"/>
              <w:bottom w:val="single" w:sz="4" w:space="0" w:color="auto"/>
              <w:right w:val="nil"/>
            </w:tcBorders>
          </w:tcPr>
          <w:p w14:paraId="4A3D9AF6" w14:textId="77777777" w:rsidR="00E204B8" w:rsidRPr="00E204B8" w:rsidRDefault="00E204B8" w:rsidP="00E204B8">
            <w:pPr>
              <w:ind w:right="-1"/>
              <w:jc w:val="center"/>
              <w:rPr>
                <w:lang w:val="lt-LT"/>
              </w:rPr>
            </w:pPr>
          </w:p>
        </w:tc>
        <w:tc>
          <w:tcPr>
            <w:tcW w:w="701" w:type="dxa"/>
          </w:tcPr>
          <w:p w14:paraId="386E9BB8" w14:textId="77777777" w:rsidR="00E204B8" w:rsidRPr="00E204B8" w:rsidRDefault="00E204B8" w:rsidP="00E204B8">
            <w:pPr>
              <w:ind w:right="-1"/>
              <w:jc w:val="center"/>
              <w:rPr>
                <w:lang w:val="lt-LT"/>
              </w:rPr>
            </w:pPr>
          </w:p>
        </w:tc>
        <w:tc>
          <w:tcPr>
            <w:tcW w:w="2611" w:type="dxa"/>
            <w:tcBorders>
              <w:top w:val="nil"/>
              <w:left w:val="nil"/>
              <w:bottom w:val="single" w:sz="4" w:space="0" w:color="auto"/>
              <w:right w:val="nil"/>
            </w:tcBorders>
          </w:tcPr>
          <w:p w14:paraId="0658BF35" w14:textId="77777777" w:rsidR="00E204B8" w:rsidRPr="00E204B8" w:rsidRDefault="00E204B8" w:rsidP="00E204B8">
            <w:pPr>
              <w:ind w:right="-1"/>
              <w:jc w:val="right"/>
              <w:rPr>
                <w:lang w:val="lt-LT"/>
              </w:rPr>
            </w:pPr>
          </w:p>
        </w:tc>
        <w:tc>
          <w:tcPr>
            <w:tcW w:w="648" w:type="dxa"/>
          </w:tcPr>
          <w:p w14:paraId="15AC142C" w14:textId="77777777" w:rsidR="00E204B8" w:rsidRPr="00E204B8" w:rsidRDefault="00E204B8" w:rsidP="00E204B8">
            <w:pPr>
              <w:ind w:right="-1"/>
              <w:jc w:val="right"/>
              <w:rPr>
                <w:lang w:val="lt-LT"/>
              </w:rPr>
            </w:pPr>
          </w:p>
        </w:tc>
      </w:tr>
      <w:tr w:rsidR="00E204B8" w:rsidRPr="00E204B8" w14:paraId="5A4DBBAC" w14:textId="77777777" w:rsidTr="00FE059C">
        <w:trPr>
          <w:trHeight w:val="186"/>
        </w:trPr>
        <w:tc>
          <w:tcPr>
            <w:tcW w:w="3284" w:type="dxa"/>
            <w:gridSpan w:val="2"/>
            <w:tcBorders>
              <w:top w:val="single" w:sz="4" w:space="0" w:color="auto"/>
              <w:left w:val="nil"/>
              <w:bottom w:val="nil"/>
              <w:right w:val="nil"/>
            </w:tcBorders>
          </w:tcPr>
          <w:p w14:paraId="48C9578C" w14:textId="77777777" w:rsidR="00E204B8" w:rsidRPr="00E204B8" w:rsidRDefault="00E204B8" w:rsidP="00E204B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E204B8">
              <w:rPr>
                <w:rFonts w:eastAsia="Times New Roman"/>
                <w:position w:val="6"/>
                <w:sz w:val="20"/>
                <w:szCs w:val="20"/>
                <w:bdr w:val="none" w:sz="0" w:space="0" w:color="auto"/>
                <w:lang w:val="lt-LT"/>
              </w:rPr>
              <w:t>(Teikėjo arba jo įgalioto asmens pareigų pavadinimas)</w:t>
            </w:r>
          </w:p>
        </w:tc>
        <w:tc>
          <w:tcPr>
            <w:tcW w:w="604" w:type="dxa"/>
          </w:tcPr>
          <w:p w14:paraId="6F307BE9" w14:textId="77777777" w:rsidR="00E204B8" w:rsidRPr="00E204B8" w:rsidRDefault="00E204B8" w:rsidP="00E204B8">
            <w:pPr>
              <w:ind w:right="-1"/>
              <w:jc w:val="center"/>
              <w:rPr>
                <w:lang w:val="lt-LT"/>
              </w:rPr>
            </w:pPr>
          </w:p>
        </w:tc>
        <w:tc>
          <w:tcPr>
            <w:tcW w:w="1980" w:type="dxa"/>
            <w:tcBorders>
              <w:top w:val="single" w:sz="4" w:space="0" w:color="auto"/>
              <w:left w:val="nil"/>
              <w:bottom w:val="nil"/>
              <w:right w:val="nil"/>
            </w:tcBorders>
          </w:tcPr>
          <w:p w14:paraId="320E829F" w14:textId="77777777" w:rsidR="00E204B8" w:rsidRPr="00E204B8" w:rsidRDefault="00E204B8" w:rsidP="00E204B8">
            <w:pPr>
              <w:ind w:right="-1"/>
              <w:jc w:val="center"/>
              <w:rPr>
                <w:sz w:val="20"/>
                <w:lang w:val="lt-LT"/>
              </w:rPr>
            </w:pPr>
            <w:r w:rsidRPr="00E204B8">
              <w:rPr>
                <w:position w:val="6"/>
                <w:sz w:val="20"/>
                <w:lang w:val="lt-LT"/>
              </w:rPr>
              <w:t>(Parašas)</w:t>
            </w:r>
          </w:p>
        </w:tc>
        <w:tc>
          <w:tcPr>
            <w:tcW w:w="701" w:type="dxa"/>
          </w:tcPr>
          <w:p w14:paraId="71B5D3AB" w14:textId="77777777" w:rsidR="00E204B8" w:rsidRPr="00E204B8" w:rsidRDefault="00E204B8" w:rsidP="00E204B8">
            <w:pPr>
              <w:ind w:right="-1"/>
              <w:jc w:val="center"/>
              <w:rPr>
                <w:lang w:val="lt-LT"/>
              </w:rPr>
            </w:pPr>
          </w:p>
        </w:tc>
        <w:tc>
          <w:tcPr>
            <w:tcW w:w="2611" w:type="dxa"/>
            <w:tcBorders>
              <w:top w:val="single" w:sz="4" w:space="0" w:color="auto"/>
              <w:left w:val="nil"/>
              <w:bottom w:val="nil"/>
              <w:right w:val="nil"/>
            </w:tcBorders>
          </w:tcPr>
          <w:p w14:paraId="67863304" w14:textId="77777777" w:rsidR="00E204B8" w:rsidRPr="00E204B8" w:rsidRDefault="00E204B8" w:rsidP="00E204B8">
            <w:pPr>
              <w:ind w:right="-1"/>
              <w:jc w:val="center"/>
              <w:rPr>
                <w:sz w:val="20"/>
                <w:lang w:val="lt-LT"/>
              </w:rPr>
            </w:pPr>
            <w:r w:rsidRPr="00E204B8">
              <w:rPr>
                <w:position w:val="6"/>
                <w:sz w:val="20"/>
                <w:lang w:val="lt-LT"/>
              </w:rPr>
              <w:t>(Vardas ir pavardė)</w:t>
            </w:r>
          </w:p>
        </w:tc>
        <w:tc>
          <w:tcPr>
            <w:tcW w:w="648" w:type="dxa"/>
          </w:tcPr>
          <w:p w14:paraId="22600FE0" w14:textId="77777777" w:rsidR="00E204B8" w:rsidRPr="00E204B8" w:rsidRDefault="00E204B8" w:rsidP="00E204B8">
            <w:pPr>
              <w:ind w:right="-1"/>
              <w:jc w:val="center"/>
              <w:rPr>
                <w:lang w:val="lt-LT"/>
              </w:rPr>
            </w:pPr>
          </w:p>
        </w:tc>
      </w:tr>
    </w:tbl>
    <w:p w14:paraId="27E3E88B" w14:textId="2F23E5D3" w:rsidR="00E204B8" w:rsidRDefault="00E204B8" w:rsidP="001E351F">
      <w:pPr>
        <w:jc w:val="both"/>
        <w:rPr>
          <w:lang w:val="lt-LT"/>
        </w:rPr>
      </w:pPr>
    </w:p>
    <w:p w14:paraId="0F34A633" w14:textId="4529AD5A" w:rsidR="00E204B8" w:rsidRDefault="00E204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p w14:paraId="498930DA" w14:textId="77777777" w:rsidR="00E204B8" w:rsidRPr="004B2AF8" w:rsidRDefault="00E204B8" w:rsidP="001E351F">
      <w:pPr>
        <w:jc w:val="both"/>
        <w:rPr>
          <w:lang w:val="lt-LT"/>
        </w:rPr>
      </w:pPr>
    </w:p>
    <w:sectPr w:rsidR="00E204B8" w:rsidRPr="004B2AF8" w:rsidSect="00E204B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7EE4C" w14:textId="77777777" w:rsidR="00A539F2" w:rsidRDefault="00A539F2" w:rsidP="00E204B8">
      <w:r>
        <w:separator/>
      </w:r>
    </w:p>
  </w:endnote>
  <w:endnote w:type="continuationSeparator" w:id="0">
    <w:p w14:paraId="5782C8DE" w14:textId="77777777" w:rsidR="00A539F2" w:rsidRDefault="00A539F2" w:rsidP="00E2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6362E" w14:textId="77777777" w:rsidR="00A539F2" w:rsidRDefault="00A539F2" w:rsidP="00E204B8">
      <w:r>
        <w:separator/>
      </w:r>
    </w:p>
  </w:footnote>
  <w:footnote w:type="continuationSeparator" w:id="0">
    <w:p w14:paraId="710A8A58" w14:textId="77777777" w:rsidR="00A539F2" w:rsidRDefault="00A539F2" w:rsidP="00E2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E5FF" w14:textId="1600CC81" w:rsidR="00E204B8" w:rsidRDefault="00E204B8">
    <w:pPr>
      <w:pStyle w:val="Antrats"/>
      <w:jc w:val="center"/>
    </w:pPr>
  </w:p>
  <w:p w14:paraId="52C17984" w14:textId="77777777" w:rsidR="00E204B8" w:rsidRDefault="00E204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D9F"/>
    <w:multiLevelType w:val="multilevel"/>
    <w:tmpl w:val="48D0D030"/>
    <w:lvl w:ilvl="0">
      <w:start w:val="1"/>
      <w:numFmt w:val="decimal"/>
      <w:lvlText w:val="%1."/>
      <w:lvlJc w:val="left"/>
      <w:pPr>
        <w:ind w:left="480" w:hanging="35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24" w:hanging="55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4" w:hanging="56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65" w:hanging="566"/>
      </w:pPr>
      <w:rPr>
        <w:rFonts w:hint="default"/>
        <w:lang w:val="lt-LT" w:eastAsia="en-US" w:bidi="ar-SA"/>
      </w:rPr>
    </w:lvl>
    <w:lvl w:ilvl="4">
      <w:numFmt w:val="bullet"/>
      <w:lvlText w:val="•"/>
      <w:lvlJc w:val="left"/>
      <w:pPr>
        <w:ind w:left="3608" w:hanging="566"/>
      </w:pPr>
      <w:rPr>
        <w:rFonts w:hint="default"/>
        <w:lang w:val="lt-LT" w:eastAsia="en-US" w:bidi="ar-SA"/>
      </w:rPr>
    </w:lvl>
    <w:lvl w:ilvl="5">
      <w:numFmt w:val="bullet"/>
      <w:lvlText w:val="•"/>
      <w:lvlJc w:val="left"/>
      <w:pPr>
        <w:ind w:left="4651" w:hanging="566"/>
      </w:pPr>
      <w:rPr>
        <w:rFonts w:hint="default"/>
        <w:lang w:val="lt-LT" w:eastAsia="en-US" w:bidi="ar-SA"/>
      </w:rPr>
    </w:lvl>
    <w:lvl w:ilvl="6">
      <w:numFmt w:val="bullet"/>
      <w:lvlText w:val="•"/>
      <w:lvlJc w:val="left"/>
      <w:pPr>
        <w:ind w:left="5694" w:hanging="566"/>
      </w:pPr>
      <w:rPr>
        <w:rFonts w:hint="default"/>
        <w:lang w:val="lt-LT" w:eastAsia="en-US" w:bidi="ar-SA"/>
      </w:rPr>
    </w:lvl>
    <w:lvl w:ilvl="7">
      <w:numFmt w:val="bullet"/>
      <w:lvlText w:val="•"/>
      <w:lvlJc w:val="left"/>
      <w:pPr>
        <w:ind w:left="6737" w:hanging="566"/>
      </w:pPr>
      <w:rPr>
        <w:rFonts w:hint="default"/>
        <w:lang w:val="lt-LT" w:eastAsia="en-US" w:bidi="ar-SA"/>
      </w:rPr>
    </w:lvl>
    <w:lvl w:ilvl="8">
      <w:numFmt w:val="bullet"/>
      <w:lvlText w:val="•"/>
      <w:lvlJc w:val="left"/>
      <w:pPr>
        <w:ind w:left="7780" w:hanging="566"/>
      </w:pPr>
      <w:rPr>
        <w:rFonts w:hint="default"/>
        <w:lang w:val="lt-LT" w:eastAsia="en-US" w:bidi="ar-SA"/>
      </w:rPr>
    </w:lvl>
  </w:abstractNum>
  <w:num w:numId="1" w16cid:durableId="144214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23"/>
    <w:rsid w:val="000266DB"/>
    <w:rsid w:val="00051F33"/>
    <w:rsid w:val="000A6768"/>
    <w:rsid w:val="000D09AF"/>
    <w:rsid w:val="000D5A0C"/>
    <w:rsid w:val="0010050C"/>
    <w:rsid w:val="0012775B"/>
    <w:rsid w:val="00192BC4"/>
    <w:rsid w:val="001C5C64"/>
    <w:rsid w:val="001E351F"/>
    <w:rsid w:val="002115CA"/>
    <w:rsid w:val="00284181"/>
    <w:rsid w:val="002A6ADA"/>
    <w:rsid w:val="002D3A35"/>
    <w:rsid w:val="00332A76"/>
    <w:rsid w:val="0047751B"/>
    <w:rsid w:val="004B2AF8"/>
    <w:rsid w:val="00520670"/>
    <w:rsid w:val="00570864"/>
    <w:rsid w:val="0058185A"/>
    <w:rsid w:val="005B1471"/>
    <w:rsid w:val="005E5FF4"/>
    <w:rsid w:val="005E6E3F"/>
    <w:rsid w:val="00626D73"/>
    <w:rsid w:val="006641E5"/>
    <w:rsid w:val="0068023A"/>
    <w:rsid w:val="006B1DF0"/>
    <w:rsid w:val="006F5E3F"/>
    <w:rsid w:val="00700A94"/>
    <w:rsid w:val="00707E7B"/>
    <w:rsid w:val="007D42E9"/>
    <w:rsid w:val="007E7F1F"/>
    <w:rsid w:val="0082332B"/>
    <w:rsid w:val="008869FC"/>
    <w:rsid w:val="009376C9"/>
    <w:rsid w:val="00966F7A"/>
    <w:rsid w:val="009A47C5"/>
    <w:rsid w:val="009B356C"/>
    <w:rsid w:val="009F0436"/>
    <w:rsid w:val="00A24856"/>
    <w:rsid w:val="00A539F2"/>
    <w:rsid w:val="00A6380E"/>
    <w:rsid w:val="00A6604F"/>
    <w:rsid w:val="00B15A23"/>
    <w:rsid w:val="00B37BBB"/>
    <w:rsid w:val="00B47E7E"/>
    <w:rsid w:val="00B80A76"/>
    <w:rsid w:val="00BB5528"/>
    <w:rsid w:val="00BD3CEB"/>
    <w:rsid w:val="00BE0CC7"/>
    <w:rsid w:val="00C23F28"/>
    <w:rsid w:val="00C470C3"/>
    <w:rsid w:val="00CA06F0"/>
    <w:rsid w:val="00CD56F0"/>
    <w:rsid w:val="00D04A95"/>
    <w:rsid w:val="00DA63B2"/>
    <w:rsid w:val="00DD126A"/>
    <w:rsid w:val="00DE267F"/>
    <w:rsid w:val="00E204B8"/>
    <w:rsid w:val="00F35E6C"/>
    <w:rsid w:val="00F462FD"/>
    <w:rsid w:val="00F919BA"/>
    <w:rsid w:val="00F93F2A"/>
    <w:rsid w:val="00FF2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B420"/>
  <w15:chartTrackingRefBased/>
  <w15:docId w15:val="{54F88DD0-930A-4805-92EF-3A228118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5A2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B15A2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link w:val="BetarpDiagrama"/>
    <w:uiPriority w:val="1"/>
    <w:qFormat/>
    <w:rsid w:val="00B15A23"/>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B15A23"/>
    <w:rPr>
      <w:rFonts w:ascii="Times New Roman" w:eastAsia="Times New Roman" w:hAnsi="Times New Roman" w:cs="Times New Roman"/>
      <w:sz w:val="24"/>
      <w:szCs w:val="24"/>
    </w:rPr>
  </w:style>
  <w:style w:type="character" w:customStyle="1" w:styleId="Bodytext2Exact">
    <w:name w:val="Body text (2) Exact"/>
    <w:rsid w:val="00B15A23"/>
    <w:rPr>
      <w:rFonts w:ascii="Times New Roman" w:eastAsia="Times New Roman" w:hAnsi="Times New Roman" w:cs="Times New Roman"/>
      <w:b w:val="0"/>
      <w:bCs w:val="0"/>
      <w:i w:val="0"/>
      <w:iCs w:val="0"/>
      <w:smallCaps w:val="0"/>
      <w:strike w:val="0"/>
      <w:sz w:val="20"/>
      <w:szCs w:val="20"/>
      <w:u w:val="none"/>
    </w:rPr>
  </w:style>
  <w:style w:type="table" w:styleId="Lentelstinklelis">
    <w:name w:val="Table Grid"/>
    <w:basedOn w:val="prastojilentel"/>
    <w:rsid w:val="00B1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B2AF8"/>
    <w:rPr>
      <w:color w:val="808080"/>
    </w:rPr>
  </w:style>
  <w:style w:type="paragraph" w:styleId="Antrats">
    <w:name w:val="header"/>
    <w:basedOn w:val="prastasis"/>
    <w:link w:val="AntratsDiagrama"/>
    <w:uiPriority w:val="99"/>
    <w:unhideWhenUsed/>
    <w:rsid w:val="00E204B8"/>
    <w:pPr>
      <w:tabs>
        <w:tab w:val="center" w:pos="4819"/>
        <w:tab w:val="right" w:pos="9638"/>
      </w:tabs>
    </w:pPr>
  </w:style>
  <w:style w:type="character" w:customStyle="1" w:styleId="AntratsDiagrama">
    <w:name w:val="Antraštės Diagrama"/>
    <w:basedOn w:val="Numatytasispastraiposriftas"/>
    <w:link w:val="Antrats"/>
    <w:uiPriority w:val="99"/>
    <w:rsid w:val="00E204B8"/>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E204B8"/>
    <w:pPr>
      <w:tabs>
        <w:tab w:val="center" w:pos="4819"/>
        <w:tab w:val="right" w:pos="9638"/>
      </w:tabs>
    </w:pPr>
  </w:style>
  <w:style w:type="character" w:customStyle="1" w:styleId="PoratDiagrama">
    <w:name w:val="Poraštė Diagrama"/>
    <w:basedOn w:val="Numatytasispastraiposriftas"/>
    <w:link w:val="Porat"/>
    <w:uiPriority w:val="99"/>
    <w:rsid w:val="00E204B8"/>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47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19603&amp;Zd=VIE%D0%2BPIRK%2B%C1STAT&amp;BF=4" TargetMode="External"/><Relationship Id="rId3" Type="http://schemas.openxmlformats.org/officeDocument/2006/relationships/settings" Target="settings.xml"/><Relationship Id="rId7" Type="http://schemas.openxmlformats.org/officeDocument/2006/relationships/hyperlink" Target="http://litlex/Litlex/LL.DLL?Tekstas=1?Id=19603&amp;Zd=VIE%D0%2BPIRK%2B%C1STAT&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5915</Words>
  <Characters>3373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40</cp:revision>
  <dcterms:created xsi:type="dcterms:W3CDTF">2024-11-27T14:07:00Z</dcterms:created>
  <dcterms:modified xsi:type="dcterms:W3CDTF">2024-12-04T07:14:00Z</dcterms:modified>
</cp:coreProperties>
</file>