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454B0" w14:textId="77777777" w:rsidR="00C80D15" w:rsidRPr="00D9391B" w:rsidRDefault="00C80D15" w:rsidP="00C80D15">
      <w:pPr>
        <w:spacing w:line="240" w:lineRule="auto"/>
        <w:ind w:left="7314" w:firstLine="0"/>
        <w:rPr>
          <w:rFonts w:cstheme="minorHAnsi"/>
        </w:rPr>
      </w:pPr>
      <w:r w:rsidRPr="00A76EAF">
        <w:rPr>
          <w:rFonts w:cstheme="minorHAnsi"/>
        </w:rPr>
        <w:t xml:space="preserve">Pirkimo sąlygų </w:t>
      </w:r>
      <w:r>
        <w:rPr>
          <w:rFonts w:cstheme="minorHAnsi"/>
        </w:rPr>
        <w:t>1</w:t>
      </w:r>
      <w:r w:rsidRPr="00A76EAF">
        <w:rPr>
          <w:rFonts w:cstheme="minorHAnsi"/>
        </w:rPr>
        <w:t xml:space="preserve"> priedas „Techninė specifikacija“</w:t>
      </w: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77777777" w:rsidR="00C80D15" w:rsidRPr="005959DA" w:rsidRDefault="00C80D15" w:rsidP="00C80D15">
      <w:pPr>
        <w:numPr>
          <w:ilvl w:val="1"/>
          <w:numId w:val="1"/>
        </w:numPr>
        <w:spacing w:line="240" w:lineRule="auto"/>
        <w:rPr>
          <w:rFonts w:ascii="Times New Roman" w:eastAsia="Times New Roman" w:hAnsi="Times New Roman" w:cs="Times New Roman"/>
          <w:b/>
          <w:bCs/>
          <w:sz w:val="24"/>
          <w:szCs w:val="24"/>
          <w:lang w:eastAsia="en-US"/>
        </w:rPr>
      </w:pPr>
      <w:r w:rsidRPr="005959DA">
        <w:rPr>
          <w:rFonts w:ascii="Times New Roman" w:eastAsia="Times New Roman" w:hAnsi="Times New Roman" w:cs="Times New Roman"/>
          <w:b/>
          <w:bCs/>
          <w:sz w:val="24"/>
          <w:szCs w:val="24"/>
          <w:lang w:eastAsia="en-US"/>
        </w:rPr>
        <w:t xml:space="preserve">Paslaugos turi būti teikiamas tik Lietuvoje. </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4CA73442" w14:textId="77777777" w:rsidR="00C80D15"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sidRPr="002F7BE7">
        <w:rPr>
          <w:rFonts w:ascii="Times New Roman" w:eastAsia="Times New Roman" w:hAnsi="Times New Roman" w:cs="Times New Roman"/>
          <w:b/>
          <w:sz w:val="24"/>
          <w:szCs w:val="24"/>
          <w:lang w:eastAsia="en-US"/>
        </w:rPr>
        <w:t xml:space="preserve">Marių g. 6, </w:t>
      </w:r>
      <w:proofErr w:type="spellStart"/>
      <w:r w:rsidRPr="002F7BE7">
        <w:rPr>
          <w:rFonts w:ascii="Times New Roman" w:eastAsia="Times New Roman" w:hAnsi="Times New Roman" w:cs="Times New Roman"/>
          <w:b/>
          <w:sz w:val="24"/>
          <w:szCs w:val="24"/>
          <w:lang w:eastAsia="en-US"/>
        </w:rPr>
        <w:t>Maisiejūnai</w:t>
      </w:r>
      <w:proofErr w:type="spellEnd"/>
      <w:r w:rsidRPr="002F7BE7">
        <w:rPr>
          <w:rFonts w:ascii="Times New Roman" w:eastAsia="Times New Roman" w:hAnsi="Times New Roman" w:cs="Times New Roman"/>
          <w:b/>
          <w:sz w:val="24"/>
          <w:szCs w:val="24"/>
          <w:lang w:eastAsia="en-US"/>
        </w:rPr>
        <w:t>, Kruonio sen., Kaišiadorių raj.;</w:t>
      </w:r>
      <w:r w:rsidRPr="002F7BE7">
        <w:rPr>
          <w:rFonts w:ascii="Times New Roman" w:eastAsia="Times New Roman" w:hAnsi="Times New Roman" w:cs="Times New Roman"/>
          <w:sz w:val="24"/>
          <w:szCs w:val="24"/>
          <w:lang w:eastAsia="en-US"/>
        </w:rPr>
        <w:t xml:space="preserve"> </w:t>
      </w:r>
    </w:p>
    <w:p w14:paraId="458CB094" w14:textId="77777777" w:rsidR="00C80D15"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sidRPr="002F7BE7">
        <w:rPr>
          <w:rFonts w:ascii="Times New Roman" w:eastAsia="Times New Roman" w:hAnsi="Times New Roman" w:cs="Times New Roman"/>
          <w:b/>
          <w:sz w:val="24"/>
          <w:szCs w:val="24"/>
          <w:lang w:eastAsia="en-US"/>
        </w:rPr>
        <w:t>A.</w:t>
      </w:r>
      <w:r w:rsidRPr="002F7BE7">
        <w:rPr>
          <w:rFonts w:ascii="Times New Roman" w:eastAsia="Times New Roman" w:hAnsi="Times New Roman" w:cs="Times New Roman"/>
          <w:sz w:val="24"/>
          <w:szCs w:val="24"/>
          <w:lang w:eastAsia="en-US"/>
        </w:rPr>
        <w:t xml:space="preserve"> </w:t>
      </w:r>
      <w:r w:rsidRPr="002F7BE7">
        <w:rPr>
          <w:rFonts w:ascii="Times New Roman" w:eastAsia="Times New Roman" w:hAnsi="Times New Roman" w:cs="Times New Roman"/>
          <w:b/>
          <w:sz w:val="24"/>
          <w:szCs w:val="24"/>
          <w:lang w:eastAsia="en-US"/>
        </w:rPr>
        <w:t>Juozapavičiaus g. 13, Vilnius;</w:t>
      </w:r>
      <w:r w:rsidRPr="002F7BE7">
        <w:rPr>
          <w:rFonts w:ascii="Times New Roman" w:eastAsia="Times New Roman" w:hAnsi="Times New Roman" w:cs="Times New Roman"/>
          <w:sz w:val="24"/>
          <w:szCs w:val="24"/>
          <w:lang w:eastAsia="en-US"/>
        </w:rPr>
        <w:t xml:space="preserve"> </w:t>
      </w:r>
    </w:p>
    <w:p w14:paraId="415EE71F" w14:textId="77777777" w:rsidR="00C80D15" w:rsidRPr="002F7BE7"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sidRPr="002F7BE7">
        <w:rPr>
          <w:rFonts w:ascii="Times New Roman" w:hAnsi="Times New Roman" w:cs="Times New Roman"/>
          <w:b/>
          <w:sz w:val="24"/>
          <w:szCs w:val="24"/>
        </w:rPr>
        <w:t xml:space="preserve">Žirmūnų g. 141 Vilnius; </w:t>
      </w:r>
    </w:p>
    <w:p w14:paraId="70D5636E" w14:textId="77777777" w:rsidR="00C80D15" w:rsidRPr="002F7BE7"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sidRPr="002F7BE7">
        <w:rPr>
          <w:rFonts w:ascii="Times New Roman" w:hAnsi="Times New Roman" w:cs="Times New Roman"/>
          <w:b/>
          <w:sz w:val="24"/>
          <w:szCs w:val="24"/>
        </w:rPr>
        <w:t>Parko g. 16 Vilnius</w:t>
      </w:r>
      <w:r w:rsidRPr="002F7BE7">
        <w:rPr>
          <w:rFonts w:ascii="Times New Roman" w:hAnsi="Times New Roman" w:cs="Times New Roman"/>
          <w:b/>
        </w:rPr>
        <w:t xml:space="preserve">; </w:t>
      </w:r>
    </w:p>
    <w:p w14:paraId="455464A1" w14:textId="77777777" w:rsidR="00C80D15" w:rsidRPr="002F7BE7"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sidRPr="002F7BE7">
        <w:rPr>
          <w:rFonts w:ascii="Times New Roman" w:hAnsi="Times New Roman" w:cs="Times New Roman"/>
          <w:b/>
          <w:sz w:val="24"/>
          <w:szCs w:val="24"/>
          <w:lang w:val="en-US"/>
        </w:rPr>
        <w:t xml:space="preserve">J. </w:t>
      </w:r>
      <w:proofErr w:type="spellStart"/>
      <w:r w:rsidRPr="002F7BE7">
        <w:rPr>
          <w:rFonts w:ascii="Times New Roman" w:hAnsi="Times New Roman" w:cs="Times New Roman"/>
          <w:b/>
          <w:sz w:val="24"/>
          <w:szCs w:val="24"/>
          <w:lang w:val="en-US"/>
        </w:rPr>
        <w:t>Tiškevičiaus</w:t>
      </w:r>
      <w:proofErr w:type="spellEnd"/>
      <w:r w:rsidRPr="002F7BE7">
        <w:rPr>
          <w:rFonts w:ascii="Times New Roman" w:hAnsi="Times New Roman" w:cs="Times New Roman"/>
          <w:b/>
          <w:sz w:val="24"/>
          <w:szCs w:val="24"/>
          <w:lang w:val="en-US"/>
        </w:rPr>
        <w:t xml:space="preserve"> g. 72, </w:t>
      </w:r>
      <w:proofErr w:type="gramStart"/>
      <w:r w:rsidRPr="002F7BE7">
        <w:rPr>
          <w:rFonts w:ascii="Times New Roman" w:hAnsi="Times New Roman" w:cs="Times New Roman"/>
          <w:b/>
          <w:sz w:val="24"/>
          <w:szCs w:val="24"/>
          <w:lang w:val="en-US"/>
        </w:rPr>
        <w:t>Vilnius;</w:t>
      </w:r>
      <w:proofErr w:type="gramEnd"/>
      <w:r w:rsidRPr="002F7BE7">
        <w:rPr>
          <w:rFonts w:ascii="Times New Roman" w:hAnsi="Times New Roman" w:cs="Times New Roman"/>
          <w:b/>
          <w:sz w:val="24"/>
          <w:szCs w:val="24"/>
          <w:lang w:val="en-US"/>
        </w:rPr>
        <w:t xml:space="preserve"> </w:t>
      </w:r>
    </w:p>
    <w:p w14:paraId="51A53D18" w14:textId="77777777" w:rsidR="00C80D15" w:rsidRPr="00DB0065" w:rsidRDefault="00C80D1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proofErr w:type="spellStart"/>
      <w:r w:rsidRPr="002F7BE7">
        <w:rPr>
          <w:rFonts w:ascii="Times New Roman" w:eastAsia="Times New Roman" w:hAnsi="Times New Roman" w:cs="Times New Roman"/>
          <w:b/>
          <w:sz w:val="24"/>
          <w:szCs w:val="24"/>
          <w:lang w:eastAsia="en-US"/>
        </w:rPr>
        <w:t>Skanstes</w:t>
      </w:r>
      <w:proofErr w:type="spellEnd"/>
      <w:r w:rsidRPr="002F7BE7">
        <w:rPr>
          <w:rFonts w:ascii="Times New Roman" w:eastAsia="Times New Roman" w:hAnsi="Times New Roman" w:cs="Times New Roman"/>
          <w:b/>
          <w:sz w:val="24"/>
          <w:szCs w:val="24"/>
          <w:lang w:eastAsia="en-US"/>
        </w:rPr>
        <w:t xml:space="preserve"> </w:t>
      </w:r>
      <w:proofErr w:type="spellStart"/>
      <w:r w:rsidRPr="002F7BE7">
        <w:rPr>
          <w:rFonts w:ascii="Times New Roman" w:eastAsia="Times New Roman" w:hAnsi="Times New Roman" w:cs="Times New Roman"/>
          <w:b/>
          <w:sz w:val="24"/>
          <w:szCs w:val="24"/>
          <w:lang w:eastAsia="en-US"/>
        </w:rPr>
        <w:t>street</w:t>
      </w:r>
      <w:proofErr w:type="spellEnd"/>
      <w:r w:rsidRPr="002F7BE7">
        <w:rPr>
          <w:rFonts w:ascii="Times New Roman" w:eastAsia="Times New Roman" w:hAnsi="Times New Roman" w:cs="Times New Roman"/>
          <w:b/>
          <w:sz w:val="24"/>
          <w:szCs w:val="24"/>
          <w:lang w:eastAsia="en-US"/>
        </w:rPr>
        <w:t xml:space="preserve"> 54, </w:t>
      </w:r>
      <w:proofErr w:type="spellStart"/>
      <w:r w:rsidRPr="002F7BE7">
        <w:rPr>
          <w:rFonts w:ascii="Times New Roman" w:eastAsia="Times New Roman" w:hAnsi="Times New Roman" w:cs="Times New Roman"/>
          <w:b/>
          <w:sz w:val="24"/>
          <w:szCs w:val="24"/>
          <w:lang w:eastAsia="en-US"/>
        </w:rPr>
        <w:t>Riga</w:t>
      </w:r>
      <w:proofErr w:type="spellEnd"/>
      <w:r w:rsidRPr="002F7BE7">
        <w:rPr>
          <w:rFonts w:ascii="Times New Roman" w:eastAsia="Times New Roman" w:hAnsi="Times New Roman" w:cs="Times New Roman"/>
          <w:b/>
          <w:sz w:val="24"/>
          <w:szCs w:val="24"/>
          <w:lang w:eastAsia="en-US"/>
        </w:rPr>
        <w:t xml:space="preserve">, </w:t>
      </w:r>
      <w:proofErr w:type="spellStart"/>
      <w:r w:rsidRPr="002F7BE7">
        <w:rPr>
          <w:rFonts w:ascii="Times New Roman" w:eastAsia="Times New Roman" w:hAnsi="Times New Roman" w:cs="Times New Roman"/>
          <w:b/>
          <w:sz w:val="24"/>
          <w:szCs w:val="24"/>
          <w:lang w:eastAsia="en-US"/>
        </w:rPr>
        <w:t>Latvia</w:t>
      </w:r>
      <w:proofErr w:type="spellEnd"/>
      <w:r w:rsidRPr="002F7BE7">
        <w:rPr>
          <w:rFonts w:ascii="Times New Roman" w:eastAsia="Times New Roman" w:hAnsi="Times New Roman" w:cs="Times New Roman"/>
          <w:b/>
          <w:sz w:val="24"/>
          <w:szCs w:val="24"/>
          <w:lang w:eastAsia="en-US"/>
        </w:rPr>
        <w:t>, LV-1013;</w:t>
      </w:r>
      <w:r w:rsidRPr="002F7BE7">
        <w:rPr>
          <w:rFonts w:ascii="Times New Roman" w:hAnsi="Times New Roman" w:cs="Times New Roman"/>
          <w:b/>
          <w:sz w:val="24"/>
          <w:szCs w:val="24"/>
        </w:rPr>
        <w:t xml:space="preserve"> </w:t>
      </w:r>
    </w:p>
    <w:p w14:paraId="010465B0" w14:textId="0F9F28CD" w:rsidR="00DB0065" w:rsidRPr="0023125C" w:rsidRDefault="00DB0065" w:rsidP="00C80D15">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Pr>
          <w:rFonts w:ascii="Times New Roman" w:hAnsi="Times New Roman" w:cs="Times New Roman"/>
          <w:b/>
          <w:sz w:val="24"/>
          <w:szCs w:val="24"/>
        </w:rPr>
        <w:t xml:space="preserve">Kauno DC, </w:t>
      </w:r>
      <w:proofErr w:type="spellStart"/>
      <w:r>
        <w:rPr>
          <w:rFonts w:ascii="Times New Roman" w:hAnsi="Times New Roman" w:cs="Times New Roman"/>
          <w:b/>
          <w:sz w:val="24"/>
          <w:szCs w:val="24"/>
        </w:rPr>
        <w:t>Biruliškės</w:t>
      </w:r>
      <w:proofErr w:type="spellEnd"/>
    </w:p>
    <w:p w14:paraId="438EA375" w14:textId="5E6F6E58" w:rsidR="00513837" w:rsidRPr="0023125C" w:rsidRDefault="0023125C" w:rsidP="0023125C">
      <w:pPr>
        <w:pStyle w:val="ListParagraph"/>
        <w:numPr>
          <w:ilvl w:val="0"/>
          <w:numId w:val="3"/>
        </w:numPr>
        <w:autoSpaceDE w:val="0"/>
        <w:autoSpaceDN w:val="0"/>
        <w:adjustRightInd w:val="0"/>
        <w:spacing w:line="240" w:lineRule="auto"/>
        <w:ind w:left="709" w:hanging="349"/>
        <w:rPr>
          <w:rFonts w:ascii="Times New Roman" w:eastAsia="Times New Roman" w:hAnsi="Times New Roman" w:cs="Times New Roman"/>
          <w:sz w:val="24"/>
          <w:szCs w:val="24"/>
          <w:lang w:eastAsia="en-US"/>
        </w:rPr>
      </w:pPr>
      <w:r>
        <w:rPr>
          <w:rFonts w:ascii="Times New Roman" w:hAnsi="Times New Roman" w:cs="Times New Roman"/>
          <w:b/>
          <w:sz w:val="24"/>
          <w:szCs w:val="24"/>
        </w:rPr>
        <w:t>Savanorių pr. 135, Kaunas</w:t>
      </w:r>
    </w:p>
    <w:sectPr w:rsidR="00513837" w:rsidRPr="0023125C"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502AC" w14:textId="77777777" w:rsidR="00060EAF" w:rsidRDefault="00060EAF">
      <w:pPr>
        <w:spacing w:line="240" w:lineRule="auto"/>
      </w:pPr>
      <w:r>
        <w:separator/>
      </w:r>
    </w:p>
  </w:endnote>
  <w:endnote w:type="continuationSeparator" w:id="0">
    <w:p w14:paraId="7C85EB6E" w14:textId="77777777" w:rsidR="00060EAF" w:rsidRDefault="00060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5A6E9" w14:textId="77777777" w:rsidR="00060EAF" w:rsidRDefault="00060EAF">
      <w:pPr>
        <w:spacing w:line="240" w:lineRule="auto"/>
      </w:pPr>
      <w:r>
        <w:separator/>
      </w:r>
    </w:p>
  </w:footnote>
  <w:footnote w:type="continuationSeparator" w:id="0">
    <w:p w14:paraId="5156C769" w14:textId="77777777" w:rsidR="00060EAF" w:rsidRDefault="00060E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B2646"/>
    <w:rsid w:val="00161881"/>
    <w:rsid w:val="0023125C"/>
    <w:rsid w:val="003D42DF"/>
    <w:rsid w:val="0042171C"/>
    <w:rsid w:val="00513837"/>
    <w:rsid w:val="00535021"/>
    <w:rsid w:val="007F75CD"/>
    <w:rsid w:val="0084395E"/>
    <w:rsid w:val="009835E7"/>
    <w:rsid w:val="00C80D15"/>
    <w:rsid w:val="00CB0AF4"/>
    <w:rsid w:val="00CF7B29"/>
    <w:rsid w:val="00DB0065"/>
    <w:rsid w:val="00EA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3</cp:revision>
  <dcterms:created xsi:type="dcterms:W3CDTF">2024-11-21T08:34:00Z</dcterms:created>
  <dcterms:modified xsi:type="dcterms:W3CDTF">2024-12-10T07:09:00Z</dcterms:modified>
</cp:coreProperties>
</file>