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117F86" w:rsidRDefault="000F17D6" w:rsidP="000F17D6">
      <w:pPr>
        <w:jc w:val="right"/>
        <w:rPr>
          <w:rFonts w:ascii="Jost" w:hAnsi="Jost"/>
        </w:rPr>
      </w:pPr>
      <w:r w:rsidRPr="00117F86">
        <w:rPr>
          <w:rFonts w:ascii="Jost" w:hAnsi="Jost"/>
        </w:rPr>
        <w:t xml:space="preserve"> </w:t>
      </w:r>
    </w:p>
    <w:p w14:paraId="058888F4" w14:textId="77777777" w:rsidR="000F17D6" w:rsidRPr="00117F86" w:rsidRDefault="000F17D6" w:rsidP="000F17D6">
      <w:pPr>
        <w:rPr>
          <w:rFonts w:ascii="Jost" w:hAnsi="Jost"/>
        </w:rPr>
      </w:pPr>
    </w:p>
    <w:p w14:paraId="61FAB302" w14:textId="77777777" w:rsidR="000F17D6" w:rsidRPr="00DF233E" w:rsidRDefault="000F17D6" w:rsidP="000F17D6">
      <w:pPr>
        <w:rPr>
          <w:rFonts w:ascii="Joost" w:hAnsi="Joost" w:hint="eastAsia"/>
          <w:i/>
          <w:iCs/>
        </w:rPr>
      </w:pPr>
      <w:r w:rsidRPr="00DF233E">
        <w:rPr>
          <w:rFonts w:ascii="Joost" w:hAnsi="Joost"/>
          <w:i/>
          <w:iCs/>
        </w:rPr>
        <w:t>Tiekėjams</w:t>
      </w:r>
    </w:p>
    <w:p w14:paraId="69B240AC" w14:textId="77777777" w:rsidR="000F17D6" w:rsidRPr="00DF233E" w:rsidRDefault="000F17D6" w:rsidP="000F17D6">
      <w:pPr>
        <w:rPr>
          <w:rFonts w:ascii="Joost" w:hAnsi="Joost" w:hint="eastAsia"/>
          <w:i/>
          <w:iCs/>
        </w:rPr>
      </w:pPr>
      <w:r w:rsidRPr="00DF233E">
        <w:rPr>
          <w:rFonts w:ascii="Joost" w:hAnsi="Joost"/>
          <w:i/>
          <w:iCs/>
        </w:rPr>
        <w:t>Siunčiama CVP IS priemonėmis</w:t>
      </w:r>
    </w:p>
    <w:p w14:paraId="7667E45E" w14:textId="77777777" w:rsidR="000F17D6" w:rsidRPr="00DF233E" w:rsidRDefault="000F17D6" w:rsidP="000F17D6">
      <w:pPr>
        <w:rPr>
          <w:rFonts w:ascii="Joost" w:hAnsi="Joost" w:hint="eastAsia"/>
          <w:b/>
          <w:bCs/>
        </w:rPr>
      </w:pPr>
    </w:p>
    <w:p w14:paraId="0AB0DAD8" w14:textId="77777777" w:rsidR="000F17D6" w:rsidRPr="00DF233E" w:rsidRDefault="000F17D6" w:rsidP="000F17D6">
      <w:pPr>
        <w:rPr>
          <w:rFonts w:ascii="Joost" w:hAnsi="Joost" w:hint="eastAsia"/>
          <w:b/>
          <w:bCs/>
        </w:rPr>
      </w:pPr>
    </w:p>
    <w:p w14:paraId="3DC84B23" w14:textId="256E05D5" w:rsidR="000F17D6" w:rsidRPr="00DF233E" w:rsidRDefault="000F17D6" w:rsidP="000F17D6">
      <w:pPr>
        <w:rPr>
          <w:rFonts w:ascii="Joost" w:hAnsi="Joost" w:hint="eastAsia"/>
          <w:b/>
          <w:bCs/>
        </w:rPr>
      </w:pPr>
      <w:r w:rsidRPr="00DF233E">
        <w:rPr>
          <w:rFonts w:ascii="Joost" w:hAnsi="Joost"/>
          <w:b/>
          <w:bCs/>
        </w:rPr>
        <w:t>DĖL PATEIKT</w:t>
      </w:r>
      <w:r w:rsidR="005B0AC0" w:rsidRPr="00DF233E">
        <w:rPr>
          <w:rFonts w:ascii="Joost" w:hAnsi="Joost"/>
          <w:b/>
          <w:bCs/>
        </w:rPr>
        <w:t>Ų</w:t>
      </w:r>
      <w:r w:rsidRPr="00DF233E">
        <w:rPr>
          <w:rFonts w:ascii="Joost" w:hAnsi="Joost"/>
          <w:b/>
          <w:bCs/>
        </w:rPr>
        <w:t xml:space="preserve"> PAKLAUSIM</w:t>
      </w:r>
      <w:r w:rsidR="005B0AC0" w:rsidRPr="00DF233E">
        <w:rPr>
          <w:rFonts w:ascii="Joost" w:hAnsi="Joost"/>
          <w:b/>
          <w:bCs/>
        </w:rPr>
        <w:t>Ų</w:t>
      </w:r>
    </w:p>
    <w:p w14:paraId="47F7602C" w14:textId="77777777" w:rsidR="000F17D6" w:rsidRPr="00DF233E" w:rsidRDefault="000F17D6" w:rsidP="000F17D6">
      <w:pPr>
        <w:jc w:val="center"/>
        <w:rPr>
          <w:rFonts w:ascii="Joost" w:hAnsi="Joost" w:hint="eastAsia"/>
          <w:b/>
          <w:bCs/>
        </w:rPr>
      </w:pPr>
    </w:p>
    <w:p w14:paraId="398D9FD3" w14:textId="08E2710F" w:rsidR="004724B7" w:rsidRPr="00DF233E" w:rsidRDefault="004724B7" w:rsidP="00106C33">
      <w:pPr>
        <w:ind w:firstLine="720"/>
        <w:jc w:val="both"/>
        <w:rPr>
          <w:rFonts w:ascii="Joost" w:hAnsi="Joost" w:hint="eastAsia"/>
        </w:rPr>
      </w:pPr>
      <w:r w:rsidRPr="00DF233E">
        <w:rPr>
          <w:rFonts w:ascii="Joost" w:hAnsi="Joost"/>
        </w:rPr>
        <w:t xml:space="preserve">Viešoji įstaiga CPO LT (toliau – CPO LT), </w:t>
      </w:r>
      <w:bookmarkStart w:id="0" w:name="_Hlk120190959"/>
      <w:r w:rsidRPr="00DF233E">
        <w:rPr>
          <w:rFonts w:ascii="Joost" w:hAnsi="Joost"/>
        </w:rPr>
        <w:t xml:space="preserve">vykdydama viešąjį pirkimą </w:t>
      </w:r>
      <w:r w:rsidR="00855EA4" w:rsidRPr="00DF233E">
        <w:rPr>
          <w:rFonts w:ascii="Joost" w:hAnsi="Joost" w:cs="Calibri"/>
          <w:i/>
          <w:iCs/>
        </w:rPr>
        <w:t>„</w:t>
      </w:r>
      <w:bookmarkStart w:id="1" w:name="_Hlk196489746"/>
      <w:r w:rsidR="00BA3961" w:rsidRPr="00DF233E">
        <w:rPr>
          <w:rFonts w:ascii="Joost" w:eastAsia="Calibri" w:hAnsi="Joost"/>
          <w:noProof/>
        </w:rPr>
        <w:t>Privilegijuotų teisių valdymo (PAM) sprendimo įsigijimas ir diegimas KAM SOC (DEIVIS  tinkle)</w:t>
      </w:r>
      <w:r w:rsidR="00855EA4" w:rsidRPr="00DF233E">
        <w:rPr>
          <w:rFonts w:ascii="Joost" w:hAnsi="Joost" w:cs="Calibri"/>
          <w:b/>
          <w:bCs/>
          <w:i/>
          <w:iCs/>
        </w:rPr>
        <w:t xml:space="preserve">“ </w:t>
      </w:r>
      <w:bookmarkEnd w:id="1"/>
      <w:r w:rsidR="00855EA4" w:rsidRPr="00DF233E">
        <w:rPr>
          <w:rFonts w:ascii="Joost" w:hAnsi="Joost" w:cs="Calibri"/>
          <w:b/>
          <w:bCs/>
          <w:i/>
          <w:iCs/>
        </w:rPr>
        <w:t xml:space="preserve"> </w:t>
      </w:r>
      <w:r w:rsidRPr="00DF233E">
        <w:rPr>
          <w:rFonts w:ascii="Joost" w:hAnsi="Joost"/>
        </w:rPr>
        <w:t>atviro (</w:t>
      </w:r>
      <w:r w:rsidR="00855EA4" w:rsidRPr="00DF233E">
        <w:rPr>
          <w:rFonts w:ascii="Joost" w:hAnsi="Joost"/>
        </w:rPr>
        <w:t>tarptautinio</w:t>
      </w:r>
      <w:r w:rsidRPr="00DF233E">
        <w:rPr>
          <w:rFonts w:ascii="Joost" w:hAnsi="Joost"/>
        </w:rPr>
        <w:t>) konkurso būdu</w:t>
      </w:r>
      <w:r w:rsidR="00F71DC1" w:rsidRPr="00DF233E">
        <w:rPr>
          <w:rFonts w:ascii="Joost" w:hAnsi="Joost"/>
        </w:rPr>
        <w:t xml:space="preserve"> (pirkimo Nr. </w:t>
      </w:r>
      <w:r w:rsidR="00BA3961" w:rsidRPr="00DF233E">
        <w:rPr>
          <w:rFonts w:ascii="Joost" w:hAnsi="Joost" w:cs="Calibri"/>
        </w:rPr>
        <w:t>2979327</w:t>
      </w:r>
      <w:r w:rsidR="00F71DC1" w:rsidRPr="00DF233E">
        <w:rPr>
          <w:rFonts w:ascii="Joost" w:hAnsi="Joost"/>
        </w:rPr>
        <w:t>, toliau – Pirkimas)</w:t>
      </w:r>
      <w:r w:rsidRPr="00DF233E">
        <w:rPr>
          <w:rFonts w:ascii="Joost" w:hAnsi="Joost"/>
        </w:rPr>
        <w:t xml:space="preserve">, </w:t>
      </w:r>
      <w:bookmarkEnd w:id="0"/>
      <w:r w:rsidR="00322AFC" w:rsidRPr="00DF233E">
        <w:rPr>
          <w:rFonts w:ascii="Joost" w:hAnsi="Joost"/>
        </w:rPr>
        <w:t>2025-</w:t>
      </w:r>
      <w:r w:rsidR="001330CA" w:rsidRPr="00DF233E">
        <w:rPr>
          <w:rFonts w:ascii="Joost" w:hAnsi="Joost"/>
        </w:rPr>
        <w:t>06-2</w:t>
      </w:r>
      <w:r w:rsidR="00855EA4" w:rsidRPr="00DF233E">
        <w:rPr>
          <w:rFonts w:ascii="Joost" w:hAnsi="Joost"/>
        </w:rPr>
        <w:t>6 ir 2025-06-30</w:t>
      </w:r>
      <w:r w:rsidRPr="00DF233E">
        <w:rPr>
          <w:rFonts w:ascii="Joost" w:hAnsi="Joost"/>
        </w:rPr>
        <w:t xml:space="preserve"> CVP IS priemonėmis gavo potencial</w:t>
      </w:r>
      <w:r w:rsidR="00855EA4" w:rsidRPr="00DF233E">
        <w:rPr>
          <w:rFonts w:ascii="Joost" w:hAnsi="Joost"/>
        </w:rPr>
        <w:t>ių</w:t>
      </w:r>
      <w:r w:rsidRPr="00DF233E">
        <w:rPr>
          <w:rFonts w:ascii="Joost" w:hAnsi="Joost"/>
        </w:rPr>
        <w:t xml:space="preserve"> tiekėj</w:t>
      </w:r>
      <w:r w:rsidR="00855EA4" w:rsidRPr="00DF233E">
        <w:rPr>
          <w:rFonts w:ascii="Joost" w:hAnsi="Joost"/>
        </w:rPr>
        <w:t>ų</w:t>
      </w:r>
      <w:r w:rsidRPr="00DF233E">
        <w:rPr>
          <w:rFonts w:ascii="Joost" w:hAnsi="Joost"/>
        </w:rPr>
        <w:t xml:space="preserve"> paklausim</w:t>
      </w:r>
      <w:r w:rsidR="00855EA4" w:rsidRPr="00DF233E">
        <w:rPr>
          <w:rFonts w:ascii="Joost" w:hAnsi="Joost"/>
        </w:rPr>
        <w:t>us</w:t>
      </w:r>
      <w:r w:rsidRPr="00DF233E">
        <w:rPr>
          <w:rFonts w:ascii="Joost" w:hAnsi="Joost"/>
        </w:rPr>
        <w:t xml:space="preserve">. </w:t>
      </w:r>
    </w:p>
    <w:p w14:paraId="0939295D" w14:textId="6274522B" w:rsidR="004724B7" w:rsidRPr="00DF233E" w:rsidRDefault="004724B7" w:rsidP="00106C33">
      <w:pPr>
        <w:ind w:firstLine="720"/>
        <w:jc w:val="both"/>
        <w:rPr>
          <w:rFonts w:ascii="Joost" w:hAnsi="Joost" w:hint="eastAsia"/>
        </w:rPr>
      </w:pPr>
      <w:r w:rsidRPr="00DF233E">
        <w:rPr>
          <w:rFonts w:ascii="Joost" w:hAnsi="Joost"/>
        </w:rPr>
        <w:t>Paklausim</w:t>
      </w:r>
      <w:r w:rsidR="00AB7038" w:rsidRPr="00DF233E">
        <w:rPr>
          <w:rFonts w:ascii="Joost" w:hAnsi="Joost"/>
        </w:rPr>
        <w:t>a</w:t>
      </w:r>
      <w:r w:rsidR="00855EA4" w:rsidRPr="00DF233E">
        <w:rPr>
          <w:rFonts w:ascii="Joost" w:hAnsi="Joost"/>
        </w:rPr>
        <w:t>i</w:t>
      </w:r>
      <w:r w:rsidRPr="00DF233E">
        <w:rPr>
          <w:rFonts w:ascii="Joost" w:hAnsi="Joost"/>
        </w:rPr>
        <w:t xml:space="preserve"> pateikt</w:t>
      </w:r>
      <w:r w:rsidR="00855EA4" w:rsidRPr="00DF233E">
        <w:rPr>
          <w:rFonts w:ascii="Joost" w:hAnsi="Joost"/>
        </w:rPr>
        <w:t>i</w:t>
      </w:r>
      <w:r w:rsidRPr="00DF233E">
        <w:rPr>
          <w:rFonts w:ascii="Joost" w:hAnsi="Joost"/>
        </w:rPr>
        <w:t xml:space="preserve"> </w:t>
      </w:r>
      <w:r w:rsidR="00D466CA" w:rsidRPr="00DF233E">
        <w:rPr>
          <w:rFonts w:ascii="Joost" w:hAnsi="Joost" w:cs="Calibri"/>
          <w:noProof/>
        </w:rPr>
        <w:t xml:space="preserve">laikantis Pirkimo dokumentų Specialiųjų sąlygų 1 priedo „Terminai“ lentelės 3 eil. nustatyto termino </w:t>
      </w:r>
      <w:r w:rsidR="00D466CA" w:rsidRPr="00DF233E">
        <w:rPr>
          <w:rFonts w:ascii="Joost" w:hAnsi="Joost" w:cs="Calibri"/>
          <w:i/>
          <w:iCs/>
          <w:noProof/>
        </w:rPr>
        <w:t>„Prašymą paaiškinti, patikslinti pirkimo sąlygas tiekėjas turi pateikti ne vėliau kaip: 9 (devynios) dienos iki pasiūlymų pateikimo dienos.“</w:t>
      </w:r>
      <w:r w:rsidR="00D466CA" w:rsidRPr="00DF233E">
        <w:rPr>
          <w:rFonts w:ascii="Joost" w:hAnsi="Joost" w:cs="Calibri"/>
          <w:noProof/>
        </w:rPr>
        <w:t>, t.</w:t>
      </w:r>
      <w:r w:rsidR="00CA077F" w:rsidRPr="00DF233E">
        <w:rPr>
          <w:rFonts w:ascii="Joost" w:hAnsi="Joost" w:cs="Calibri"/>
          <w:noProof/>
        </w:rPr>
        <w:t xml:space="preserve"> </w:t>
      </w:r>
      <w:r w:rsidR="00D466CA" w:rsidRPr="00DF233E">
        <w:rPr>
          <w:rFonts w:ascii="Joost" w:hAnsi="Joost" w:cs="Calibri"/>
          <w:noProof/>
        </w:rPr>
        <w:t>y. pateikt</w:t>
      </w:r>
      <w:r w:rsidR="00DA5C37" w:rsidRPr="00DF233E">
        <w:rPr>
          <w:rFonts w:ascii="Joost" w:hAnsi="Joost" w:cs="Calibri"/>
          <w:noProof/>
        </w:rPr>
        <w:t>i</w:t>
      </w:r>
      <w:r w:rsidR="00D466CA" w:rsidRPr="00DF233E">
        <w:rPr>
          <w:rFonts w:ascii="Joost" w:hAnsi="Joost" w:cs="Calibri"/>
          <w:noProof/>
        </w:rPr>
        <w:t xml:space="preserve"> laiku, todėl nagrinėtin</w:t>
      </w:r>
      <w:r w:rsidR="00DA5C37" w:rsidRPr="00DF233E">
        <w:rPr>
          <w:rFonts w:ascii="Joost" w:hAnsi="Joost" w:cs="Calibri"/>
          <w:noProof/>
        </w:rPr>
        <w:t>i</w:t>
      </w:r>
      <w:r w:rsidRPr="00DF233E">
        <w:rPr>
          <w:rFonts w:ascii="Joost" w:hAnsi="Joost"/>
        </w:rPr>
        <w:t>.</w:t>
      </w:r>
    </w:p>
    <w:p w14:paraId="70F481BD" w14:textId="0582655A" w:rsidR="004724B7" w:rsidRPr="00DF233E" w:rsidRDefault="004724B7" w:rsidP="00106C33">
      <w:pPr>
        <w:ind w:firstLine="720"/>
        <w:jc w:val="both"/>
        <w:rPr>
          <w:rFonts w:ascii="Joost" w:hAnsi="Joost" w:hint="eastAsia"/>
        </w:rPr>
      </w:pPr>
      <w:r w:rsidRPr="00DF233E">
        <w:rPr>
          <w:rFonts w:ascii="Joost" w:hAnsi="Joost"/>
        </w:rPr>
        <w:t>CPO LT viešojo pirkimo komisija (toliau – Komisija), vadovau</w:t>
      </w:r>
      <w:r w:rsidR="00C918C4" w:rsidRPr="00DF233E">
        <w:rPr>
          <w:rFonts w:ascii="Joost" w:hAnsi="Joost"/>
        </w:rPr>
        <w:t>damasi</w:t>
      </w:r>
      <w:r w:rsidRPr="00DF233E">
        <w:rPr>
          <w:rFonts w:ascii="Joost" w:hAnsi="Joost"/>
        </w:rPr>
        <w:t xml:space="preserve"> Lietuvos Respublikos viešųjų pirkimų įstatymo</w:t>
      </w:r>
      <w:r w:rsidR="00C918C4" w:rsidRPr="00DF233E">
        <w:rPr>
          <w:rFonts w:ascii="Joost" w:hAnsi="Joost"/>
        </w:rPr>
        <w:t xml:space="preserve"> (toliau – VPĮ)</w:t>
      </w:r>
      <w:r w:rsidRPr="00DF233E">
        <w:rPr>
          <w:rFonts w:ascii="Joost" w:hAnsi="Joost"/>
        </w:rPr>
        <w:t xml:space="preserve"> 36 str. 5 d.  ir Pirkimo dokumentų Bendrųjų sąlygų 5.2 p., teikia atsakym</w:t>
      </w:r>
      <w:r w:rsidR="00855EA4" w:rsidRPr="00DF233E">
        <w:rPr>
          <w:rFonts w:ascii="Joost" w:hAnsi="Joost"/>
        </w:rPr>
        <w:t>us</w:t>
      </w:r>
      <w:r w:rsidRPr="00DF233E">
        <w:rPr>
          <w:rFonts w:ascii="Joost" w:hAnsi="Joost"/>
        </w:rPr>
        <w:t xml:space="preserve"> į </w:t>
      </w:r>
      <w:r w:rsidR="00C918C4" w:rsidRPr="00DF233E">
        <w:rPr>
          <w:rFonts w:ascii="Joost" w:hAnsi="Joost"/>
        </w:rPr>
        <w:t>paklausim</w:t>
      </w:r>
      <w:r w:rsidR="00DF233E" w:rsidRPr="00DF233E">
        <w:rPr>
          <w:rFonts w:ascii="Joost" w:hAnsi="Joost"/>
        </w:rPr>
        <w:t>uose</w:t>
      </w:r>
      <w:r w:rsidR="00C918C4" w:rsidRPr="00DF233E">
        <w:rPr>
          <w:rFonts w:ascii="Joost" w:hAnsi="Joost"/>
        </w:rPr>
        <w:t xml:space="preserve"> </w:t>
      </w:r>
      <w:r w:rsidRPr="00DF233E">
        <w:rPr>
          <w:rFonts w:ascii="Joost" w:hAnsi="Joost"/>
        </w:rPr>
        <w:t>pateikt</w:t>
      </w:r>
      <w:r w:rsidR="00C918C4" w:rsidRPr="00DF233E">
        <w:rPr>
          <w:rFonts w:ascii="Joost" w:hAnsi="Joost"/>
        </w:rPr>
        <w:t>us</w:t>
      </w:r>
      <w:r w:rsidRPr="00DF233E">
        <w:rPr>
          <w:rFonts w:ascii="Joost" w:hAnsi="Joost"/>
        </w:rPr>
        <w:t xml:space="preserve"> </w:t>
      </w:r>
      <w:r w:rsidR="00C918C4" w:rsidRPr="00DF233E">
        <w:rPr>
          <w:rFonts w:ascii="Joost" w:hAnsi="Joost"/>
        </w:rPr>
        <w:t>klausimus</w:t>
      </w:r>
      <w:r w:rsidRPr="00DF233E">
        <w:rPr>
          <w:rFonts w:ascii="Joost" w:hAnsi="Joost"/>
        </w:rPr>
        <w:t>:</w:t>
      </w:r>
    </w:p>
    <w:p w14:paraId="27019882" w14:textId="77777777" w:rsidR="00774A25" w:rsidRPr="00DF233E" w:rsidRDefault="00774A25" w:rsidP="00106C33">
      <w:pPr>
        <w:ind w:firstLine="720"/>
        <w:jc w:val="both"/>
        <w:rPr>
          <w:rFonts w:ascii="Joost" w:hAnsi="Joost" w:hint="eastAsia"/>
        </w:rPr>
      </w:pPr>
    </w:p>
    <w:tbl>
      <w:tblPr>
        <w:tblStyle w:val="TableGrid"/>
        <w:tblW w:w="9781" w:type="dxa"/>
        <w:tblInd w:w="-5" w:type="dxa"/>
        <w:tblLook w:val="04A0" w:firstRow="1" w:lastRow="0" w:firstColumn="1" w:lastColumn="0" w:noHBand="0" w:noVBand="1"/>
      </w:tblPr>
      <w:tblGrid>
        <w:gridCol w:w="9781"/>
      </w:tblGrid>
      <w:tr w:rsidR="004724B7" w:rsidRPr="00DF233E" w14:paraId="0D7C0412" w14:textId="77777777" w:rsidTr="00943813">
        <w:trPr>
          <w:trHeight w:val="368"/>
        </w:trPr>
        <w:tc>
          <w:tcPr>
            <w:tcW w:w="9781" w:type="dxa"/>
            <w:shd w:val="clear" w:color="auto" w:fill="DAE9F7" w:themeFill="text2" w:themeFillTint="1A"/>
            <w:vAlign w:val="center"/>
          </w:tcPr>
          <w:p w14:paraId="6F222F43" w14:textId="79210CB5" w:rsidR="004724B7" w:rsidRPr="00DF233E" w:rsidRDefault="004724B7" w:rsidP="00106C33">
            <w:pPr>
              <w:shd w:val="clear" w:color="auto" w:fill="DAE9F7" w:themeFill="text2" w:themeFillTint="1A"/>
              <w:rPr>
                <w:rFonts w:ascii="Joost" w:hAnsi="Joost" w:hint="eastAsia"/>
                <w:b/>
                <w:bCs/>
                <w:lang w:val="lt-LT"/>
              </w:rPr>
            </w:pPr>
            <w:r w:rsidRPr="00DF233E">
              <w:rPr>
                <w:rFonts w:ascii="Joost" w:hAnsi="Joost"/>
                <w:b/>
                <w:bCs/>
                <w:lang w:val="lt-LT"/>
              </w:rPr>
              <w:t>Klausimas</w:t>
            </w:r>
            <w:r w:rsidR="001558F6" w:rsidRPr="00DF233E">
              <w:rPr>
                <w:rFonts w:ascii="Joost" w:hAnsi="Joost"/>
                <w:b/>
                <w:bCs/>
                <w:lang w:val="lt-LT"/>
              </w:rPr>
              <w:t xml:space="preserve"> 1</w:t>
            </w:r>
            <w:r w:rsidRPr="00DF233E">
              <w:rPr>
                <w:rFonts w:ascii="Joost" w:hAnsi="Joost"/>
                <w:b/>
                <w:bCs/>
                <w:lang w:val="lt-LT"/>
              </w:rPr>
              <w:t xml:space="preserve"> </w:t>
            </w:r>
            <w:r w:rsidRPr="00DF233E">
              <w:rPr>
                <w:rFonts w:ascii="Joost" w:hAnsi="Joost"/>
                <w:lang w:val="lt-LT"/>
              </w:rPr>
              <w:t>(klausimo tekstas netaisytas)</w:t>
            </w:r>
          </w:p>
        </w:tc>
      </w:tr>
      <w:tr w:rsidR="004724B7" w:rsidRPr="00DF233E" w14:paraId="7B2B4C43" w14:textId="77777777" w:rsidTr="008D0403">
        <w:trPr>
          <w:trHeight w:val="750"/>
        </w:trPr>
        <w:tc>
          <w:tcPr>
            <w:tcW w:w="9781" w:type="dxa"/>
            <w:shd w:val="clear" w:color="auto" w:fill="auto"/>
          </w:tcPr>
          <w:p w14:paraId="27637FDC" w14:textId="77777777" w:rsidR="00855EA4" w:rsidRPr="00DF233E" w:rsidRDefault="00855EA4" w:rsidP="00855EA4">
            <w:pPr>
              <w:jc w:val="both"/>
              <w:rPr>
                <w:rFonts w:ascii="Joost" w:hAnsi="Joost" w:hint="eastAsia"/>
                <w:i/>
                <w:iCs/>
                <w:lang w:val="lt-LT"/>
              </w:rPr>
            </w:pPr>
            <w:r w:rsidRPr="00DF233E">
              <w:rPr>
                <w:rFonts w:ascii="Joost" w:hAnsi="Joost"/>
                <w:i/>
                <w:iCs/>
                <w:lang w:val="lt-LT"/>
              </w:rPr>
              <w:t>Prašome Perkančiosios organizacijos patikslinti, kokie darbai turės būti atlikti 1.9.7. punkte: Atlikti sprendimo pradinį konfigūravimą pagal suderintą projektavimo dokumentaciją ir pagal geriausias gamintojo ir kibernetinio saugumo praktikas.</w:t>
            </w:r>
          </w:p>
          <w:p w14:paraId="2F2CEE89" w14:textId="77777777" w:rsidR="00855EA4" w:rsidRPr="00DF233E" w:rsidRDefault="00855EA4" w:rsidP="00855EA4">
            <w:pPr>
              <w:tabs>
                <w:tab w:val="num" w:pos="462"/>
              </w:tabs>
              <w:jc w:val="both"/>
              <w:rPr>
                <w:rFonts w:ascii="Joost" w:hAnsi="Joost" w:hint="eastAsia"/>
                <w:i/>
                <w:iCs/>
                <w:lang w:val="pt-BR"/>
              </w:rPr>
            </w:pPr>
            <w:r w:rsidRPr="00DF233E">
              <w:rPr>
                <w:rFonts w:ascii="Joost" w:hAnsi="Joost"/>
                <w:i/>
                <w:iCs/>
                <w:lang w:val="pt-BR"/>
              </w:rPr>
              <w:t>Ar įeina visų vartotojų įtraukimas / kūrimas, jei taip tai kelių?</w:t>
            </w:r>
          </w:p>
          <w:p w14:paraId="69C7BD45" w14:textId="77777777" w:rsidR="00855EA4" w:rsidRPr="00DF233E" w:rsidRDefault="00855EA4" w:rsidP="00855EA4">
            <w:pPr>
              <w:tabs>
                <w:tab w:val="num" w:pos="462"/>
              </w:tabs>
              <w:jc w:val="both"/>
              <w:rPr>
                <w:rFonts w:ascii="Joost" w:hAnsi="Joost" w:hint="eastAsia"/>
                <w:i/>
                <w:iCs/>
              </w:rPr>
            </w:pPr>
            <w:r w:rsidRPr="00DF233E">
              <w:rPr>
                <w:rFonts w:ascii="Joost" w:hAnsi="Joost"/>
                <w:i/>
                <w:iCs/>
                <w:lang w:val="pt-BR"/>
              </w:rPr>
              <w:t xml:space="preserve">Ar įeina galinių sistemų įtraukimas? Jei taip tai kokios sistemos ir kokie jų kiekiai? </w:t>
            </w:r>
            <w:r w:rsidRPr="00DF233E">
              <w:rPr>
                <w:rFonts w:ascii="Joost" w:hAnsi="Joost"/>
                <w:i/>
                <w:iCs/>
              </w:rPr>
              <w:t xml:space="preserve">Taip pat, </w:t>
            </w:r>
            <w:proofErr w:type="spellStart"/>
            <w:r w:rsidRPr="00DF233E">
              <w:rPr>
                <w:rFonts w:ascii="Joost" w:hAnsi="Joost"/>
                <w:i/>
                <w:iCs/>
              </w:rPr>
              <w:t>ar</w:t>
            </w:r>
            <w:proofErr w:type="spellEnd"/>
            <w:r w:rsidRPr="00DF233E">
              <w:rPr>
                <w:rFonts w:ascii="Joost" w:hAnsi="Joost"/>
                <w:i/>
                <w:iCs/>
              </w:rPr>
              <w:t xml:space="preserve"> </w:t>
            </w:r>
            <w:proofErr w:type="spellStart"/>
            <w:r w:rsidRPr="00DF233E">
              <w:rPr>
                <w:rFonts w:ascii="Joost" w:hAnsi="Joost"/>
                <w:i/>
                <w:iCs/>
              </w:rPr>
              <w:t>visus</w:t>
            </w:r>
            <w:proofErr w:type="spellEnd"/>
            <w:r w:rsidRPr="00DF233E">
              <w:rPr>
                <w:rFonts w:ascii="Joost" w:hAnsi="Joost"/>
                <w:i/>
                <w:iCs/>
              </w:rPr>
              <w:t xml:space="preserve"> </w:t>
            </w:r>
            <w:proofErr w:type="spellStart"/>
            <w:r w:rsidRPr="00DF233E">
              <w:rPr>
                <w:rFonts w:ascii="Joost" w:hAnsi="Joost"/>
                <w:i/>
                <w:iCs/>
              </w:rPr>
              <w:t>traukiamos</w:t>
            </w:r>
            <w:proofErr w:type="spellEnd"/>
            <w:r w:rsidRPr="00DF233E">
              <w:rPr>
                <w:rFonts w:ascii="Joost" w:hAnsi="Joost"/>
                <w:i/>
                <w:iCs/>
              </w:rPr>
              <w:t xml:space="preserve"> </w:t>
            </w:r>
            <w:proofErr w:type="spellStart"/>
            <w:r w:rsidRPr="00DF233E">
              <w:rPr>
                <w:rFonts w:ascii="Joost" w:hAnsi="Joost"/>
                <w:i/>
                <w:iCs/>
              </w:rPr>
              <w:t>sistemos</w:t>
            </w:r>
            <w:proofErr w:type="spellEnd"/>
            <w:r w:rsidRPr="00DF233E">
              <w:rPr>
                <w:rFonts w:ascii="Joost" w:hAnsi="Joost"/>
                <w:i/>
                <w:iCs/>
              </w:rPr>
              <w:t xml:space="preserve"> </w:t>
            </w:r>
            <w:proofErr w:type="spellStart"/>
            <w:r w:rsidRPr="00DF233E">
              <w:rPr>
                <w:rFonts w:ascii="Joost" w:hAnsi="Joost"/>
                <w:i/>
                <w:iCs/>
              </w:rPr>
              <w:t>integruotos</w:t>
            </w:r>
            <w:proofErr w:type="spellEnd"/>
            <w:r w:rsidRPr="00DF233E">
              <w:rPr>
                <w:rFonts w:ascii="Joost" w:hAnsi="Joost"/>
                <w:i/>
                <w:iCs/>
              </w:rPr>
              <w:t xml:space="preserve"> su AD.</w:t>
            </w:r>
          </w:p>
          <w:p w14:paraId="5A4A9B0E" w14:textId="39755DFD" w:rsidR="004724B7" w:rsidRPr="00DF233E" w:rsidRDefault="004724B7" w:rsidP="00106C33">
            <w:pPr>
              <w:tabs>
                <w:tab w:val="num" w:pos="462"/>
              </w:tabs>
              <w:jc w:val="both"/>
              <w:rPr>
                <w:rFonts w:ascii="Joost" w:hAnsi="Joost" w:hint="eastAsia"/>
                <w:i/>
                <w:iCs/>
                <w:lang w:val="lt-LT"/>
              </w:rPr>
            </w:pPr>
          </w:p>
        </w:tc>
      </w:tr>
      <w:tr w:rsidR="004724B7" w:rsidRPr="00DF233E" w14:paraId="3D3F5DDE" w14:textId="77777777" w:rsidTr="00C90B7F">
        <w:trPr>
          <w:trHeight w:val="366"/>
        </w:trPr>
        <w:tc>
          <w:tcPr>
            <w:tcW w:w="9781" w:type="dxa"/>
            <w:shd w:val="clear" w:color="auto" w:fill="C1E4F5" w:themeFill="accent1" w:themeFillTint="33"/>
          </w:tcPr>
          <w:p w14:paraId="4719A0EC" w14:textId="77777777" w:rsidR="004724B7" w:rsidRPr="00DF233E" w:rsidRDefault="004724B7" w:rsidP="00106C33">
            <w:pPr>
              <w:shd w:val="clear" w:color="auto" w:fill="DAE9F7" w:themeFill="text2" w:themeFillTint="1A"/>
              <w:jc w:val="both"/>
              <w:rPr>
                <w:rFonts w:ascii="Joost" w:hAnsi="Joost" w:hint="eastAsia"/>
                <w:lang w:val="lt-LT"/>
              </w:rPr>
            </w:pPr>
            <w:r w:rsidRPr="00DF233E">
              <w:rPr>
                <w:rFonts w:ascii="Joost" w:hAnsi="Joost"/>
                <w:b/>
                <w:bCs/>
                <w:lang w:val="lt-LT"/>
              </w:rPr>
              <w:t>Atsakymas</w:t>
            </w:r>
          </w:p>
        </w:tc>
      </w:tr>
      <w:tr w:rsidR="005B0AC0" w:rsidRPr="00DF233E" w14:paraId="14FF951C" w14:textId="77777777" w:rsidTr="008D0403">
        <w:trPr>
          <w:trHeight w:val="400"/>
        </w:trPr>
        <w:tc>
          <w:tcPr>
            <w:tcW w:w="9781" w:type="dxa"/>
            <w:shd w:val="clear" w:color="auto" w:fill="auto"/>
          </w:tcPr>
          <w:p w14:paraId="2D82CD0E" w14:textId="588CB11F" w:rsidR="005B0AC0" w:rsidRPr="002E4EED" w:rsidRDefault="005B0AC0" w:rsidP="005B0AC0">
            <w:pPr>
              <w:tabs>
                <w:tab w:val="left" w:pos="426"/>
              </w:tabs>
              <w:jc w:val="both"/>
              <w:rPr>
                <w:rFonts w:ascii="Joost" w:hAnsi="Joost" w:hint="eastAsia"/>
                <w:lang w:val="pt-BR"/>
              </w:rPr>
            </w:pPr>
            <w:r w:rsidRPr="00DF233E">
              <w:rPr>
                <w:rFonts w:ascii="Joost" w:hAnsi="Joost"/>
                <w:lang w:val="lt-LT"/>
              </w:rPr>
              <w:t>Dėkojame už Jūsų klausimą. Patiksliname, kad Jūsų klausime nekorektiškai nurodytas techninės specifikacijos (toliau – TS) punktas, kadangi reikalavimas „</w:t>
            </w:r>
            <w:r w:rsidRPr="00DF233E">
              <w:rPr>
                <w:rFonts w:ascii="Joost" w:hAnsi="Joost"/>
                <w:i/>
                <w:iCs/>
                <w:lang w:val="lt-LT"/>
              </w:rPr>
              <w:t>Atlikti sprendimo pradinį konfigūravimą pagal suderintą projektavimo dokumentaciją ir pagal geriausias gamintojo ir kibernetinio saugumo praktikas.“</w:t>
            </w:r>
            <w:r w:rsidRPr="00DF233E">
              <w:rPr>
                <w:rFonts w:ascii="Joost" w:hAnsi="Joost"/>
                <w:lang w:val="lt-LT"/>
              </w:rPr>
              <w:t xml:space="preserve"> nurodytas TS 1.9.2 punkte. Atsakydami į Jūsų klausimą, paaiškiname, kad naudotojų įtraukimas/kūrimas įeina į šį reikalavimą, naudotojų kiekis priklausys nuo sprendimo projektavimo. Kaip ir nurodyta TS 1.9.1 punkte, Tiekėjas pirmiausia turės atlikti sprendimo projektavimo darbus: suprojektuoti ir nubraižyti privilegijuotų paskyrų sprendimo pajungimo schemas, atitinkančias gerąsias gamintojo ir kibernetinio saugumo praktikas (TS 1.9.1 p.), tuomet turės būti atliktas sprendimo pradinis konfigūravimas pagal prieš tai suderintą projektavimo dokumentaciją ir pagal geriausias gamintojo ir kibernetinio saugumo praktikas (TS 1.9.2 p.). Todėl kol nėra atliktas projektavimas, negalime tiksliai pateikti naudotojų kiekio.</w:t>
            </w:r>
            <w:r w:rsidR="002E4EED">
              <w:rPr>
                <w:rFonts w:ascii="Joost" w:hAnsi="Joost"/>
                <w:lang w:val="lt-LT"/>
              </w:rPr>
              <w:t xml:space="preserve"> </w:t>
            </w:r>
            <w:r w:rsidR="002E4EED" w:rsidRPr="00092748">
              <w:rPr>
                <w:rFonts w:ascii="Joost" w:hAnsi="Joost"/>
                <w:lang w:val="pt-BR"/>
              </w:rPr>
              <w:t>Preliminariai turės būti sukonfigūruoti ne mažiau kaip 3-5 skirtingų tipų naudotojai (įprasti administratoriai, privilegijuotų teisių valdymo (PAM) administratoriai, avarinės prieigos administratoriai ir pan.)</w:t>
            </w:r>
          </w:p>
          <w:p w14:paraId="4300E936" w14:textId="661E9866" w:rsidR="005B0AC0" w:rsidRPr="00DF233E" w:rsidRDefault="005B0AC0" w:rsidP="005B0AC0">
            <w:pPr>
              <w:tabs>
                <w:tab w:val="left" w:pos="426"/>
              </w:tabs>
              <w:jc w:val="both"/>
              <w:rPr>
                <w:rFonts w:ascii="Joost" w:hAnsi="Joost" w:hint="eastAsia"/>
                <w:lang w:val="lt-LT"/>
              </w:rPr>
            </w:pPr>
            <w:r w:rsidRPr="00DF233E">
              <w:rPr>
                <w:rFonts w:ascii="Joost" w:hAnsi="Joost"/>
                <w:lang w:val="lt-LT"/>
              </w:rPr>
              <w:t xml:space="preserve">Taip, galinių sistemų įtraukimas įeina į darbus, sistemos ir jų kiekiai priklausys nuo sprendimo projektavimo. Kaip ir nurodyta TS 1.9.1 punkte, Tiekėjas pirmiausia turės atlikti sprendimo projektavimo darbus: suprojektuoti ir nubraižyti privilegijuotų paskyrų sprendimo pajungimo schemas, atitinkančias gerąsias gamintojo ir kibernetinio saugumo praktikas (TS 1.9.1 p.), tuomet turės būti atliktas sprendimo pradinis konfigūravimas pagal prieš tai suderintą projektavimo dokumentaciją ir pagal geriausias gamintojo ir kibernetinio saugumo praktikas </w:t>
            </w:r>
            <w:r w:rsidRPr="00DF233E">
              <w:rPr>
                <w:rFonts w:ascii="Joost" w:hAnsi="Joost"/>
                <w:lang w:val="lt-LT"/>
              </w:rPr>
              <w:lastRenderedPageBreak/>
              <w:t xml:space="preserve">(TS 1.9.2 p.). </w:t>
            </w:r>
            <w:r w:rsidRPr="00DF233E">
              <w:rPr>
                <w:rFonts w:ascii="Joost" w:hAnsi="Joost"/>
                <w:lang w:val="pt-BR"/>
              </w:rPr>
              <w:t xml:space="preserve">Todėl kol nėra atliktas projektavimas, negalime tiksliai pateikti sistemų tipų ir jų kiekių. </w:t>
            </w:r>
            <w:r w:rsidR="002E4EED">
              <w:rPr>
                <w:rFonts w:ascii="Joost" w:hAnsi="Joost"/>
                <w:lang w:val="pt-BR"/>
              </w:rPr>
              <w:t xml:space="preserve"> </w:t>
            </w:r>
            <w:r w:rsidR="002E4EED" w:rsidRPr="00092748">
              <w:rPr>
                <w:rFonts w:ascii="Joost" w:hAnsi="Joost"/>
                <w:lang w:val="lt-LT"/>
              </w:rPr>
              <w:t>Preliminariai tai galėtų sudaryti ne mažiau kaip 10 sistemų.</w:t>
            </w:r>
            <w:r w:rsidR="002E4EED">
              <w:rPr>
                <w:rFonts w:ascii="Joost" w:hAnsi="Joost"/>
                <w:lang w:val="lt-LT"/>
              </w:rPr>
              <w:t xml:space="preserve"> </w:t>
            </w:r>
            <w:r w:rsidRPr="00DF233E">
              <w:rPr>
                <w:rFonts w:ascii="Joost" w:hAnsi="Joost"/>
                <w:lang w:val="pt-BR"/>
              </w:rPr>
              <w:t xml:space="preserve">Taip pat pažymime, kad ne visos sistemos bus integruotos su AD. </w:t>
            </w:r>
          </w:p>
        </w:tc>
      </w:tr>
      <w:tr w:rsidR="00DC4224" w:rsidRPr="00DF233E" w14:paraId="212DC45C" w14:textId="77777777" w:rsidTr="00C90B7F">
        <w:trPr>
          <w:trHeight w:val="400"/>
        </w:trPr>
        <w:tc>
          <w:tcPr>
            <w:tcW w:w="9781" w:type="dxa"/>
            <w:shd w:val="clear" w:color="auto" w:fill="DAE9F7" w:themeFill="text2" w:themeFillTint="1A"/>
          </w:tcPr>
          <w:p w14:paraId="38D6BD6D" w14:textId="6626A5AE" w:rsidR="00DC4224" w:rsidRPr="00DF233E" w:rsidRDefault="00C90B7F" w:rsidP="00106C33">
            <w:pPr>
              <w:shd w:val="clear" w:color="auto" w:fill="DAE9F7" w:themeFill="text2" w:themeFillTint="1A"/>
              <w:jc w:val="both"/>
              <w:rPr>
                <w:rFonts w:ascii="Joost" w:hAnsi="Joost" w:hint="eastAsia"/>
                <w:lang w:val="lt-LT"/>
              </w:rPr>
            </w:pPr>
            <w:r w:rsidRPr="00DF233E">
              <w:rPr>
                <w:rFonts w:ascii="Joost" w:hAnsi="Joost"/>
                <w:b/>
                <w:bCs/>
                <w:lang w:val="lt-LT"/>
              </w:rPr>
              <w:lastRenderedPageBreak/>
              <w:t xml:space="preserve">Klausimas 2 </w:t>
            </w:r>
            <w:r w:rsidRPr="00DF233E">
              <w:rPr>
                <w:rFonts w:ascii="Joost" w:hAnsi="Joost"/>
                <w:lang w:val="lt-LT"/>
              </w:rPr>
              <w:t>(klausimo tekstas netaisytas)</w:t>
            </w:r>
          </w:p>
        </w:tc>
      </w:tr>
      <w:tr w:rsidR="00DC4224" w:rsidRPr="00DF233E" w14:paraId="7D95FF85" w14:textId="77777777" w:rsidTr="008D0403">
        <w:trPr>
          <w:trHeight w:val="400"/>
        </w:trPr>
        <w:tc>
          <w:tcPr>
            <w:tcW w:w="9781" w:type="dxa"/>
            <w:shd w:val="clear" w:color="auto" w:fill="auto"/>
          </w:tcPr>
          <w:p w14:paraId="7577521C" w14:textId="765A9418" w:rsidR="00DC4224" w:rsidRPr="00DF233E" w:rsidRDefault="00774A25" w:rsidP="00106C33">
            <w:pPr>
              <w:spacing w:before="100" w:beforeAutospacing="1" w:after="100" w:afterAutospacing="1"/>
              <w:jc w:val="both"/>
              <w:rPr>
                <w:rFonts w:ascii="Joost" w:hAnsi="Joost" w:hint="eastAsia"/>
                <w:i/>
                <w:iCs/>
                <w:lang w:val="lt-LT"/>
              </w:rPr>
            </w:pPr>
            <w:r w:rsidRPr="00DF233E">
              <w:rPr>
                <w:rFonts w:ascii="Joost" w:hAnsi="Joost"/>
                <w:i/>
                <w:iCs/>
                <w:lang w:val="lt-LT"/>
              </w:rPr>
              <w:t>Informuojame, kad privilegijuotų paskyrų sprendimo (</w:t>
            </w:r>
            <w:proofErr w:type="spellStart"/>
            <w:r w:rsidRPr="00DF233E">
              <w:rPr>
                <w:rFonts w:ascii="Joost" w:hAnsi="Joost"/>
                <w:i/>
                <w:iCs/>
                <w:lang w:val="lt-LT"/>
              </w:rPr>
              <w:t>Privileged</w:t>
            </w:r>
            <w:proofErr w:type="spellEnd"/>
            <w:r w:rsidRPr="00DF233E">
              <w:rPr>
                <w:rFonts w:ascii="Joost" w:hAnsi="Joost"/>
                <w:i/>
                <w:iCs/>
                <w:lang w:val="lt-LT"/>
              </w:rPr>
              <w:t xml:space="preserve"> Access </w:t>
            </w:r>
            <w:proofErr w:type="spellStart"/>
            <w:r w:rsidRPr="00DF233E">
              <w:rPr>
                <w:rFonts w:ascii="Joost" w:hAnsi="Joost"/>
                <w:i/>
                <w:iCs/>
                <w:lang w:val="lt-LT"/>
              </w:rPr>
              <w:t>Management</w:t>
            </w:r>
            <w:proofErr w:type="spellEnd"/>
            <w:r w:rsidRPr="00DF233E">
              <w:rPr>
                <w:rFonts w:ascii="Joost" w:hAnsi="Joost"/>
                <w:i/>
                <w:iCs/>
                <w:lang w:val="lt-LT"/>
              </w:rPr>
              <w:t>) licencijų pirkimo metu yra būtina registruoti programinės įrangos licencijas galutinio naudotojo rekvizitais.</w:t>
            </w:r>
            <w:r w:rsidRPr="00DF233E">
              <w:rPr>
                <w:rFonts w:ascii="Joost" w:hAnsi="Joost"/>
                <w:i/>
                <w:iCs/>
                <w:lang w:val="lt-LT"/>
              </w:rPr>
              <w:br/>
              <w:t>Tai reiškia, kad licencijos yra priskiriamos organizacijai, kuri realiai naudosis sprendimu.</w:t>
            </w:r>
            <w:r w:rsidRPr="00DF233E">
              <w:rPr>
                <w:rFonts w:ascii="Joost" w:hAnsi="Joost"/>
                <w:i/>
                <w:iCs/>
                <w:lang w:val="lt-LT"/>
              </w:rPr>
              <w:br/>
              <w:t>Atsižvelgiant į tai, prašytume patikslinti, kas bus galutinis programinės įrangos licencijų naudotojas – t. y. kurios organizacijos rekvizitais turi būti registruotos licencijos.</w:t>
            </w:r>
          </w:p>
        </w:tc>
      </w:tr>
      <w:tr w:rsidR="00DC4224" w:rsidRPr="00DF233E" w14:paraId="73349BD3" w14:textId="77777777" w:rsidTr="00C90B7F">
        <w:trPr>
          <w:trHeight w:val="400"/>
        </w:trPr>
        <w:tc>
          <w:tcPr>
            <w:tcW w:w="9781" w:type="dxa"/>
            <w:shd w:val="clear" w:color="auto" w:fill="DAE9F7" w:themeFill="text2" w:themeFillTint="1A"/>
          </w:tcPr>
          <w:p w14:paraId="6F1AD39A" w14:textId="2C1CF87D" w:rsidR="00DC4224" w:rsidRPr="00DF233E" w:rsidRDefault="00C90B7F" w:rsidP="00106C33">
            <w:pPr>
              <w:shd w:val="clear" w:color="auto" w:fill="DAE9F7" w:themeFill="text2" w:themeFillTint="1A"/>
              <w:spacing w:before="100" w:beforeAutospacing="1" w:after="100" w:afterAutospacing="1"/>
              <w:jc w:val="both"/>
              <w:rPr>
                <w:rFonts w:ascii="Joost" w:hAnsi="Joost" w:hint="eastAsia"/>
                <w:b/>
                <w:bCs/>
                <w:lang w:val="lt-LT"/>
              </w:rPr>
            </w:pPr>
            <w:r w:rsidRPr="00DF233E">
              <w:rPr>
                <w:rFonts w:ascii="Joost" w:hAnsi="Joost"/>
                <w:b/>
                <w:bCs/>
                <w:lang w:val="lt-LT"/>
              </w:rPr>
              <w:t>Atsakymas</w:t>
            </w:r>
          </w:p>
        </w:tc>
      </w:tr>
      <w:tr w:rsidR="00DC4224" w:rsidRPr="00DF233E" w14:paraId="64D14061" w14:textId="77777777" w:rsidTr="008D0403">
        <w:trPr>
          <w:trHeight w:val="400"/>
        </w:trPr>
        <w:tc>
          <w:tcPr>
            <w:tcW w:w="9781" w:type="dxa"/>
            <w:shd w:val="clear" w:color="auto" w:fill="auto"/>
          </w:tcPr>
          <w:p w14:paraId="4F5623D6" w14:textId="388A26E1" w:rsidR="00774A25" w:rsidRPr="00DF233E" w:rsidRDefault="00774A25" w:rsidP="00774A25">
            <w:pPr>
              <w:jc w:val="both"/>
              <w:rPr>
                <w:rFonts w:ascii="Joost" w:hAnsi="Joost" w:hint="eastAsia"/>
                <w:lang w:val="pt-BR"/>
              </w:rPr>
            </w:pPr>
            <w:r w:rsidRPr="00DF233E">
              <w:rPr>
                <w:rFonts w:ascii="Joost" w:hAnsi="Joost"/>
                <w:lang w:val="lt-LT"/>
              </w:rPr>
              <w:t xml:space="preserve">Programinės įrangos licencijų galutinis </w:t>
            </w:r>
            <w:r w:rsidRPr="00DF233E">
              <w:rPr>
                <w:rFonts w:ascii="Joost" w:hAnsi="Joost"/>
                <w:lang w:val="pt-BR"/>
              </w:rPr>
              <w:t>naudotojas Kertinis valstybės telekomunikacijų centras (į.k. 121738687).</w:t>
            </w:r>
          </w:p>
          <w:p w14:paraId="0F0F9B9B" w14:textId="36A9A62E" w:rsidR="00DC4224" w:rsidRPr="00DF233E" w:rsidRDefault="00DC4224" w:rsidP="00106C33">
            <w:pPr>
              <w:jc w:val="both"/>
              <w:rPr>
                <w:rFonts w:ascii="Joost" w:hAnsi="Joost" w:hint="eastAsia"/>
                <w:lang w:val="lt-LT"/>
              </w:rPr>
            </w:pPr>
          </w:p>
        </w:tc>
      </w:tr>
    </w:tbl>
    <w:p w14:paraId="2C081A81" w14:textId="77777777" w:rsidR="004724B7" w:rsidRPr="00DF233E" w:rsidRDefault="004724B7" w:rsidP="004724B7">
      <w:pPr>
        <w:tabs>
          <w:tab w:val="left" w:pos="1605"/>
        </w:tabs>
        <w:rPr>
          <w:rFonts w:ascii="Joost" w:hAnsi="Joost" w:hint="eastAsia"/>
        </w:rPr>
      </w:pPr>
    </w:p>
    <w:p w14:paraId="35AEC276" w14:textId="097E0322" w:rsidR="00C90B7F" w:rsidRPr="00DF233E" w:rsidRDefault="00C90B7F" w:rsidP="00C90B7F">
      <w:pPr>
        <w:pStyle w:val="FreeForm"/>
        <w:ind w:firstLine="709"/>
        <w:jc w:val="both"/>
        <w:rPr>
          <w:rFonts w:ascii="Joost" w:hAnsi="Joost" w:cs="Times New Roman" w:hint="eastAsia"/>
          <w:b/>
          <w:bCs/>
          <w:color w:val="auto"/>
          <w:sz w:val="24"/>
          <w:szCs w:val="24"/>
          <w:lang w:val="lt-LT"/>
        </w:rPr>
      </w:pPr>
    </w:p>
    <w:p w14:paraId="2FC7F03D" w14:textId="20D198AA" w:rsidR="004724B7" w:rsidRPr="00DF233E" w:rsidRDefault="004724B7" w:rsidP="004724B7">
      <w:pPr>
        <w:tabs>
          <w:tab w:val="left" w:pos="1605"/>
        </w:tabs>
        <w:spacing w:line="288" w:lineRule="auto"/>
        <w:jc w:val="both"/>
        <w:rPr>
          <w:rFonts w:ascii="Joost" w:eastAsia="Times New Roman" w:hAnsi="Joost"/>
          <w:color w:val="000000"/>
        </w:rPr>
      </w:pPr>
      <w:r w:rsidRPr="00DF233E">
        <w:rPr>
          <w:rFonts w:ascii="Joost" w:eastAsia="Times New Roman" w:hAnsi="Joost"/>
          <w:color w:val="000000"/>
        </w:rPr>
        <w:t>Pagarbiai</w:t>
      </w:r>
    </w:p>
    <w:p w14:paraId="24581294" w14:textId="77777777" w:rsidR="004724B7" w:rsidRPr="00DF233E" w:rsidRDefault="004724B7" w:rsidP="004724B7">
      <w:pPr>
        <w:tabs>
          <w:tab w:val="left" w:pos="1605"/>
        </w:tabs>
        <w:jc w:val="both"/>
        <w:rPr>
          <w:rFonts w:ascii="Joost" w:eastAsia="Times New Roman" w:hAnsi="Joost"/>
          <w:color w:val="000000"/>
        </w:rPr>
      </w:pPr>
    </w:p>
    <w:p w14:paraId="61CD7701" w14:textId="77777777" w:rsidR="004724B7" w:rsidRPr="00DF233E" w:rsidRDefault="004724B7" w:rsidP="004724B7">
      <w:pPr>
        <w:tabs>
          <w:tab w:val="left" w:pos="1605"/>
        </w:tabs>
        <w:spacing w:line="288" w:lineRule="auto"/>
        <w:jc w:val="both"/>
        <w:rPr>
          <w:rFonts w:ascii="Joost" w:hAnsi="Joost" w:hint="eastAsia"/>
        </w:rPr>
      </w:pPr>
      <w:r w:rsidRPr="00DF233E">
        <w:rPr>
          <w:rFonts w:ascii="Joost" w:eastAsia="Times New Roman" w:hAnsi="Joost"/>
          <w:color w:val="000000"/>
        </w:rPr>
        <w:t>Komisija</w:t>
      </w:r>
    </w:p>
    <w:p w14:paraId="225B46E5" w14:textId="77777777" w:rsidR="004724B7" w:rsidRPr="00DF233E" w:rsidRDefault="004724B7" w:rsidP="004724B7">
      <w:pPr>
        <w:tabs>
          <w:tab w:val="left" w:pos="1605"/>
        </w:tabs>
        <w:jc w:val="center"/>
        <w:rPr>
          <w:rFonts w:ascii="Joost" w:hAnsi="Joost" w:hint="eastAsia"/>
        </w:rPr>
      </w:pPr>
    </w:p>
    <w:p w14:paraId="22BB7764" w14:textId="77777777" w:rsidR="004724B7" w:rsidRPr="00DF233E" w:rsidRDefault="004724B7" w:rsidP="004724B7">
      <w:pPr>
        <w:pStyle w:val="FreeForm"/>
        <w:spacing w:line="480" w:lineRule="auto"/>
        <w:rPr>
          <w:rFonts w:ascii="Joost" w:hAnsi="Joost" w:cs="Times New Roman" w:hint="eastAsia"/>
          <w:color w:val="auto"/>
          <w:sz w:val="24"/>
          <w:szCs w:val="24"/>
          <w:lang w:val="lt-LT"/>
        </w:rPr>
      </w:pPr>
      <w:r w:rsidRPr="00DF233E">
        <w:rPr>
          <w:rFonts w:ascii="Joost" w:hAnsi="Joost" w:cs="Times New Roman"/>
          <w:color w:val="auto"/>
          <w:sz w:val="24"/>
          <w:szCs w:val="24"/>
          <w:lang w:val="lt-LT"/>
        </w:rPr>
        <w:tab/>
      </w:r>
      <w:r w:rsidRPr="00DF233E">
        <w:rPr>
          <w:rFonts w:ascii="Joost" w:hAnsi="Joost" w:cs="Times New Roman"/>
          <w:color w:val="auto"/>
          <w:sz w:val="24"/>
          <w:szCs w:val="24"/>
          <w:lang w:val="lt-LT"/>
        </w:rPr>
        <w:tab/>
      </w:r>
      <w:r w:rsidRPr="00DF233E">
        <w:rPr>
          <w:rFonts w:ascii="Joost" w:hAnsi="Joost" w:cs="Times New Roman"/>
          <w:color w:val="auto"/>
          <w:sz w:val="24"/>
          <w:szCs w:val="24"/>
          <w:lang w:val="lt-LT"/>
        </w:rPr>
        <w:tab/>
      </w:r>
      <w:r w:rsidRPr="00DF233E">
        <w:rPr>
          <w:rFonts w:ascii="Joost" w:hAnsi="Joost" w:cs="Times New Roman"/>
          <w:color w:val="auto"/>
          <w:sz w:val="24"/>
          <w:szCs w:val="24"/>
          <w:lang w:val="lt-LT"/>
        </w:rPr>
        <w:tab/>
      </w:r>
    </w:p>
    <w:p w14:paraId="7478A476" w14:textId="77777777" w:rsidR="00E4040A" w:rsidRPr="00DF233E" w:rsidRDefault="00E4040A" w:rsidP="004724B7">
      <w:pPr>
        <w:spacing w:line="288" w:lineRule="auto"/>
        <w:ind w:firstLine="720"/>
        <w:jc w:val="both"/>
        <w:rPr>
          <w:rFonts w:ascii="Joost" w:hAnsi="Joost" w:hint="eastAsia"/>
        </w:rPr>
      </w:pPr>
    </w:p>
    <w:sectPr w:rsidR="00E4040A" w:rsidRPr="00DF233E"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D32D" w14:textId="77777777" w:rsidR="00D44CBC" w:rsidRDefault="00D44CBC" w:rsidP="000F17D6">
      <w:r>
        <w:separator/>
      </w:r>
    </w:p>
  </w:endnote>
  <w:endnote w:type="continuationSeparator" w:id="0">
    <w:p w14:paraId="6933773C" w14:textId="77777777" w:rsidR="00D44CBC" w:rsidRDefault="00D44CBC"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charset w:val="4D"/>
    <w:family w:val="auto"/>
    <w:pitch w:val="variable"/>
    <w:sig w:usb0="A00002EF" w:usb1="0000205B" w:usb2="00000010" w:usb3="00000000" w:csb0="00000097"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A529" w14:textId="77777777" w:rsidR="00D44CBC" w:rsidRDefault="00D44CBC" w:rsidP="000F17D6">
      <w:r>
        <w:separator/>
      </w:r>
    </w:p>
  </w:footnote>
  <w:footnote w:type="continuationSeparator" w:id="0">
    <w:p w14:paraId="72D3873A" w14:textId="77777777" w:rsidR="00D44CBC" w:rsidRDefault="00D44CBC"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8C057C"/>
    <w:multiLevelType w:val="hybridMultilevel"/>
    <w:tmpl w:val="C3F8A3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134964">
    <w:abstractNumId w:val="1"/>
  </w:num>
  <w:num w:numId="2" w16cid:durableId="1367369366">
    <w:abstractNumId w:val="0"/>
  </w:num>
  <w:num w:numId="3" w16cid:durableId="166944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1696"/>
    <w:rsid w:val="00041920"/>
    <w:rsid w:val="00051BE0"/>
    <w:rsid w:val="00052F0C"/>
    <w:rsid w:val="000673B7"/>
    <w:rsid w:val="00073A6D"/>
    <w:rsid w:val="00076A84"/>
    <w:rsid w:val="000841CC"/>
    <w:rsid w:val="00092748"/>
    <w:rsid w:val="00094EC1"/>
    <w:rsid w:val="00095D5F"/>
    <w:rsid w:val="000A26A0"/>
    <w:rsid w:val="000B7B60"/>
    <w:rsid w:val="000E48D3"/>
    <w:rsid w:val="000F0723"/>
    <w:rsid w:val="000F17D6"/>
    <w:rsid w:val="000F3B8C"/>
    <w:rsid w:val="00106C33"/>
    <w:rsid w:val="00117F86"/>
    <w:rsid w:val="001276CB"/>
    <w:rsid w:val="001330B6"/>
    <w:rsid w:val="001330CA"/>
    <w:rsid w:val="00150BF6"/>
    <w:rsid w:val="001558F6"/>
    <w:rsid w:val="00167788"/>
    <w:rsid w:val="00172D09"/>
    <w:rsid w:val="00180221"/>
    <w:rsid w:val="00180313"/>
    <w:rsid w:val="001829EE"/>
    <w:rsid w:val="00192DEF"/>
    <w:rsid w:val="001954C2"/>
    <w:rsid w:val="001C1E30"/>
    <w:rsid w:val="001C4C9F"/>
    <w:rsid w:val="001D62C1"/>
    <w:rsid w:val="001E350E"/>
    <w:rsid w:val="001F2EAE"/>
    <w:rsid w:val="002157C3"/>
    <w:rsid w:val="00240BAB"/>
    <w:rsid w:val="00242FBF"/>
    <w:rsid w:val="00265045"/>
    <w:rsid w:val="002676AF"/>
    <w:rsid w:val="00270136"/>
    <w:rsid w:val="0027706E"/>
    <w:rsid w:val="00277ACF"/>
    <w:rsid w:val="00283410"/>
    <w:rsid w:val="002C05DC"/>
    <w:rsid w:val="002E4EED"/>
    <w:rsid w:val="00300312"/>
    <w:rsid w:val="00322AFC"/>
    <w:rsid w:val="00336605"/>
    <w:rsid w:val="0034072A"/>
    <w:rsid w:val="003619F9"/>
    <w:rsid w:val="00362939"/>
    <w:rsid w:val="0036750A"/>
    <w:rsid w:val="00370952"/>
    <w:rsid w:val="00376B34"/>
    <w:rsid w:val="00376FF7"/>
    <w:rsid w:val="00383929"/>
    <w:rsid w:val="0038591A"/>
    <w:rsid w:val="003B217B"/>
    <w:rsid w:val="003B610D"/>
    <w:rsid w:val="003B6880"/>
    <w:rsid w:val="003D08CE"/>
    <w:rsid w:val="003D2882"/>
    <w:rsid w:val="003D74F0"/>
    <w:rsid w:val="003E5200"/>
    <w:rsid w:val="003E6BB5"/>
    <w:rsid w:val="004115A8"/>
    <w:rsid w:val="00415F0A"/>
    <w:rsid w:val="00445645"/>
    <w:rsid w:val="004476C6"/>
    <w:rsid w:val="00453909"/>
    <w:rsid w:val="004657AE"/>
    <w:rsid w:val="004724B7"/>
    <w:rsid w:val="00475AC1"/>
    <w:rsid w:val="0048126B"/>
    <w:rsid w:val="00481C91"/>
    <w:rsid w:val="004841E0"/>
    <w:rsid w:val="00490A3C"/>
    <w:rsid w:val="00494CBC"/>
    <w:rsid w:val="004A5103"/>
    <w:rsid w:val="004B4774"/>
    <w:rsid w:val="004B73A5"/>
    <w:rsid w:val="004C4F2C"/>
    <w:rsid w:val="004E7DB5"/>
    <w:rsid w:val="004F6AD6"/>
    <w:rsid w:val="00510257"/>
    <w:rsid w:val="0051460F"/>
    <w:rsid w:val="00516562"/>
    <w:rsid w:val="00524B8D"/>
    <w:rsid w:val="005472B0"/>
    <w:rsid w:val="005642C6"/>
    <w:rsid w:val="005B0AC0"/>
    <w:rsid w:val="005B23E8"/>
    <w:rsid w:val="005B3585"/>
    <w:rsid w:val="005E43FB"/>
    <w:rsid w:val="00643113"/>
    <w:rsid w:val="006510CA"/>
    <w:rsid w:val="006810B3"/>
    <w:rsid w:val="006862E0"/>
    <w:rsid w:val="006908B5"/>
    <w:rsid w:val="006A3975"/>
    <w:rsid w:val="006B4CBC"/>
    <w:rsid w:val="00711BD9"/>
    <w:rsid w:val="00717D5C"/>
    <w:rsid w:val="007254B9"/>
    <w:rsid w:val="007271E9"/>
    <w:rsid w:val="007642B2"/>
    <w:rsid w:val="007706F7"/>
    <w:rsid w:val="00774325"/>
    <w:rsid w:val="00774A25"/>
    <w:rsid w:val="007772DB"/>
    <w:rsid w:val="00791E5F"/>
    <w:rsid w:val="007A00C5"/>
    <w:rsid w:val="007C7652"/>
    <w:rsid w:val="007F0445"/>
    <w:rsid w:val="007F072F"/>
    <w:rsid w:val="00804584"/>
    <w:rsid w:val="0080655C"/>
    <w:rsid w:val="00811008"/>
    <w:rsid w:val="0081367D"/>
    <w:rsid w:val="00855EA4"/>
    <w:rsid w:val="008600A9"/>
    <w:rsid w:val="00860FEB"/>
    <w:rsid w:val="00862486"/>
    <w:rsid w:val="00876EDD"/>
    <w:rsid w:val="008814A7"/>
    <w:rsid w:val="0088508D"/>
    <w:rsid w:val="00896ACE"/>
    <w:rsid w:val="008B7D17"/>
    <w:rsid w:val="008D4EB1"/>
    <w:rsid w:val="00901F52"/>
    <w:rsid w:val="00913764"/>
    <w:rsid w:val="00915E5F"/>
    <w:rsid w:val="00933D80"/>
    <w:rsid w:val="009359D0"/>
    <w:rsid w:val="00940C42"/>
    <w:rsid w:val="00940E74"/>
    <w:rsid w:val="00943813"/>
    <w:rsid w:val="00946706"/>
    <w:rsid w:val="00976F43"/>
    <w:rsid w:val="00992541"/>
    <w:rsid w:val="009A6E37"/>
    <w:rsid w:val="009A6FF3"/>
    <w:rsid w:val="009A7E52"/>
    <w:rsid w:val="009E5672"/>
    <w:rsid w:val="009F1ABD"/>
    <w:rsid w:val="009F3B08"/>
    <w:rsid w:val="00A1363C"/>
    <w:rsid w:val="00A25314"/>
    <w:rsid w:val="00A3278C"/>
    <w:rsid w:val="00A62405"/>
    <w:rsid w:val="00A67D15"/>
    <w:rsid w:val="00A71CBF"/>
    <w:rsid w:val="00A7668B"/>
    <w:rsid w:val="00A831FB"/>
    <w:rsid w:val="00A84892"/>
    <w:rsid w:val="00A9105A"/>
    <w:rsid w:val="00AA778D"/>
    <w:rsid w:val="00AB476D"/>
    <w:rsid w:val="00AB6536"/>
    <w:rsid w:val="00AB7038"/>
    <w:rsid w:val="00AC0DC4"/>
    <w:rsid w:val="00AC1477"/>
    <w:rsid w:val="00AE3A88"/>
    <w:rsid w:val="00AE6543"/>
    <w:rsid w:val="00B14379"/>
    <w:rsid w:val="00B546B9"/>
    <w:rsid w:val="00B5500E"/>
    <w:rsid w:val="00B577D1"/>
    <w:rsid w:val="00B62F87"/>
    <w:rsid w:val="00B635A5"/>
    <w:rsid w:val="00B77E46"/>
    <w:rsid w:val="00B92644"/>
    <w:rsid w:val="00BA3961"/>
    <w:rsid w:val="00BB2691"/>
    <w:rsid w:val="00BC39CD"/>
    <w:rsid w:val="00BC4BBB"/>
    <w:rsid w:val="00BD61F3"/>
    <w:rsid w:val="00BE3C5E"/>
    <w:rsid w:val="00BE7716"/>
    <w:rsid w:val="00C0001C"/>
    <w:rsid w:val="00C04902"/>
    <w:rsid w:val="00C35E6C"/>
    <w:rsid w:val="00C36859"/>
    <w:rsid w:val="00C442A3"/>
    <w:rsid w:val="00C57417"/>
    <w:rsid w:val="00C868FA"/>
    <w:rsid w:val="00C90B7F"/>
    <w:rsid w:val="00C918C4"/>
    <w:rsid w:val="00C92F1F"/>
    <w:rsid w:val="00CA077F"/>
    <w:rsid w:val="00CB6EAD"/>
    <w:rsid w:val="00CC13E6"/>
    <w:rsid w:val="00CD1404"/>
    <w:rsid w:val="00CE0EA3"/>
    <w:rsid w:val="00CE0F7C"/>
    <w:rsid w:val="00CF235A"/>
    <w:rsid w:val="00D0127C"/>
    <w:rsid w:val="00D163F3"/>
    <w:rsid w:val="00D32C10"/>
    <w:rsid w:val="00D44CBC"/>
    <w:rsid w:val="00D466CA"/>
    <w:rsid w:val="00D76D72"/>
    <w:rsid w:val="00DA0901"/>
    <w:rsid w:val="00DA5C37"/>
    <w:rsid w:val="00DB5547"/>
    <w:rsid w:val="00DC4224"/>
    <w:rsid w:val="00DD4DA4"/>
    <w:rsid w:val="00DE0558"/>
    <w:rsid w:val="00DE0A01"/>
    <w:rsid w:val="00DE357B"/>
    <w:rsid w:val="00DE4D6E"/>
    <w:rsid w:val="00DF0222"/>
    <w:rsid w:val="00DF0B28"/>
    <w:rsid w:val="00DF233E"/>
    <w:rsid w:val="00DF3CE3"/>
    <w:rsid w:val="00E018EC"/>
    <w:rsid w:val="00E04159"/>
    <w:rsid w:val="00E27A21"/>
    <w:rsid w:val="00E36288"/>
    <w:rsid w:val="00E37796"/>
    <w:rsid w:val="00E4040A"/>
    <w:rsid w:val="00E62888"/>
    <w:rsid w:val="00E65F29"/>
    <w:rsid w:val="00E72964"/>
    <w:rsid w:val="00E806E2"/>
    <w:rsid w:val="00E80C6C"/>
    <w:rsid w:val="00E9653F"/>
    <w:rsid w:val="00EA0873"/>
    <w:rsid w:val="00EC6CCD"/>
    <w:rsid w:val="00ED5612"/>
    <w:rsid w:val="00EE523B"/>
    <w:rsid w:val="00EE5266"/>
    <w:rsid w:val="00EE7D4C"/>
    <w:rsid w:val="00F36B90"/>
    <w:rsid w:val="00F37442"/>
    <w:rsid w:val="00F52AEA"/>
    <w:rsid w:val="00F67EB9"/>
    <w:rsid w:val="00F71DC1"/>
    <w:rsid w:val="00F91071"/>
    <w:rsid w:val="00F9235A"/>
    <w:rsid w:val="00FA5A56"/>
    <w:rsid w:val="00FC6BEF"/>
    <w:rsid w:val="00FD22EE"/>
    <w:rsid w:val="00FE51E3"/>
    <w:rsid w:val="00FF16E5"/>
    <w:rsid w:val="00FF6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73750591">
      <w:bodyDiv w:val="1"/>
      <w:marLeft w:val="0"/>
      <w:marRight w:val="0"/>
      <w:marTop w:val="0"/>
      <w:marBottom w:val="0"/>
      <w:divBdr>
        <w:top w:val="none" w:sz="0" w:space="0" w:color="auto"/>
        <w:left w:val="none" w:sz="0" w:space="0" w:color="auto"/>
        <w:bottom w:val="none" w:sz="0" w:space="0" w:color="auto"/>
        <w:right w:val="none" w:sz="0" w:space="0" w:color="auto"/>
      </w:divBdr>
    </w:div>
    <w:div w:id="460346642">
      <w:bodyDiv w:val="1"/>
      <w:marLeft w:val="0"/>
      <w:marRight w:val="0"/>
      <w:marTop w:val="0"/>
      <w:marBottom w:val="0"/>
      <w:divBdr>
        <w:top w:val="none" w:sz="0" w:space="0" w:color="auto"/>
        <w:left w:val="none" w:sz="0" w:space="0" w:color="auto"/>
        <w:bottom w:val="none" w:sz="0" w:space="0" w:color="auto"/>
        <w:right w:val="none" w:sz="0" w:space="0" w:color="auto"/>
      </w:divBdr>
    </w:div>
    <w:div w:id="1163161337">
      <w:bodyDiv w:val="1"/>
      <w:marLeft w:val="0"/>
      <w:marRight w:val="0"/>
      <w:marTop w:val="0"/>
      <w:marBottom w:val="0"/>
      <w:divBdr>
        <w:top w:val="none" w:sz="0" w:space="0" w:color="auto"/>
        <w:left w:val="none" w:sz="0" w:space="0" w:color="auto"/>
        <w:bottom w:val="none" w:sz="0" w:space="0" w:color="auto"/>
        <w:right w:val="none" w:sz="0" w:space="0" w:color="auto"/>
      </w:divBdr>
    </w:div>
    <w:div w:id="1260719821">
      <w:bodyDiv w:val="1"/>
      <w:marLeft w:val="0"/>
      <w:marRight w:val="0"/>
      <w:marTop w:val="0"/>
      <w:marBottom w:val="0"/>
      <w:divBdr>
        <w:top w:val="none" w:sz="0" w:space="0" w:color="auto"/>
        <w:left w:val="none" w:sz="0" w:space="0" w:color="auto"/>
        <w:bottom w:val="none" w:sz="0" w:space="0" w:color="auto"/>
        <w:right w:val="none" w:sz="0" w:space="0" w:color="auto"/>
      </w:divBdr>
    </w:div>
    <w:div w:id="1282344355">
      <w:bodyDiv w:val="1"/>
      <w:marLeft w:val="0"/>
      <w:marRight w:val="0"/>
      <w:marTop w:val="0"/>
      <w:marBottom w:val="0"/>
      <w:divBdr>
        <w:top w:val="none" w:sz="0" w:space="0" w:color="auto"/>
        <w:left w:val="none" w:sz="0" w:space="0" w:color="auto"/>
        <w:bottom w:val="none" w:sz="0" w:space="0" w:color="auto"/>
        <w:right w:val="none" w:sz="0" w:space="0" w:color="auto"/>
      </w:divBdr>
    </w:div>
    <w:div w:id="1319193728">
      <w:bodyDiv w:val="1"/>
      <w:marLeft w:val="0"/>
      <w:marRight w:val="0"/>
      <w:marTop w:val="0"/>
      <w:marBottom w:val="0"/>
      <w:divBdr>
        <w:top w:val="none" w:sz="0" w:space="0" w:color="auto"/>
        <w:left w:val="none" w:sz="0" w:space="0" w:color="auto"/>
        <w:bottom w:val="none" w:sz="0" w:space="0" w:color="auto"/>
        <w:right w:val="none" w:sz="0" w:space="0" w:color="auto"/>
      </w:divBdr>
    </w:div>
    <w:div w:id="1387756466">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712921115">
      <w:bodyDiv w:val="1"/>
      <w:marLeft w:val="0"/>
      <w:marRight w:val="0"/>
      <w:marTop w:val="0"/>
      <w:marBottom w:val="0"/>
      <w:divBdr>
        <w:top w:val="none" w:sz="0" w:space="0" w:color="auto"/>
        <w:left w:val="none" w:sz="0" w:space="0" w:color="auto"/>
        <w:bottom w:val="none" w:sz="0" w:space="0" w:color="auto"/>
        <w:right w:val="none" w:sz="0" w:space="0" w:color="auto"/>
      </w:divBdr>
    </w:div>
    <w:div w:id="20660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2632</Words>
  <Characters>1501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Renata Stankevičienė</cp:lastModifiedBy>
  <cp:revision>2</cp:revision>
  <dcterms:created xsi:type="dcterms:W3CDTF">2025-07-07T06:03:00Z</dcterms:created>
  <dcterms:modified xsi:type="dcterms:W3CDTF">2025-07-07T06:03:00Z</dcterms:modified>
</cp:coreProperties>
</file>