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3208F5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3208F5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3208F5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5CE27B1B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8B7">
              <w:rPr>
                <w:rFonts w:ascii="Times New Roman" w:hAnsi="Times New Roman" w:cs="Times New Roman"/>
                <w:sz w:val="24"/>
                <w:szCs w:val="24"/>
              </w:rPr>
              <w:t>07-04</w:t>
            </w:r>
          </w:p>
        </w:tc>
      </w:tr>
      <w:tr w:rsidR="00EC2432" w:rsidRPr="00280A48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280A48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27578E12" w14:textId="77777777" w:rsidR="00EC2432" w:rsidRPr="00280A48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48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4999CC0A" w14:textId="77777777" w:rsidR="00217258" w:rsidRPr="00280A48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1EA658" w14:textId="04DFD15B" w:rsidR="00EC2432" w:rsidRPr="00321ECC" w:rsidRDefault="00EC2432" w:rsidP="00321ECC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321ECC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321ECC">
        <w:rPr>
          <w:rFonts w:ascii="Times New Roman" w:hAnsi="Times New Roman" w:cs="Times New Roman"/>
          <w:sz w:val="24"/>
          <w:szCs w:val="24"/>
        </w:rPr>
        <w:t>CVP IS</w:t>
      </w:r>
      <w:r w:rsidRPr="00321ECC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D6FE80A" w14:textId="660376D2" w:rsidR="00EC2432" w:rsidRPr="00321ECC" w:rsidRDefault="00EC2432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D83E5D" w:rsidRPr="00321ECC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321ECC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321ECC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321ECC">
        <w:rPr>
          <w:rFonts w:ascii="Times New Roman" w:hAnsi="Times New Roman" w:cs="Times New Roman"/>
          <w:bCs/>
          <w:sz w:val="24"/>
          <w:szCs w:val="24"/>
        </w:rPr>
        <w:t>0</w:t>
      </w:r>
      <w:r w:rsidR="00F73790" w:rsidRPr="00321ECC">
        <w:rPr>
          <w:rFonts w:ascii="Times New Roman" w:hAnsi="Times New Roman" w:cs="Times New Roman"/>
          <w:bCs/>
          <w:sz w:val="24"/>
          <w:szCs w:val="24"/>
        </w:rPr>
        <w:t>7-</w:t>
      </w:r>
      <w:r w:rsidR="00544509" w:rsidRPr="00321ECC">
        <w:rPr>
          <w:rFonts w:ascii="Times New Roman" w:hAnsi="Times New Roman" w:cs="Times New Roman"/>
          <w:bCs/>
          <w:sz w:val="24"/>
          <w:szCs w:val="24"/>
        </w:rPr>
        <w:t>02</w:t>
      </w:r>
      <w:r w:rsidR="00DC5BB5" w:rsidRPr="00321E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509" w:rsidRPr="00321ECC">
        <w:rPr>
          <w:rFonts w:ascii="Times New Roman" w:hAnsi="Times New Roman" w:cs="Times New Roman"/>
          <w:bCs/>
          <w:sz w:val="24"/>
          <w:szCs w:val="24"/>
        </w:rPr>
        <w:t>10:47</w:t>
      </w:r>
      <w:r w:rsidR="00F45DA0" w:rsidRPr="00321E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1ECC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321ECC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544509" w:rsidRPr="00321ECC">
        <w:rPr>
          <w:rFonts w:ascii="Times New Roman" w:hAnsi="Times New Roman" w:cs="Times New Roman"/>
          <w:sz w:val="24"/>
          <w:szCs w:val="24"/>
        </w:rPr>
        <w:t>263579</w:t>
      </w:r>
      <w:r w:rsidR="00D83E5D" w:rsidRPr="00321E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83E5D"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6BDAC64D" w14:textId="77777777" w:rsidR="009E552B" w:rsidRPr="00321ECC" w:rsidRDefault="00E8105D" w:rsidP="00321ECC">
      <w:pPr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bookmarkStart w:id="1" w:name="_Hlk175656152"/>
      <w:r w:rsidR="009E552B"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Prie pateiktų dokumentų yra pridėtas  2 Priedas Techninė užduotis. Priede yra nurodoma:</w:t>
      </w:r>
    </w:p>
    <w:bookmarkEnd w:id="1"/>
    <w:p w14:paraId="42F672C8" w14:textId="44118614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lt-LT"/>
        </w:rPr>
        <w:drawing>
          <wp:inline distT="0" distB="0" distL="0" distR="0" wp14:anchorId="65556A53" wp14:editId="247D7DB8">
            <wp:extent cx="5781675" cy="1238250"/>
            <wp:effectExtent l="0" t="0" r="9525" b="0"/>
            <wp:docPr id="2115914197" name="Paveikslėlis 4" descr="Paveikslėlis, kuriame yra tekstas, Šriftas, ekrano kopija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veikslėlis, kuriame yra tekstas, Šriftas, ekrano kopija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97C5" w14:textId="4FCB38E1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Ir pateiktos  5 lentelės su techniniais parametrais.  2-5 lentelės  skirtos apšvietimo valdikliams ir valdymo sistemai. O pateiktame Inžinerinių tinklų. Elektros tinklų  projekte Nr. 22121 2.</w:t>
      </w:r>
      <w:r w:rsidR="00264730"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projektiniai sprendiniai yra nurodoma:</w:t>
      </w:r>
    </w:p>
    <w:p w14:paraId="70164412" w14:textId="3D575A48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lt-LT"/>
        </w:rPr>
        <w:drawing>
          <wp:inline distT="0" distB="0" distL="0" distR="0" wp14:anchorId="18DCDB6E" wp14:editId="091F50BB">
            <wp:extent cx="5734050" cy="914400"/>
            <wp:effectExtent l="0" t="0" r="0" b="0"/>
            <wp:docPr id="1696720094" name="Paveikslėlis 3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ekrano kopija, Šriftas, lin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48C6" w14:textId="77777777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Pateiktoje 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GAS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skydo schemoje 22121-01-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TP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-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E.B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-3 nėra numatytas valdiklis, ar jo numatoma vieta vėlesniam pastatymui. </w:t>
      </w:r>
    </w:p>
    <w:p w14:paraId="116CE9AA" w14:textId="6E3E8602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Todėl remiantis šiais techninio projekto duomenis 2 Priedo apšvietimo valdymo valdikių ir valdymo sistemos reikalavimai yra pertekliniai. </w:t>
      </w:r>
    </w:p>
    <w:p w14:paraId="0E5E2E2A" w14:textId="7242BC9F" w:rsidR="009E552B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Prašome patikslinti kuo reikalinga remtis teikiant pasiūlymą, prašome patikslinti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GAS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skydo schemą.</w:t>
      </w:r>
    </w:p>
    <w:p w14:paraId="22A93668" w14:textId="090C440A" w:rsidR="00D83E5D" w:rsidRPr="00321ECC" w:rsidRDefault="009E552B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Prašome patikslinti teikiant pasiūlymą reikalinga užpildyti 2 priedo 5 lenteles, bei pateikti patvirtinančius siūlomų prekių techninių parametrų dokumentus.</w:t>
      </w:r>
    </w:p>
    <w:p w14:paraId="66646132" w14:textId="5793F909" w:rsidR="00857A58" w:rsidRPr="00321ECC" w:rsidRDefault="00497993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="00857A58"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pirkimų iniciatorius)</w:t>
      </w:r>
    </w:p>
    <w:p w14:paraId="172273E4" w14:textId="66B3B865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Atsižvelgiant į gautą klausimą dėl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spintos (22121-01-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TP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E.B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>-3) schemoje nenumatytos apšvietimo valdiklio vietos ir dėl to kvestionuojamo 2–5 lentelėse pateiktų reikalavimų pagrįstumo, paaiškiname:</w:t>
      </w:r>
    </w:p>
    <w:p w14:paraId="1FC4B9B0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>Techninė užduotis numato pažangią šviestuvų lygmens valdymo koncepciją:</w:t>
      </w:r>
    </w:p>
    <w:p w14:paraId="59144FD4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>Techninėje užduotyje pateiktos 2–5 lentelės apibrėžia reikalavimus kiekvienam šviestuvui skirtai valdymo ir jutiklių įrangai (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Zhaga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jungtys, DALI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D4i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, decentralizuoti valdikliai, judesio jutikliai, komunikacija ir kt.). Tai atitinka šiuolaikinę išmanių apšvietimo sistemų praktiką, kai kiekvienas šviestuvas valdomas atskirai, nepriklausomai nuo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spintos, per centralizuotą programinę platformą.</w:t>
      </w:r>
    </w:p>
    <w:p w14:paraId="7B476F60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spinta atlieka tik pirminio maitinimo paskirstymo funkciją:</w:t>
      </w:r>
    </w:p>
    <w:p w14:paraId="7E889D46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 xml:space="preserve">Nors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spintoje projektinėje schemoje nėra nurodyta valdiklio ar papildomos automatikos vieta, jos funkcija šiuo atveju yra apribota elektros tiekimo įjungimu/išjungimu per astronominį laikrodį ir foto relę. Todėl tai nekeičia fakto, kad išplėstinis apšvietimo valdymas vykdomas šviestuvo lygiu.</w:t>
      </w:r>
    </w:p>
    <w:p w14:paraId="5A0679BE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>Techninės užduoties reikalavimai nėra pertekliniai – jie yra privalomi:</w:t>
      </w:r>
    </w:p>
    <w:p w14:paraId="45795CD8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 xml:space="preserve">2–5 lentelėse pateikti reikalavimai yra integralus projekto sprendinių elementas, užtikrinantis reikalaujamą funkcionalumą (dinaminis temdymas, scenarijai, energijos apskaita, nuotolinis valdymas ir kt.). Jie turi būti įgyvendinti šviestuvų ir valdiklių lygmenyje, nepriklausomai nuo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spintos.</w:t>
      </w:r>
    </w:p>
    <w:p w14:paraId="5BEB96BF" w14:textId="77777777" w:rsidR="00857A58" w:rsidRPr="00321ECC" w:rsidRDefault="00857A58" w:rsidP="00321ECC">
      <w:pPr>
        <w:tabs>
          <w:tab w:val="left" w:pos="851"/>
        </w:tabs>
        <w:spacing w:line="276" w:lineRule="auto"/>
        <w:ind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>Pasiūlymų teikėjams:</w:t>
      </w:r>
    </w:p>
    <w:p w14:paraId="7802F3C7" w14:textId="77777777" w:rsidR="00857A58" w:rsidRPr="00321ECC" w:rsidRDefault="00857A58" w:rsidP="00321ECC">
      <w:pPr>
        <w:numPr>
          <w:ilvl w:val="1"/>
          <w:numId w:val="5"/>
        </w:numPr>
        <w:tabs>
          <w:tab w:val="clear" w:pos="1440"/>
          <w:tab w:val="num" w:pos="0"/>
          <w:tab w:val="left" w:pos="851"/>
          <w:tab w:val="left" w:pos="1134"/>
        </w:tabs>
        <w:spacing w:line="276" w:lineRule="auto"/>
        <w:ind w:left="0"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>Taip, rengiant pasiūlymą būtina užpildyti 2–5 lenteles ir pateikti siūlomų sprendinių atitiktį įrodančius dokumentus (specifikacijas, sertifikatus, gamintojo duomenis).</w:t>
      </w:r>
    </w:p>
    <w:p w14:paraId="244F03B1" w14:textId="77777777" w:rsidR="00857A58" w:rsidRPr="00321ECC" w:rsidRDefault="00857A58" w:rsidP="00321ECC">
      <w:pPr>
        <w:numPr>
          <w:ilvl w:val="1"/>
          <w:numId w:val="5"/>
        </w:numPr>
        <w:tabs>
          <w:tab w:val="clear" w:pos="1440"/>
          <w:tab w:val="num" w:pos="0"/>
          <w:tab w:val="left" w:pos="851"/>
          <w:tab w:val="left" w:pos="1134"/>
        </w:tabs>
        <w:spacing w:line="276" w:lineRule="auto"/>
        <w:ind w:left="0" w:right="14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ECC">
        <w:rPr>
          <w:rFonts w:ascii="Times New Roman" w:hAnsi="Times New Roman" w:cs="Times New Roman"/>
          <w:bCs/>
          <w:sz w:val="24"/>
          <w:szCs w:val="24"/>
        </w:rPr>
        <w:t xml:space="preserve">Nors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spintos schema to tiesiogiai neaprašo, tai nekeičia techninės užduoties reikalavimų. Pasiūlymas bus vertinamas pagal visą techninę užduotį, ne vien </w:t>
      </w:r>
      <w:proofErr w:type="spellStart"/>
      <w:r w:rsidRPr="00321ECC">
        <w:rPr>
          <w:rFonts w:ascii="Times New Roman" w:hAnsi="Times New Roman" w:cs="Times New Roman"/>
          <w:bCs/>
          <w:sz w:val="24"/>
          <w:szCs w:val="24"/>
        </w:rPr>
        <w:t>GAS</w:t>
      </w:r>
      <w:proofErr w:type="spellEnd"/>
      <w:r w:rsidRPr="00321ECC">
        <w:rPr>
          <w:rFonts w:ascii="Times New Roman" w:hAnsi="Times New Roman" w:cs="Times New Roman"/>
          <w:bCs/>
          <w:sz w:val="24"/>
          <w:szCs w:val="24"/>
        </w:rPr>
        <w:t xml:space="preserve"> spintos brėžinius.</w:t>
      </w:r>
    </w:p>
    <w:p w14:paraId="04F04877" w14:textId="77777777" w:rsidR="00264730" w:rsidRPr="00321ECC" w:rsidRDefault="00D22F12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321ECC">
        <w:rPr>
          <w:rFonts w:ascii="Times New Roman" w:hAnsi="Times New Roman" w:cs="Times New Roman"/>
          <w:bCs/>
          <w:sz w:val="24"/>
          <w:szCs w:val="24"/>
        </w:rPr>
        <w:t xml:space="preserve">2025-07-03 11:29 pranešimas Nr. </w:t>
      </w:r>
      <w:r w:rsidR="003333E3" w:rsidRPr="00321ECC">
        <w:rPr>
          <w:rFonts w:ascii="Times New Roman" w:hAnsi="Times New Roman" w:cs="Times New Roman"/>
          <w:sz w:val="24"/>
          <w:szCs w:val="24"/>
        </w:rPr>
        <w:t>265679</w:t>
      </w:r>
      <w:r w:rsidRPr="00321E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3CF4EA81" w14:textId="367490C2" w:rsidR="003333E3" w:rsidRPr="00321ECC" w:rsidRDefault="00D22F12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Techninėje užduotyje numatyti šviestuvai su dvejomis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Zhaga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jungtimis,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Zhaga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šviestuvo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vadikliu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bei </w:t>
      </w:r>
      <w:proofErr w:type="spellStart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Zhaga</w:t>
      </w:r>
      <w:proofErr w:type="spellEnd"/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judesio davikliu. Techniniame projekte tokių reikalavimų nėra. Kuo vadovautis?</w:t>
      </w: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br/>
      </w:r>
    </w:p>
    <w:p w14:paraId="0A2B28C0" w14:textId="64A00671" w:rsidR="00CE3F12" w:rsidRPr="00321ECC" w:rsidRDefault="00CE3F12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pirkimų iniciatorius)</w:t>
      </w:r>
    </w:p>
    <w:p w14:paraId="44C5A470" w14:textId="21CA6524" w:rsidR="004D446C" w:rsidRPr="00321ECC" w:rsidRDefault="004D446C" w:rsidP="00321ECC">
      <w:pPr>
        <w:spacing w:line="276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46C">
        <w:rPr>
          <w:rFonts w:ascii="Times New Roman" w:hAnsi="Times New Roman" w:cs="Times New Roman"/>
          <w:bCs/>
          <w:sz w:val="24"/>
          <w:szCs w:val="24"/>
        </w:rPr>
        <w:t>Tokiu atveju reikia vadovautis techninėje užduotyje pateikta informacija ir joje numatytais reikalavimais. Techninė užduotis yra pagrindinis dokumentas, apibrėžiantis pirkimo objektui keliamus techninius parametrus ir funkcinius sprendimus.</w:t>
      </w:r>
    </w:p>
    <w:p w14:paraId="74DB0369" w14:textId="77777777" w:rsidR="004D446C" w:rsidRPr="00321ECC" w:rsidRDefault="004D446C" w:rsidP="00321ECC">
      <w:pPr>
        <w:spacing w:line="276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4F5B7" w14:textId="1899F526" w:rsidR="003333E3" w:rsidRPr="00321ECC" w:rsidRDefault="003333E3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321ECC">
        <w:rPr>
          <w:rFonts w:ascii="Times New Roman" w:hAnsi="Times New Roman" w:cs="Times New Roman"/>
          <w:bCs/>
          <w:sz w:val="24"/>
          <w:szCs w:val="24"/>
        </w:rPr>
        <w:t xml:space="preserve">2025-07-03 11:29 pranešimas Nr. </w:t>
      </w:r>
      <w:r w:rsidRPr="00321ECC">
        <w:rPr>
          <w:rFonts w:ascii="Times New Roman" w:hAnsi="Times New Roman" w:cs="Times New Roman"/>
          <w:sz w:val="24"/>
          <w:szCs w:val="24"/>
        </w:rPr>
        <w:t>265679</w:t>
      </w:r>
      <w:r w:rsidRPr="00321E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692BF68B" w14:textId="29A24068" w:rsidR="00497993" w:rsidRPr="00321ECC" w:rsidRDefault="00D22F12" w:rsidP="00321ECC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321EC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Techninėje užduotyje numatytas apšvietimo valdymas skydas su nuotoliniu valdymu ir daugeliu kitų reikalavimų, kurių nėra techniniame projekte. Kuo vadovautis?</w:t>
      </w:r>
    </w:p>
    <w:p w14:paraId="194E2D8D" w14:textId="4C273776" w:rsidR="00497993" w:rsidRPr="00321ECC" w:rsidRDefault="00CE3F12" w:rsidP="00321ECC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Atsakymas: </w:t>
      </w:r>
      <w:r w:rsidRPr="00321ECC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pirkimų iniciatorius)</w:t>
      </w:r>
    </w:p>
    <w:bookmarkEnd w:id="0"/>
    <w:p w14:paraId="48271A32" w14:textId="77777777" w:rsidR="00F740A7" w:rsidRPr="00F740A7" w:rsidRDefault="00F740A7" w:rsidP="00321ECC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740A7">
        <w:rPr>
          <w:rFonts w:ascii="Times New Roman" w:hAnsi="Times New Roman" w:cs="Times New Roman"/>
          <w:sz w:val="24"/>
          <w:szCs w:val="24"/>
        </w:rPr>
        <w:t xml:space="preserve">Apšvietimo valdymo spintoje </w:t>
      </w:r>
      <w:proofErr w:type="spellStart"/>
      <w:r w:rsidRPr="00F740A7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F740A7">
        <w:rPr>
          <w:rFonts w:ascii="Times New Roman" w:hAnsi="Times New Roman" w:cs="Times New Roman"/>
          <w:sz w:val="24"/>
          <w:szCs w:val="24"/>
        </w:rPr>
        <w:t xml:space="preserve"> įrengiama įranga pagal projektą, o projekte numatyta Apšvietimo valdymo sistema veikia nepriklausomai nuo apšvietimo valdymo spintoje numatytos įrangos ar </w:t>
      </w:r>
      <w:proofErr w:type="spellStart"/>
      <w:r w:rsidRPr="00F740A7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F740A7">
        <w:rPr>
          <w:rFonts w:ascii="Times New Roman" w:hAnsi="Times New Roman" w:cs="Times New Roman"/>
          <w:sz w:val="24"/>
          <w:szCs w:val="24"/>
        </w:rPr>
        <w:t xml:space="preserve"> skydo reikalavimų. </w:t>
      </w:r>
    </w:p>
    <w:p w14:paraId="1F24CAE8" w14:textId="77777777" w:rsidR="00F740A7" w:rsidRPr="00F740A7" w:rsidRDefault="00F740A7" w:rsidP="00321ECC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740A7">
        <w:rPr>
          <w:rFonts w:ascii="Times New Roman" w:hAnsi="Times New Roman" w:cs="Times New Roman"/>
          <w:sz w:val="24"/>
          <w:szCs w:val="24"/>
        </w:rPr>
        <w:t>Apšvietimo valdymas vykdomas individualiai per kiekvieną šviestuvą, todėl apšvietimo valdymo sistemai keliami techninėje užduotyje pateikti reikalavimai kuriais reikia vadovautis.</w:t>
      </w:r>
    </w:p>
    <w:p w14:paraId="62D3861C" w14:textId="77777777" w:rsidR="00AF03A7" w:rsidRPr="00321ECC" w:rsidRDefault="00AF03A7" w:rsidP="00321ECC">
      <w:pPr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F75E87" w14:textId="28CCDBAE" w:rsidR="00E63040" w:rsidRPr="00321ECC" w:rsidRDefault="00AF03A7" w:rsidP="00321ECC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321ECC">
        <w:rPr>
          <w:rFonts w:ascii="Times New Roman" w:hAnsi="Times New Roman" w:cs="Times New Roman"/>
          <w:sz w:val="24"/>
          <w:szCs w:val="24"/>
        </w:rPr>
        <w:t>Alytaus rajono savivaldybės administracijos nuolatinės viešųjų pirkimų (išskyrus mažos vertės) komisija (- toliau komisija) informuoja</w:t>
      </w:r>
      <w:r w:rsidR="00FF0050" w:rsidRPr="00321ECC">
        <w:rPr>
          <w:rFonts w:ascii="Times New Roman" w:eastAsia="Calibri" w:hAnsi="Times New Roman" w:cs="Times New Roman"/>
          <w:sz w:val="24"/>
          <w:szCs w:val="24"/>
        </w:rPr>
        <w:t>, kad nukelia pasiūlymų pateikimo terminą iki 2025-0</w:t>
      </w:r>
      <w:r w:rsidRPr="00321ECC">
        <w:rPr>
          <w:rFonts w:ascii="Times New Roman" w:eastAsia="Calibri" w:hAnsi="Times New Roman" w:cs="Times New Roman"/>
          <w:sz w:val="24"/>
          <w:szCs w:val="24"/>
        </w:rPr>
        <w:t>7</w:t>
      </w:r>
      <w:r w:rsidR="00FF0050" w:rsidRPr="00321ECC">
        <w:rPr>
          <w:rFonts w:ascii="Times New Roman" w:eastAsia="Calibri" w:hAnsi="Times New Roman" w:cs="Times New Roman"/>
          <w:sz w:val="24"/>
          <w:szCs w:val="24"/>
        </w:rPr>
        <w:t>-</w:t>
      </w:r>
      <w:r w:rsidR="00321ECC" w:rsidRPr="00321ECC">
        <w:rPr>
          <w:rFonts w:ascii="Times New Roman" w:eastAsia="Calibri" w:hAnsi="Times New Roman" w:cs="Times New Roman"/>
          <w:sz w:val="24"/>
          <w:szCs w:val="24"/>
        </w:rPr>
        <w:t>1</w:t>
      </w:r>
      <w:r w:rsidR="00E718EE">
        <w:rPr>
          <w:rFonts w:ascii="Times New Roman" w:eastAsia="Calibri" w:hAnsi="Times New Roman" w:cs="Times New Roman"/>
          <w:sz w:val="24"/>
          <w:szCs w:val="24"/>
        </w:rPr>
        <w:t>4</w:t>
      </w:r>
      <w:r w:rsidR="00321ECC" w:rsidRPr="00321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0050" w:rsidRPr="00321ECC">
        <w:rPr>
          <w:rFonts w:ascii="Times New Roman" w:eastAsia="Calibri" w:hAnsi="Times New Roman" w:cs="Times New Roman"/>
          <w:sz w:val="24"/>
          <w:szCs w:val="24"/>
        </w:rPr>
        <w:t xml:space="preserve"> 9:00 val.</w:t>
      </w:r>
    </w:p>
    <w:sectPr w:rsidR="00E63040" w:rsidRPr="00321E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35B2"/>
    <w:multiLevelType w:val="hybridMultilevel"/>
    <w:tmpl w:val="E67CB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D7DB9"/>
    <w:multiLevelType w:val="multilevel"/>
    <w:tmpl w:val="D230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79092">
    <w:abstractNumId w:val="2"/>
  </w:num>
  <w:num w:numId="2" w16cid:durableId="1706363631">
    <w:abstractNumId w:val="3"/>
  </w:num>
  <w:num w:numId="3" w16cid:durableId="226191736">
    <w:abstractNumId w:val="0"/>
  </w:num>
  <w:num w:numId="4" w16cid:durableId="482890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6407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1012F"/>
    <w:rsid w:val="000A08A7"/>
    <w:rsid w:val="000A6850"/>
    <w:rsid w:val="00135E90"/>
    <w:rsid w:val="00192561"/>
    <w:rsid w:val="001A6FD3"/>
    <w:rsid w:val="001A73CD"/>
    <w:rsid w:val="001B2701"/>
    <w:rsid w:val="001B4BF5"/>
    <w:rsid w:val="001E3562"/>
    <w:rsid w:val="00204D10"/>
    <w:rsid w:val="00205C93"/>
    <w:rsid w:val="00217258"/>
    <w:rsid w:val="0025312B"/>
    <w:rsid w:val="00264730"/>
    <w:rsid w:val="00280A48"/>
    <w:rsid w:val="002B2089"/>
    <w:rsid w:val="002B72CC"/>
    <w:rsid w:val="002F03B2"/>
    <w:rsid w:val="003208F5"/>
    <w:rsid w:val="00321ECC"/>
    <w:rsid w:val="003333E3"/>
    <w:rsid w:val="003443EB"/>
    <w:rsid w:val="00405AC3"/>
    <w:rsid w:val="00416FA4"/>
    <w:rsid w:val="00441F45"/>
    <w:rsid w:val="004458E4"/>
    <w:rsid w:val="00497993"/>
    <w:rsid w:val="004D446C"/>
    <w:rsid w:val="005019CF"/>
    <w:rsid w:val="00541DC5"/>
    <w:rsid w:val="00544509"/>
    <w:rsid w:val="00593648"/>
    <w:rsid w:val="005B0627"/>
    <w:rsid w:val="00603C80"/>
    <w:rsid w:val="00661108"/>
    <w:rsid w:val="0067566F"/>
    <w:rsid w:val="0071391A"/>
    <w:rsid w:val="007354B4"/>
    <w:rsid w:val="00741657"/>
    <w:rsid w:val="00781F74"/>
    <w:rsid w:val="007C5A89"/>
    <w:rsid w:val="00857A58"/>
    <w:rsid w:val="008D3F40"/>
    <w:rsid w:val="00922CEA"/>
    <w:rsid w:val="00944472"/>
    <w:rsid w:val="00980FA2"/>
    <w:rsid w:val="009E552B"/>
    <w:rsid w:val="00A255DC"/>
    <w:rsid w:val="00A43BD3"/>
    <w:rsid w:val="00AF03A7"/>
    <w:rsid w:val="00B148B7"/>
    <w:rsid w:val="00B26D00"/>
    <w:rsid w:val="00B32D99"/>
    <w:rsid w:val="00BD5D45"/>
    <w:rsid w:val="00BF7BDA"/>
    <w:rsid w:val="00CE3F12"/>
    <w:rsid w:val="00D22F12"/>
    <w:rsid w:val="00D265C3"/>
    <w:rsid w:val="00D83E5D"/>
    <w:rsid w:val="00DC5BB5"/>
    <w:rsid w:val="00DD44C5"/>
    <w:rsid w:val="00E63040"/>
    <w:rsid w:val="00E718EE"/>
    <w:rsid w:val="00E8105D"/>
    <w:rsid w:val="00E95E7C"/>
    <w:rsid w:val="00EC2432"/>
    <w:rsid w:val="00F22301"/>
    <w:rsid w:val="00F324BC"/>
    <w:rsid w:val="00F45DA0"/>
    <w:rsid w:val="00F73790"/>
    <w:rsid w:val="00F740A7"/>
    <w:rsid w:val="00F91A10"/>
    <w:rsid w:val="00FA0139"/>
    <w:rsid w:val="00FA59AC"/>
    <w:rsid w:val="00FE560C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</cp:revision>
  <dcterms:created xsi:type="dcterms:W3CDTF">2025-07-04T07:10:00Z</dcterms:created>
  <dcterms:modified xsi:type="dcterms:W3CDTF">2025-07-07T12:12:00Z</dcterms:modified>
</cp:coreProperties>
</file>