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D92CA6" w:rsidRDefault="000F17D6" w:rsidP="00D92CA6">
      <w:pPr>
        <w:jc w:val="right"/>
        <w:rPr>
          <w:rFonts w:ascii="Joost" w:hAnsi="Joost"/>
          <w:sz w:val="23"/>
          <w:szCs w:val="23"/>
        </w:rPr>
      </w:pPr>
      <w:r w:rsidRPr="00D92CA6">
        <w:rPr>
          <w:rFonts w:ascii="Joost" w:hAnsi="Joost"/>
          <w:sz w:val="23"/>
          <w:szCs w:val="23"/>
        </w:rPr>
        <w:t xml:space="preserve"> </w:t>
      </w:r>
    </w:p>
    <w:p w14:paraId="61FAB302" w14:textId="77777777" w:rsidR="000F17D6" w:rsidRPr="00D92CA6" w:rsidRDefault="000F17D6" w:rsidP="00D92CA6">
      <w:pPr>
        <w:rPr>
          <w:rFonts w:ascii="Joost" w:hAnsi="Joost"/>
          <w:i/>
          <w:iCs/>
          <w:sz w:val="23"/>
          <w:szCs w:val="23"/>
        </w:rPr>
      </w:pPr>
      <w:r w:rsidRPr="00D92CA6">
        <w:rPr>
          <w:rFonts w:ascii="Joost" w:hAnsi="Joost"/>
          <w:i/>
          <w:iCs/>
          <w:sz w:val="23"/>
          <w:szCs w:val="23"/>
        </w:rPr>
        <w:t>Tiekėjams</w:t>
      </w:r>
    </w:p>
    <w:p w14:paraId="69B240AC" w14:textId="77777777" w:rsidR="000F17D6" w:rsidRPr="00D92CA6" w:rsidRDefault="000F17D6" w:rsidP="00D92CA6">
      <w:pPr>
        <w:rPr>
          <w:rFonts w:ascii="Joost" w:hAnsi="Joost"/>
          <w:i/>
          <w:iCs/>
          <w:sz w:val="23"/>
          <w:szCs w:val="23"/>
        </w:rPr>
      </w:pPr>
      <w:r w:rsidRPr="00D92CA6">
        <w:rPr>
          <w:rFonts w:ascii="Joost" w:hAnsi="Joost"/>
          <w:i/>
          <w:iCs/>
          <w:sz w:val="23"/>
          <w:szCs w:val="23"/>
        </w:rPr>
        <w:t>Siunčiama CVP IS priemonėmis</w:t>
      </w:r>
    </w:p>
    <w:p w14:paraId="7667E45E" w14:textId="77777777" w:rsidR="000F17D6" w:rsidRPr="00D92CA6" w:rsidRDefault="000F17D6" w:rsidP="00D92CA6">
      <w:pPr>
        <w:rPr>
          <w:rFonts w:ascii="Joost" w:hAnsi="Joost"/>
          <w:b/>
          <w:bCs/>
          <w:sz w:val="23"/>
          <w:szCs w:val="23"/>
        </w:rPr>
      </w:pPr>
    </w:p>
    <w:p w14:paraId="3DC84B23" w14:textId="7BA5804A" w:rsidR="000F17D6" w:rsidRPr="00D92CA6" w:rsidRDefault="000F17D6" w:rsidP="00D92CA6">
      <w:pPr>
        <w:rPr>
          <w:rFonts w:ascii="Joost" w:hAnsi="Joost"/>
          <w:b/>
          <w:bCs/>
          <w:sz w:val="23"/>
          <w:szCs w:val="23"/>
        </w:rPr>
      </w:pPr>
      <w:r w:rsidRPr="00D92CA6">
        <w:rPr>
          <w:rFonts w:ascii="Joost" w:hAnsi="Joost"/>
          <w:b/>
          <w:bCs/>
          <w:sz w:val="23"/>
          <w:szCs w:val="23"/>
        </w:rPr>
        <w:t>DĖL PATEIKT</w:t>
      </w:r>
      <w:r w:rsidR="00376FF7" w:rsidRPr="00D92CA6">
        <w:rPr>
          <w:rFonts w:ascii="Joost" w:hAnsi="Joost"/>
          <w:b/>
          <w:bCs/>
          <w:sz w:val="23"/>
          <w:szCs w:val="23"/>
        </w:rPr>
        <w:t>O</w:t>
      </w:r>
      <w:r w:rsidRPr="00D92CA6">
        <w:rPr>
          <w:rFonts w:ascii="Joost" w:hAnsi="Joost"/>
          <w:b/>
          <w:bCs/>
          <w:sz w:val="23"/>
          <w:szCs w:val="23"/>
        </w:rPr>
        <w:t xml:space="preserve"> PAKLAUSIM</w:t>
      </w:r>
      <w:r w:rsidR="00376FF7" w:rsidRPr="00D92CA6">
        <w:rPr>
          <w:rFonts w:ascii="Joost" w:hAnsi="Joost"/>
          <w:b/>
          <w:bCs/>
          <w:sz w:val="23"/>
          <w:szCs w:val="23"/>
        </w:rPr>
        <w:t>O</w:t>
      </w:r>
    </w:p>
    <w:p w14:paraId="47F7602C" w14:textId="77777777" w:rsidR="000F17D6" w:rsidRPr="00D92CA6" w:rsidRDefault="000F17D6" w:rsidP="00D92CA6">
      <w:pPr>
        <w:jc w:val="center"/>
        <w:rPr>
          <w:rFonts w:ascii="Joost" w:hAnsi="Joost"/>
          <w:b/>
          <w:bCs/>
          <w:sz w:val="23"/>
          <w:szCs w:val="23"/>
        </w:rPr>
      </w:pPr>
    </w:p>
    <w:p w14:paraId="398D9FD3" w14:textId="1F3852D8" w:rsidR="004724B7" w:rsidRPr="00D92CA6" w:rsidRDefault="004724B7" w:rsidP="00D92CA6">
      <w:pPr>
        <w:ind w:firstLine="720"/>
        <w:jc w:val="both"/>
        <w:rPr>
          <w:rFonts w:ascii="Joost" w:hAnsi="Joost"/>
          <w:sz w:val="23"/>
          <w:szCs w:val="23"/>
        </w:rPr>
      </w:pPr>
      <w:r w:rsidRPr="00D92CA6">
        <w:rPr>
          <w:rFonts w:ascii="Joost" w:hAnsi="Joost"/>
          <w:sz w:val="23"/>
          <w:szCs w:val="23"/>
        </w:rPr>
        <w:t xml:space="preserve">Viešoji įstaiga CPO LT (toliau – CPO LT), </w:t>
      </w:r>
      <w:bookmarkStart w:id="0" w:name="_Hlk120190959"/>
      <w:r w:rsidRPr="00D92CA6">
        <w:rPr>
          <w:rFonts w:ascii="Joost" w:hAnsi="Joost"/>
          <w:sz w:val="23"/>
          <w:szCs w:val="23"/>
        </w:rPr>
        <w:t xml:space="preserve">vykdydama viešąjį pirkimą </w:t>
      </w:r>
      <w:r w:rsidR="006203A2" w:rsidRPr="00D92CA6">
        <w:rPr>
          <w:rFonts w:ascii="Joost" w:hAnsi="Joost" w:cs="Calibri"/>
          <w:i/>
          <w:iCs/>
          <w:color w:val="000000" w:themeColor="text1"/>
          <w:sz w:val="23"/>
          <w:szCs w:val="23"/>
        </w:rPr>
        <w:t>„</w:t>
      </w:r>
      <w:r w:rsidR="006203A2" w:rsidRPr="00D92CA6">
        <w:rPr>
          <w:rFonts w:ascii="Joost" w:hAnsi="Joost" w:cstheme="minorHAnsi"/>
          <w:b/>
          <w:bCs/>
          <w:i/>
          <w:iCs/>
          <w:noProof/>
          <w:color w:val="000000" w:themeColor="text1"/>
          <w:sz w:val="23"/>
          <w:szCs w:val="23"/>
        </w:rPr>
        <w:t>Ekonomikos ir inovacijų ministerijos valdymo sričių pažangos priemonių veiklų pažangos vertinimo</w:t>
      </w:r>
      <w:r w:rsidR="006203A2" w:rsidRPr="00D92CA6">
        <w:rPr>
          <w:rFonts w:ascii="Joost" w:hAnsi="Joost" w:cs="Calibri"/>
          <w:b/>
          <w:bCs/>
          <w:color w:val="000000" w:themeColor="text1"/>
          <w:sz w:val="23"/>
          <w:szCs w:val="23"/>
        </w:rPr>
        <w:t xml:space="preserve"> </w:t>
      </w:r>
      <w:r w:rsidR="006203A2" w:rsidRPr="00D92CA6">
        <w:rPr>
          <w:rFonts w:ascii="Joost" w:hAnsi="Joost" w:cs="Calibri"/>
          <w:b/>
          <w:bCs/>
          <w:i/>
          <w:iCs/>
          <w:color w:val="000000" w:themeColor="text1"/>
          <w:sz w:val="23"/>
          <w:szCs w:val="23"/>
        </w:rPr>
        <w:t xml:space="preserve">paslaugos“ </w:t>
      </w:r>
      <w:r w:rsidR="00FA5A56" w:rsidRPr="00D92CA6">
        <w:rPr>
          <w:rFonts w:ascii="Joost" w:hAnsi="Joost"/>
          <w:sz w:val="23"/>
          <w:szCs w:val="23"/>
        </w:rPr>
        <w:t xml:space="preserve"> </w:t>
      </w:r>
      <w:r w:rsidRPr="00D92CA6">
        <w:rPr>
          <w:rFonts w:ascii="Joost" w:hAnsi="Joost"/>
          <w:sz w:val="23"/>
          <w:szCs w:val="23"/>
        </w:rPr>
        <w:t>atviro (</w:t>
      </w:r>
      <w:r w:rsidR="00376FF7" w:rsidRPr="00D92CA6">
        <w:rPr>
          <w:rFonts w:ascii="Joost" w:hAnsi="Joost"/>
          <w:sz w:val="23"/>
          <w:szCs w:val="23"/>
        </w:rPr>
        <w:t>tarptautinio</w:t>
      </w:r>
      <w:r w:rsidRPr="00D92CA6">
        <w:rPr>
          <w:rFonts w:ascii="Joost" w:hAnsi="Joost"/>
          <w:sz w:val="23"/>
          <w:szCs w:val="23"/>
        </w:rPr>
        <w:t>) konkurso būdu</w:t>
      </w:r>
      <w:r w:rsidR="00F71DC1" w:rsidRPr="00D92CA6">
        <w:rPr>
          <w:rFonts w:ascii="Joost" w:hAnsi="Joost"/>
          <w:sz w:val="23"/>
          <w:szCs w:val="23"/>
        </w:rPr>
        <w:t xml:space="preserve"> (pirkimo Nr. </w:t>
      </w:r>
      <w:r w:rsidR="006203A2" w:rsidRPr="00D92CA6">
        <w:rPr>
          <w:rFonts w:ascii="Joost" w:hAnsi="Joost"/>
          <w:sz w:val="23"/>
          <w:szCs w:val="23"/>
        </w:rPr>
        <w:t>3289563</w:t>
      </w:r>
      <w:r w:rsidR="00F71DC1" w:rsidRPr="00D92CA6">
        <w:rPr>
          <w:rFonts w:ascii="Joost" w:hAnsi="Joost"/>
          <w:sz w:val="23"/>
          <w:szCs w:val="23"/>
        </w:rPr>
        <w:t>, toliau – Pirkimas)</w:t>
      </w:r>
      <w:r w:rsidRPr="00D92CA6">
        <w:rPr>
          <w:rFonts w:ascii="Joost" w:hAnsi="Joost"/>
          <w:sz w:val="23"/>
          <w:szCs w:val="23"/>
        </w:rPr>
        <w:t xml:space="preserve">, </w:t>
      </w:r>
      <w:bookmarkEnd w:id="0"/>
      <w:r w:rsidR="00322AFC" w:rsidRPr="00D92CA6">
        <w:rPr>
          <w:rFonts w:ascii="Joost" w:hAnsi="Joost"/>
          <w:sz w:val="23"/>
          <w:szCs w:val="23"/>
        </w:rPr>
        <w:t>2025-</w:t>
      </w:r>
      <w:r w:rsidR="001330CA" w:rsidRPr="00D92CA6">
        <w:rPr>
          <w:rFonts w:ascii="Joost" w:hAnsi="Joost"/>
          <w:sz w:val="23"/>
          <w:szCs w:val="23"/>
        </w:rPr>
        <w:t>06-2</w:t>
      </w:r>
      <w:r w:rsidR="00512E52" w:rsidRPr="00D92CA6">
        <w:rPr>
          <w:rFonts w:ascii="Joost" w:hAnsi="Joost"/>
          <w:sz w:val="23"/>
          <w:szCs w:val="23"/>
        </w:rPr>
        <w:t xml:space="preserve">5 </w:t>
      </w:r>
      <w:r w:rsidRPr="00D92CA6">
        <w:rPr>
          <w:rFonts w:ascii="Joost" w:hAnsi="Joost"/>
          <w:sz w:val="23"/>
          <w:szCs w:val="23"/>
        </w:rPr>
        <w:t>CVP IS priemonėmis gavo potencial</w:t>
      </w:r>
      <w:r w:rsidR="001E350E" w:rsidRPr="00D92CA6">
        <w:rPr>
          <w:rFonts w:ascii="Joost" w:hAnsi="Joost"/>
          <w:sz w:val="23"/>
          <w:szCs w:val="23"/>
        </w:rPr>
        <w:t>aus</w:t>
      </w:r>
      <w:r w:rsidRPr="00D92CA6">
        <w:rPr>
          <w:rFonts w:ascii="Joost" w:hAnsi="Joost"/>
          <w:sz w:val="23"/>
          <w:szCs w:val="23"/>
        </w:rPr>
        <w:t xml:space="preserve"> tiekėj</w:t>
      </w:r>
      <w:r w:rsidR="001E350E" w:rsidRPr="00D92CA6">
        <w:rPr>
          <w:rFonts w:ascii="Joost" w:hAnsi="Joost"/>
          <w:sz w:val="23"/>
          <w:szCs w:val="23"/>
        </w:rPr>
        <w:t>o</w:t>
      </w:r>
      <w:r w:rsidRPr="00D92CA6">
        <w:rPr>
          <w:rFonts w:ascii="Joost" w:hAnsi="Joost"/>
          <w:sz w:val="23"/>
          <w:szCs w:val="23"/>
        </w:rPr>
        <w:t xml:space="preserve"> paklausim</w:t>
      </w:r>
      <w:r w:rsidR="001E350E" w:rsidRPr="00D92CA6">
        <w:rPr>
          <w:rFonts w:ascii="Joost" w:hAnsi="Joost"/>
          <w:sz w:val="23"/>
          <w:szCs w:val="23"/>
        </w:rPr>
        <w:t>ą</w:t>
      </w:r>
      <w:r w:rsidRPr="00D92CA6">
        <w:rPr>
          <w:rFonts w:ascii="Joost" w:hAnsi="Joost"/>
          <w:sz w:val="23"/>
          <w:szCs w:val="23"/>
        </w:rPr>
        <w:t xml:space="preserve">. </w:t>
      </w:r>
    </w:p>
    <w:p w14:paraId="0939295D" w14:textId="3536EDCF" w:rsidR="004724B7" w:rsidRPr="00D92CA6" w:rsidRDefault="004724B7" w:rsidP="00D92CA6">
      <w:pPr>
        <w:ind w:firstLine="720"/>
        <w:jc w:val="both"/>
        <w:rPr>
          <w:rFonts w:ascii="Joost" w:hAnsi="Joost"/>
          <w:sz w:val="23"/>
          <w:szCs w:val="23"/>
        </w:rPr>
      </w:pPr>
      <w:r w:rsidRPr="00D92CA6">
        <w:rPr>
          <w:rFonts w:ascii="Joost" w:hAnsi="Joost"/>
          <w:sz w:val="23"/>
          <w:szCs w:val="23"/>
        </w:rPr>
        <w:t>Paklausim</w:t>
      </w:r>
      <w:r w:rsidR="00AB7038" w:rsidRPr="00D92CA6">
        <w:rPr>
          <w:rFonts w:ascii="Joost" w:hAnsi="Joost"/>
          <w:sz w:val="23"/>
          <w:szCs w:val="23"/>
        </w:rPr>
        <w:t>a</w:t>
      </w:r>
      <w:r w:rsidR="001E350E" w:rsidRPr="00D92CA6">
        <w:rPr>
          <w:rFonts w:ascii="Joost" w:hAnsi="Joost"/>
          <w:sz w:val="23"/>
          <w:szCs w:val="23"/>
        </w:rPr>
        <w:t>s</w:t>
      </w:r>
      <w:r w:rsidRPr="00D92CA6">
        <w:rPr>
          <w:rFonts w:ascii="Joost" w:hAnsi="Joost"/>
          <w:sz w:val="23"/>
          <w:szCs w:val="23"/>
        </w:rPr>
        <w:t xml:space="preserve"> pateikt</w:t>
      </w:r>
      <w:r w:rsidR="001E350E" w:rsidRPr="00D92CA6">
        <w:rPr>
          <w:rFonts w:ascii="Joost" w:hAnsi="Joost"/>
          <w:sz w:val="23"/>
          <w:szCs w:val="23"/>
        </w:rPr>
        <w:t>as</w:t>
      </w:r>
      <w:r w:rsidRPr="00D92CA6">
        <w:rPr>
          <w:rFonts w:ascii="Joost" w:hAnsi="Joost"/>
          <w:sz w:val="23"/>
          <w:szCs w:val="23"/>
        </w:rPr>
        <w:t xml:space="preserve"> </w:t>
      </w:r>
      <w:r w:rsidR="00D466CA" w:rsidRPr="00D92CA6">
        <w:rPr>
          <w:rFonts w:ascii="Joost" w:hAnsi="Joost" w:cs="Calibri"/>
          <w:noProof/>
          <w:sz w:val="23"/>
          <w:szCs w:val="23"/>
        </w:rPr>
        <w:t xml:space="preserve">laikantis Pirkimo dokumentų Specialiųjų sąlygų 1 priedo „Terminai“ lentelės 3 eil. nustatyto termino </w:t>
      </w:r>
      <w:r w:rsidR="00D466CA" w:rsidRPr="00D92CA6">
        <w:rPr>
          <w:rFonts w:ascii="Joost" w:hAnsi="Joost" w:cs="Calibri"/>
          <w:i/>
          <w:iCs/>
          <w:noProof/>
          <w:sz w:val="23"/>
          <w:szCs w:val="23"/>
        </w:rPr>
        <w:t>„Prašymą paaiškinti, patikslinti pirkimo sąlygas tiekėjas turi pateikti ne vėliau kaip: 9 (devynios) dienos iki pasiūlymų pateikimo dienos.“</w:t>
      </w:r>
      <w:r w:rsidR="00D466CA" w:rsidRPr="00D92CA6">
        <w:rPr>
          <w:rFonts w:ascii="Joost" w:hAnsi="Joost" w:cs="Calibri"/>
          <w:noProof/>
          <w:sz w:val="23"/>
          <w:szCs w:val="23"/>
        </w:rPr>
        <w:t>, t.</w:t>
      </w:r>
      <w:r w:rsidR="00CA077F" w:rsidRPr="00D92CA6">
        <w:rPr>
          <w:rFonts w:ascii="Joost" w:hAnsi="Joost" w:cs="Calibri"/>
          <w:noProof/>
          <w:sz w:val="23"/>
          <w:szCs w:val="23"/>
        </w:rPr>
        <w:t xml:space="preserve"> </w:t>
      </w:r>
      <w:r w:rsidR="00D466CA" w:rsidRPr="00D92CA6">
        <w:rPr>
          <w:rFonts w:ascii="Joost" w:hAnsi="Joost" w:cs="Calibri"/>
          <w:noProof/>
          <w:sz w:val="23"/>
          <w:szCs w:val="23"/>
        </w:rPr>
        <w:t>y. pateiktas laiku, todėl nagrinėtinas</w:t>
      </w:r>
      <w:r w:rsidRPr="00D92CA6">
        <w:rPr>
          <w:rFonts w:ascii="Joost" w:hAnsi="Joost"/>
          <w:sz w:val="23"/>
          <w:szCs w:val="23"/>
        </w:rPr>
        <w:t>.</w:t>
      </w:r>
    </w:p>
    <w:p w14:paraId="70F481BD" w14:textId="05F3A29C" w:rsidR="004724B7" w:rsidRPr="00D92CA6" w:rsidRDefault="004724B7" w:rsidP="00D92CA6">
      <w:pPr>
        <w:ind w:firstLine="720"/>
        <w:jc w:val="both"/>
        <w:rPr>
          <w:rFonts w:ascii="Joost" w:hAnsi="Joost"/>
          <w:sz w:val="23"/>
          <w:szCs w:val="23"/>
        </w:rPr>
      </w:pPr>
      <w:r w:rsidRPr="00D92CA6">
        <w:rPr>
          <w:rFonts w:ascii="Joost" w:hAnsi="Joost"/>
          <w:sz w:val="23"/>
          <w:szCs w:val="23"/>
        </w:rPr>
        <w:t>CPO LT viešojo pirkimo komisija (toliau – Komisija), vadovau</w:t>
      </w:r>
      <w:r w:rsidR="00C918C4" w:rsidRPr="00D92CA6">
        <w:rPr>
          <w:rFonts w:ascii="Joost" w:hAnsi="Joost"/>
          <w:sz w:val="23"/>
          <w:szCs w:val="23"/>
        </w:rPr>
        <w:t>damasi</w:t>
      </w:r>
      <w:r w:rsidRPr="00D92CA6">
        <w:rPr>
          <w:rFonts w:ascii="Joost" w:hAnsi="Joost"/>
          <w:sz w:val="23"/>
          <w:szCs w:val="23"/>
        </w:rPr>
        <w:t xml:space="preserve"> Lietuvos Respublikos viešųjų pirkimų įstatymo</w:t>
      </w:r>
      <w:r w:rsidR="00C918C4" w:rsidRPr="00D92CA6">
        <w:rPr>
          <w:rFonts w:ascii="Joost" w:hAnsi="Joost"/>
          <w:sz w:val="23"/>
          <w:szCs w:val="23"/>
        </w:rPr>
        <w:t xml:space="preserve"> (toliau – VPĮ)</w:t>
      </w:r>
      <w:r w:rsidRPr="00D92CA6">
        <w:rPr>
          <w:rFonts w:ascii="Joost" w:hAnsi="Joost"/>
          <w:sz w:val="23"/>
          <w:szCs w:val="23"/>
        </w:rPr>
        <w:t xml:space="preserve"> 36 str. 5 d.  ir Pirkimo dokumentų Bendrųjų sąlygų 5.2 p., teikia atsakym</w:t>
      </w:r>
      <w:r w:rsidR="001E350E" w:rsidRPr="00D92CA6">
        <w:rPr>
          <w:rFonts w:ascii="Joost" w:hAnsi="Joost"/>
          <w:sz w:val="23"/>
          <w:szCs w:val="23"/>
        </w:rPr>
        <w:t>ą</w:t>
      </w:r>
      <w:r w:rsidRPr="00D92CA6">
        <w:rPr>
          <w:rFonts w:ascii="Joost" w:hAnsi="Joost"/>
          <w:sz w:val="23"/>
          <w:szCs w:val="23"/>
        </w:rPr>
        <w:t xml:space="preserve"> į </w:t>
      </w:r>
      <w:r w:rsidR="00C918C4" w:rsidRPr="00D92CA6">
        <w:rPr>
          <w:rFonts w:ascii="Joost" w:hAnsi="Joost"/>
          <w:sz w:val="23"/>
          <w:szCs w:val="23"/>
        </w:rPr>
        <w:t xml:space="preserve">paklausime </w:t>
      </w:r>
      <w:r w:rsidRPr="00D92CA6">
        <w:rPr>
          <w:rFonts w:ascii="Joost" w:hAnsi="Joost"/>
          <w:sz w:val="23"/>
          <w:szCs w:val="23"/>
        </w:rPr>
        <w:t>pateikt</w:t>
      </w:r>
      <w:r w:rsidR="006203A2" w:rsidRPr="00D92CA6">
        <w:rPr>
          <w:rFonts w:ascii="Joost" w:hAnsi="Joost"/>
          <w:sz w:val="23"/>
          <w:szCs w:val="23"/>
        </w:rPr>
        <w:t>ą</w:t>
      </w:r>
      <w:r w:rsidRPr="00D92CA6">
        <w:rPr>
          <w:rFonts w:ascii="Joost" w:hAnsi="Joost"/>
          <w:sz w:val="23"/>
          <w:szCs w:val="23"/>
        </w:rPr>
        <w:t xml:space="preserve"> </w:t>
      </w:r>
      <w:r w:rsidR="00C918C4" w:rsidRPr="00D92CA6">
        <w:rPr>
          <w:rFonts w:ascii="Joost" w:hAnsi="Joost"/>
          <w:sz w:val="23"/>
          <w:szCs w:val="23"/>
        </w:rPr>
        <w:t>klausim</w:t>
      </w:r>
      <w:r w:rsidR="006203A2" w:rsidRPr="00D92CA6">
        <w:rPr>
          <w:rFonts w:ascii="Joost" w:hAnsi="Joost"/>
          <w:sz w:val="23"/>
          <w:szCs w:val="23"/>
        </w:rPr>
        <w:t>ą</w:t>
      </w:r>
      <w:r w:rsidRPr="00D92CA6">
        <w:rPr>
          <w:rFonts w:ascii="Joost" w:hAnsi="Joost"/>
          <w:sz w:val="23"/>
          <w:szCs w:val="23"/>
        </w:rPr>
        <w:t>:</w:t>
      </w:r>
    </w:p>
    <w:tbl>
      <w:tblPr>
        <w:tblStyle w:val="TableGrid"/>
        <w:tblW w:w="9781" w:type="dxa"/>
        <w:tblInd w:w="-5" w:type="dxa"/>
        <w:tblLook w:val="04A0" w:firstRow="1" w:lastRow="0" w:firstColumn="1" w:lastColumn="0" w:noHBand="0" w:noVBand="1"/>
      </w:tblPr>
      <w:tblGrid>
        <w:gridCol w:w="9781"/>
      </w:tblGrid>
      <w:tr w:rsidR="004724B7" w:rsidRPr="00D92CA6" w14:paraId="0D7C0412" w14:textId="77777777" w:rsidTr="00943813">
        <w:trPr>
          <w:trHeight w:val="368"/>
        </w:trPr>
        <w:tc>
          <w:tcPr>
            <w:tcW w:w="9781" w:type="dxa"/>
            <w:shd w:val="clear" w:color="auto" w:fill="DAE9F7" w:themeFill="text2" w:themeFillTint="1A"/>
            <w:vAlign w:val="center"/>
          </w:tcPr>
          <w:p w14:paraId="6F222F43" w14:textId="79210CB5" w:rsidR="004724B7" w:rsidRPr="00D92CA6" w:rsidRDefault="004724B7" w:rsidP="00D92CA6">
            <w:pPr>
              <w:shd w:val="clear" w:color="auto" w:fill="DAE9F7" w:themeFill="text2" w:themeFillTint="1A"/>
              <w:rPr>
                <w:rFonts w:ascii="Joost" w:hAnsi="Joost"/>
                <w:b/>
                <w:bCs/>
                <w:sz w:val="23"/>
                <w:szCs w:val="23"/>
                <w:lang w:val="lt-LT"/>
              </w:rPr>
            </w:pPr>
            <w:r w:rsidRPr="00D92CA6">
              <w:rPr>
                <w:rFonts w:ascii="Joost" w:hAnsi="Joost"/>
                <w:b/>
                <w:bCs/>
                <w:sz w:val="23"/>
                <w:szCs w:val="23"/>
                <w:lang w:val="lt-LT"/>
              </w:rPr>
              <w:t>Klausimas</w:t>
            </w:r>
            <w:r w:rsidR="001558F6" w:rsidRPr="00D92CA6">
              <w:rPr>
                <w:rFonts w:ascii="Joost" w:hAnsi="Joost"/>
                <w:b/>
                <w:bCs/>
                <w:sz w:val="23"/>
                <w:szCs w:val="23"/>
                <w:lang w:val="lt-LT"/>
              </w:rPr>
              <w:t xml:space="preserve"> 1</w:t>
            </w:r>
            <w:r w:rsidRPr="00D92CA6">
              <w:rPr>
                <w:rFonts w:ascii="Joost" w:hAnsi="Joost"/>
                <w:b/>
                <w:bCs/>
                <w:sz w:val="23"/>
                <w:szCs w:val="23"/>
                <w:lang w:val="lt-LT"/>
              </w:rPr>
              <w:t xml:space="preserve"> </w:t>
            </w:r>
            <w:r w:rsidRPr="00D92CA6">
              <w:rPr>
                <w:rFonts w:ascii="Joost" w:hAnsi="Joost"/>
                <w:sz w:val="23"/>
                <w:szCs w:val="23"/>
                <w:lang w:val="lt-LT"/>
              </w:rPr>
              <w:t>(klausimo tekstas netaisytas)</w:t>
            </w:r>
          </w:p>
        </w:tc>
      </w:tr>
      <w:tr w:rsidR="004724B7" w:rsidRPr="00D92CA6" w14:paraId="7B2B4C43" w14:textId="77777777" w:rsidTr="008D0403">
        <w:trPr>
          <w:trHeight w:val="750"/>
        </w:trPr>
        <w:tc>
          <w:tcPr>
            <w:tcW w:w="9781" w:type="dxa"/>
            <w:shd w:val="clear" w:color="auto" w:fill="auto"/>
          </w:tcPr>
          <w:p w14:paraId="5A4A9B0E" w14:textId="0A3419F1" w:rsidR="004724B7" w:rsidRPr="004978CF" w:rsidRDefault="00BC2909" w:rsidP="00D92CA6">
            <w:pPr>
              <w:tabs>
                <w:tab w:val="num" w:pos="462"/>
              </w:tabs>
              <w:jc w:val="both"/>
              <w:rPr>
                <w:rFonts w:ascii="Joost" w:hAnsi="Joost"/>
                <w:sz w:val="23"/>
                <w:szCs w:val="23"/>
                <w:lang w:val="lt-LT"/>
              </w:rPr>
            </w:pPr>
            <w:r w:rsidRPr="004978CF">
              <w:rPr>
                <w:rFonts w:ascii="Joost" w:hAnsi="Joost"/>
                <w:sz w:val="23"/>
                <w:szCs w:val="23"/>
                <w:lang w:val="lt-LT"/>
              </w:rPr>
              <w:t xml:space="preserve">Viešoji įstaiga CPO LT vykdo Ekonomikos ir inovacijų ministerijos valdymo sričių pažangos priemonių veiklų pažangos vertinimo viešąjį pirkimą (ID 3289563). Specialiųjų pirkimo sąlygų priedo „Kokybės kriterijai ir jų vertinimas“ 6 p. pateikiami reikalavimai paslaugų aprašymui (T6), nurodant, kad </w:t>
            </w:r>
            <w:r w:rsidRPr="004978CF">
              <w:rPr>
                <w:rFonts w:ascii="Joost" w:hAnsi="Joost"/>
                <w:i/>
                <w:iCs/>
                <w:sz w:val="23"/>
                <w:szCs w:val="23"/>
                <w:lang w:val="lt-LT"/>
              </w:rPr>
              <w:t>„Vertinama Techninės specifikacijos 8.2 papunkčio Vertinimo uždavinio atvejo apžvalga reikalavimuose kriterijui nurodyta apimtimi, joje turi būti aprašytas ir paaiškintas sprendžiamas Vertinimo uždavinys reikalavimuose kriterijui nurodyta apimtimi bei atsakyta į Techninės specifikacijos 9.1.4, 9.2.2 ir 9.3.3 papunkčių Vertinimo uždavinių klausimus reikalavimuose kriterijui nurodyta apimtimi.“</w:t>
            </w:r>
            <w:r w:rsidRPr="004978CF">
              <w:rPr>
                <w:rFonts w:ascii="Joost" w:hAnsi="Joost"/>
                <w:sz w:val="23"/>
                <w:szCs w:val="23"/>
                <w:lang w:val="lt-LT"/>
              </w:rPr>
              <w:t xml:space="preserve"> Prie reikalavimų Techninės specifikacijos 9.1.4. p. skiriamų balų nurodoma, kad balų suteikimas didėjančia tvarka numatomas už didėjantį išanalizuotą pažangos priemonių veiklų skaičių. Prašome patikslinti, ar čia turėtų būti įtraukiamos konkrečios pažangos priemonės, ar konkrečios pažangos priemonės skirtingos veiklos? Pavyzdžiui, siekiant gauti 4</w:t>
            </w:r>
            <w:r w:rsidR="00580954" w:rsidRPr="004978CF">
              <w:rPr>
                <w:rFonts w:ascii="Joost" w:hAnsi="Joost" w:hint="cs"/>
                <w:sz w:val="23"/>
                <w:szCs w:val="23"/>
                <w:lang w:val="lt-LT"/>
              </w:rPr>
              <w:t> </w:t>
            </w:r>
            <w:r w:rsidRPr="004978CF">
              <w:rPr>
                <w:rFonts w:ascii="Joost" w:hAnsi="Joost"/>
                <w:sz w:val="23"/>
                <w:szCs w:val="23"/>
                <w:lang w:val="lt-LT"/>
              </w:rPr>
              <w:t>balus, ar turėtų būti pateikiama 4 skirtingų pažangos priemonių veiklų analizė, ar gali būti pateikiama tos pačios pažangos priemonės 4 skirtingų veiklų analizė</w:t>
            </w:r>
            <w:r w:rsidR="00D92CA6" w:rsidRPr="004978CF">
              <w:rPr>
                <w:rFonts w:ascii="Joost" w:hAnsi="Joost"/>
                <w:sz w:val="23"/>
                <w:szCs w:val="23"/>
                <w:lang w:val="lt-LT"/>
              </w:rPr>
              <w:t>?</w:t>
            </w:r>
          </w:p>
        </w:tc>
      </w:tr>
      <w:tr w:rsidR="004724B7" w:rsidRPr="00D92CA6" w14:paraId="3D3F5DDE" w14:textId="77777777" w:rsidTr="00C90B7F">
        <w:trPr>
          <w:trHeight w:val="366"/>
        </w:trPr>
        <w:tc>
          <w:tcPr>
            <w:tcW w:w="9781" w:type="dxa"/>
            <w:shd w:val="clear" w:color="auto" w:fill="C1E4F5" w:themeFill="accent1" w:themeFillTint="33"/>
          </w:tcPr>
          <w:p w14:paraId="4719A0EC" w14:textId="77777777" w:rsidR="004724B7" w:rsidRPr="004978CF" w:rsidRDefault="004724B7" w:rsidP="00D92CA6">
            <w:pPr>
              <w:shd w:val="clear" w:color="auto" w:fill="DAE9F7" w:themeFill="text2" w:themeFillTint="1A"/>
              <w:jc w:val="both"/>
              <w:rPr>
                <w:rFonts w:ascii="Joost" w:hAnsi="Joost"/>
                <w:sz w:val="23"/>
                <w:szCs w:val="23"/>
                <w:lang w:val="lt-LT"/>
              </w:rPr>
            </w:pPr>
            <w:r w:rsidRPr="004978CF">
              <w:rPr>
                <w:rFonts w:ascii="Joost" w:hAnsi="Joost"/>
                <w:b/>
                <w:bCs/>
                <w:sz w:val="23"/>
                <w:szCs w:val="23"/>
                <w:lang w:val="lt-LT"/>
              </w:rPr>
              <w:t>Atsakymas</w:t>
            </w:r>
          </w:p>
        </w:tc>
      </w:tr>
      <w:tr w:rsidR="004724B7" w:rsidRPr="00D92CA6" w14:paraId="14FF951C" w14:textId="77777777" w:rsidTr="008D0403">
        <w:trPr>
          <w:trHeight w:val="400"/>
        </w:trPr>
        <w:tc>
          <w:tcPr>
            <w:tcW w:w="9781" w:type="dxa"/>
            <w:shd w:val="clear" w:color="auto" w:fill="auto"/>
          </w:tcPr>
          <w:p w14:paraId="25873B8D" w14:textId="77777777" w:rsidR="00A60657" w:rsidRPr="004978CF" w:rsidRDefault="006203A2" w:rsidP="00D92CA6">
            <w:pPr>
              <w:tabs>
                <w:tab w:val="left" w:pos="426"/>
              </w:tabs>
              <w:jc w:val="both"/>
              <w:rPr>
                <w:rFonts w:ascii="Joost" w:hAnsi="Joost"/>
                <w:sz w:val="23"/>
                <w:szCs w:val="23"/>
                <w:lang w:val="lt-LT"/>
              </w:rPr>
            </w:pPr>
            <w:r w:rsidRPr="004978CF">
              <w:rPr>
                <w:rFonts w:ascii="Joost" w:hAnsi="Joost"/>
                <w:sz w:val="23"/>
                <w:szCs w:val="23"/>
                <w:lang w:val="lt-LT"/>
              </w:rPr>
              <w:t>Dėkojame už Jūsų klausimą</w:t>
            </w:r>
            <w:r w:rsidR="00A60657" w:rsidRPr="004978CF">
              <w:rPr>
                <w:rFonts w:ascii="Joost" w:hAnsi="Joost"/>
                <w:sz w:val="23"/>
                <w:szCs w:val="23"/>
                <w:lang w:val="lt-LT"/>
              </w:rPr>
              <w:t>.</w:t>
            </w:r>
          </w:p>
          <w:p w14:paraId="540590C6" w14:textId="7951215C" w:rsidR="00A60657" w:rsidRPr="004978CF" w:rsidRDefault="006203A2" w:rsidP="00D92CA6">
            <w:pPr>
              <w:tabs>
                <w:tab w:val="left" w:pos="426"/>
              </w:tabs>
              <w:jc w:val="both"/>
              <w:rPr>
                <w:rFonts w:ascii="Joost" w:hAnsi="Joost"/>
                <w:b/>
                <w:bCs/>
                <w:sz w:val="23"/>
                <w:szCs w:val="23"/>
                <w:lang w:val="lt-LT"/>
              </w:rPr>
            </w:pPr>
            <w:r w:rsidRPr="004978CF">
              <w:rPr>
                <w:rFonts w:ascii="Joost" w:hAnsi="Joost"/>
                <w:sz w:val="23"/>
                <w:szCs w:val="23"/>
                <w:lang w:val="lt-LT"/>
              </w:rPr>
              <w:t xml:space="preserve">Atsakydami paaiškiname, </w:t>
            </w:r>
            <w:r w:rsidR="00557772" w:rsidRPr="004978CF">
              <w:rPr>
                <w:rFonts w:ascii="Joost" w:hAnsi="Joost"/>
                <w:sz w:val="23"/>
                <w:szCs w:val="23"/>
                <w:lang w:val="lt-LT"/>
              </w:rPr>
              <w:t xml:space="preserve">kad </w:t>
            </w:r>
            <w:r w:rsidRPr="004978CF">
              <w:rPr>
                <w:rFonts w:ascii="Joost" w:hAnsi="Joost"/>
                <w:sz w:val="23"/>
                <w:szCs w:val="23"/>
                <w:lang w:val="lt-LT"/>
              </w:rPr>
              <w:t>tiekėjas</w:t>
            </w:r>
            <w:r w:rsidR="00797163" w:rsidRPr="004978CF">
              <w:rPr>
                <w:rFonts w:ascii="Joost" w:hAnsi="Joost"/>
                <w:sz w:val="23"/>
                <w:szCs w:val="23"/>
                <w:lang w:val="lt-LT"/>
              </w:rPr>
              <w:t>, siekiantis gauti 4 balus</w:t>
            </w:r>
            <w:r w:rsidR="00A60657" w:rsidRPr="004978CF">
              <w:rPr>
                <w:rFonts w:ascii="Joost" w:hAnsi="Joost"/>
                <w:sz w:val="23"/>
                <w:szCs w:val="23"/>
                <w:lang w:val="lt-LT"/>
              </w:rPr>
              <w:t xml:space="preserve">, pagal Techninės specifikacijos </w:t>
            </w:r>
            <w:r w:rsidR="00A60657" w:rsidRPr="004978CF">
              <w:rPr>
                <w:rFonts w:ascii="Joost" w:hAnsi="Joost"/>
                <w:sz w:val="23"/>
                <w:szCs w:val="23"/>
                <w:u w:val="single"/>
                <w:lang w:val="lt-LT"/>
              </w:rPr>
              <w:t>9.1.4.</w:t>
            </w:r>
            <w:r w:rsidR="004961AC" w:rsidRPr="004978CF">
              <w:rPr>
                <w:rFonts w:ascii="Joost" w:hAnsi="Joost" w:hint="cs"/>
                <w:sz w:val="23"/>
                <w:szCs w:val="23"/>
                <w:u w:val="single"/>
                <w:lang w:val="lt-LT"/>
              </w:rPr>
              <w:t> </w:t>
            </w:r>
            <w:r w:rsidR="00A60657" w:rsidRPr="004978CF">
              <w:rPr>
                <w:rFonts w:ascii="Joost" w:hAnsi="Joost"/>
                <w:sz w:val="23"/>
                <w:szCs w:val="23"/>
                <w:u w:val="single"/>
                <w:lang w:val="lt-LT"/>
              </w:rPr>
              <w:t>p</w:t>
            </w:r>
            <w:r w:rsidR="00A60657" w:rsidRPr="004978CF">
              <w:rPr>
                <w:rFonts w:ascii="Joost" w:hAnsi="Joost"/>
                <w:sz w:val="23"/>
                <w:szCs w:val="23"/>
                <w:lang w:val="lt-LT"/>
              </w:rPr>
              <w:t xml:space="preserve">. nurodytus vertinimo uždavinius, turi pateikti </w:t>
            </w:r>
            <w:r w:rsidR="00A60657" w:rsidRPr="004978CF">
              <w:rPr>
                <w:rFonts w:ascii="Joost" w:eastAsia="Calibri" w:hAnsi="Joost"/>
                <w:b/>
                <w:bCs/>
                <w:sz w:val="23"/>
                <w:szCs w:val="23"/>
                <w:lang w:val="lt-LT"/>
              </w:rPr>
              <w:t>argumentuotą analizę</w:t>
            </w:r>
            <w:r w:rsidR="00A60657" w:rsidRPr="004978CF">
              <w:rPr>
                <w:rFonts w:ascii="Joost" w:eastAsia="Calibri" w:hAnsi="Joost"/>
                <w:sz w:val="23"/>
                <w:szCs w:val="23"/>
                <w:lang w:val="lt-LT"/>
              </w:rPr>
              <w:t xml:space="preserve">, </w:t>
            </w:r>
            <w:r w:rsidR="00A60657" w:rsidRPr="004978CF">
              <w:rPr>
                <w:rFonts w:ascii="Joost" w:eastAsia="Calibri" w:hAnsi="Joost"/>
                <w:b/>
                <w:bCs/>
                <w:sz w:val="23"/>
                <w:szCs w:val="23"/>
                <w:lang w:val="lt-LT"/>
              </w:rPr>
              <w:t>kaip planuojamos pažangos priemonių</w:t>
            </w:r>
            <w:r w:rsidR="00A60657" w:rsidRPr="004978CF">
              <w:rPr>
                <w:rFonts w:ascii="Joost" w:eastAsia="Calibri" w:hAnsi="Joost"/>
                <w:sz w:val="23"/>
                <w:szCs w:val="23"/>
                <w:lang w:val="lt-LT"/>
              </w:rPr>
              <w:t xml:space="preserve">, finansuojamų 2021–2027 m. Europos Sąjungos fondų investicijų programos 1 prioriteto „Konkurencingesnė ir pažangesnė Europa“, 2 prioriteto „Žalesnė Europa“ ir 9 prioriteto „Teisingas pertvarkos fondas“ lėšomis, </w:t>
            </w:r>
            <w:r w:rsidR="00A60657" w:rsidRPr="004978CF">
              <w:rPr>
                <w:rFonts w:ascii="Joost" w:eastAsia="Calibri" w:hAnsi="Joost"/>
                <w:b/>
                <w:bCs/>
                <w:sz w:val="23"/>
                <w:szCs w:val="23"/>
                <w:lang w:val="lt-LT"/>
              </w:rPr>
              <w:t>veiklos atitinka nacionalinius, strateginius tikslus, uždavinius.</w:t>
            </w:r>
          </w:p>
          <w:p w14:paraId="217F226F" w14:textId="1D89A4BF" w:rsidR="006203A2" w:rsidRPr="004978CF" w:rsidRDefault="00A60657" w:rsidP="00D92CA6">
            <w:pPr>
              <w:tabs>
                <w:tab w:val="left" w:pos="426"/>
              </w:tabs>
              <w:jc w:val="both"/>
              <w:rPr>
                <w:rFonts w:ascii="Joost" w:hAnsi="Joost"/>
                <w:sz w:val="23"/>
                <w:szCs w:val="23"/>
                <w:lang w:val="lt-LT"/>
              </w:rPr>
            </w:pPr>
            <w:r w:rsidRPr="004978CF">
              <w:rPr>
                <w:rFonts w:ascii="Joost" w:hAnsi="Joost"/>
                <w:sz w:val="23"/>
                <w:szCs w:val="23"/>
                <w:lang w:val="lt-LT"/>
              </w:rPr>
              <w:t xml:space="preserve">Tiekėjas, siekiantis gauti 4 balus pagal Techninės specifikacijos </w:t>
            </w:r>
            <w:r w:rsidRPr="004978CF">
              <w:rPr>
                <w:rFonts w:ascii="Joost" w:hAnsi="Joost"/>
                <w:sz w:val="23"/>
                <w:szCs w:val="23"/>
                <w:u w:val="single"/>
                <w:lang w:val="lt-LT"/>
              </w:rPr>
              <w:t>9.2.2.</w:t>
            </w:r>
            <w:r w:rsidRPr="004978CF">
              <w:rPr>
                <w:rFonts w:ascii="Joost" w:hAnsi="Joost"/>
                <w:sz w:val="23"/>
                <w:szCs w:val="23"/>
                <w:lang w:val="lt-LT"/>
              </w:rPr>
              <w:t xml:space="preserve"> p. nurodytus vertinimo uždavinius</w:t>
            </w:r>
            <w:r w:rsidR="00797163" w:rsidRPr="004978CF">
              <w:rPr>
                <w:rFonts w:ascii="Joost" w:hAnsi="Joost"/>
                <w:sz w:val="23"/>
                <w:szCs w:val="23"/>
                <w:lang w:val="lt-LT"/>
              </w:rPr>
              <w:t xml:space="preserve">, </w:t>
            </w:r>
            <w:r w:rsidR="006203A2" w:rsidRPr="004978CF">
              <w:rPr>
                <w:rFonts w:ascii="Joost" w:hAnsi="Joost"/>
                <w:sz w:val="23"/>
                <w:szCs w:val="23"/>
                <w:lang w:val="lt-LT"/>
              </w:rPr>
              <w:t xml:space="preserve">turėtų </w:t>
            </w:r>
            <w:r w:rsidRPr="004978CF">
              <w:rPr>
                <w:rFonts w:ascii="Joost" w:eastAsia="Calibri" w:hAnsi="Joost"/>
                <w:b/>
                <w:bCs/>
                <w:sz w:val="23"/>
                <w:szCs w:val="23"/>
                <w:lang w:val="lt-LT"/>
              </w:rPr>
              <w:t xml:space="preserve">remtis 4 (keturių) </w:t>
            </w:r>
            <w:r w:rsidR="00483BB6">
              <w:rPr>
                <w:rFonts w:ascii="Joost" w:eastAsia="Calibri" w:hAnsi="Joost"/>
                <w:b/>
                <w:bCs/>
                <w:sz w:val="23"/>
                <w:szCs w:val="23"/>
                <w:lang w:val="lt-LT"/>
              </w:rPr>
              <w:t xml:space="preserve">skirtingų </w:t>
            </w:r>
            <w:r w:rsidRPr="004978CF">
              <w:rPr>
                <w:rFonts w:ascii="Joost" w:eastAsia="Calibri" w:hAnsi="Joost"/>
                <w:b/>
                <w:bCs/>
                <w:sz w:val="23"/>
                <w:szCs w:val="23"/>
                <w:lang w:val="lt-LT"/>
              </w:rPr>
              <w:t xml:space="preserve">pažangos priemonių veiklų analize, </w:t>
            </w:r>
            <w:r w:rsidR="00F52883" w:rsidRPr="004978CF">
              <w:rPr>
                <w:rFonts w:ascii="Joost" w:eastAsia="Calibri" w:hAnsi="Joost"/>
                <w:sz w:val="23"/>
                <w:szCs w:val="23"/>
                <w:lang w:val="lt-LT"/>
              </w:rPr>
              <w:t xml:space="preserve">t. y. </w:t>
            </w:r>
            <w:r w:rsidR="00F52883" w:rsidRPr="004978CF">
              <w:rPr>
                <w:rFonts w:ascii="Joost" w:hAnsi="Joost"/>
                <w:sz w:val="23"/>
                <w:szCs w:val="23"/>
                <w:lang w:val="lt-LT"/>
              </w:rPr>
              <w:t>išanalizuo</w:t>
            </w:r>
            <w:r w:rsidR="004978CF" w:rsidRPr="004978CF">
              <w:rPr>
                <w:rFonts w:ascii="Joost" w:hAnsi="Joost"/>
                <w:sz w:val="23"/>
                <w:szCs w:val="23"/>
                <w:lang w:val="lt-LT"/>
              </w:rPr>
              <w:t>t</w:t>
            </w:r>
            <w:r w:rsidR="00F52883" w:rsidRPr="004978CF">
              <w:rPr>
                <w:rFonts w:ascii="Joost" w:hAnsi="Joost"/>
                <w:sz w:val="23"/>
                <w:szCs w:val="23"/>
                <w:lang w:val="lt-LT"/>
              </w:rPr>
              <w:t>i 1</w:t>
            </w:r>
            <w:r w:rsidR="00F52883" w:rsidRPr="004978CF">
              <w:rPr>
                <w:rFonts w:ascii="Joost" w:hAnsi="Joost" w:hint="cs"/>
                <w:sz w:val="23"/>
                <w:szCs w:val="23"/>
                <w:lang w:val="lt-LT"/>
              </w:rPr>
              <w:t> </w:t>
            </w:r>
            <w:r w:rsidR="00F52883" w:rsidRPr="004978CF">
              <w:rPr>
                <w:rFonts w:ascii="Joost" w:hAnsi="Joost"/>
                <w:sz w:val="23"/>
                <w:szCs w:val="23"/>
                <w:lang w:val="lt-LT"/>
              </w:rPr>
              <w:t>prioriteto „</w:t>
            </w:r>
            <w:r w:rsidR="00F52883" w:rsidRPr="004978CF">
              <w:rPr>
                <w:rFonts w:ascii="Joost" w:hAnsi="Joost"/>
                <w:iCs/>
                <w:sz w:val="23"/>
                <w:szCs w:val="23"/>
                <w:lang w:val="lt-LT" w:bidi="lt-LT"/>
              </w:rPr>
              <w:t>Konkurencingesnė ir pažangesnė Europa“</w:t>
            </w:r>
            <w:r w:rsidR="00F52883" w:rsidRPr="004978CF">
              <w:rPr>
                <w:rFonts w:ascii="Joost" w:hAnsi="Joost"/>
                <w:sz w:val="23"/>
                <w:szCs w:val="23"/>
                <w:lang w:val="lt-LT"/>
              </w:rPr>
              <w:t>, 2 prioriteto „</w:t>
            </w:r>
            <w:r w:rsidR="00F52883" w:rsidRPr="004978CF">
              <w:rPr>
                <w:rFonts w:ascii="Joost" w:hAnsi="Joost"/>
                <w:iCs/>
                <w:sz w:val="23"/>
                <w:szCs w:val="23"/>
                <w:lang w:val="lt-LT" w:bidi="lt-LT"/>
              </w:rPr>
              <w:t>Žalesnė Europa“ ir</w:t>
            </w:r>
            <w:r w:rsidR="00F52883" w:rsidRPr="004978CF">
              <w:rPr>
                <w:rFonts w:ascii="Joost" w:hAnsi="Joost"/>
                <w:sz w:val="23"/>
                <w:szCs w:val="23"/>
                <w:lang w:val="lt-LT"/>
              </w:rPr>
              <w:t xml:space="preserve"> 9</w:t>
            </w:r>
            <w:r w:rsidR="00F52883" w:rsidRPr="004978CF">
              <w:rPr>
                <w:rFonts w:ascii="Joost" w:hAnsi="Joost" w:hint="cs"/>
                <w:sz w:val="23"/>
                <w:szCs w:val="23"/>
                <w:lang w:val="lt-LT"/>
              </w:rPr>
              <w:t> </w:t>
            </w:r>
            <w:r w:rsidR="00F52883" w:rsidRPr="004978CF">
              <w:rPr>
                <w:rFonts w:ascii="Joost" w:hAnsi="Joost"/>
                <w:sz w:val="23"/>
                <w:szCs w:val="23"/>
                <w:lang w:val="lt-LT"/>
              </w:rPr>
              <w:t>prioriteto „Teisingas pertvarkos fondas“  4 skirtingų pažangos priemonių 4 veiklos ir nustatyta, ar papildo kitas intervencijas, ar jų nedubliuoja</w:t>
            </w:r>
            <w:r w:rsidR="006203A2" w:rsidRPr="004978CF">
              <w:rPr>
                <w:rFonts w:ascii="Joost" w:hAnsi="Joost"/>
                <w:sz w:val="23"/>
                <w:szCs w:val="23"/>
                <w:lang w:val="lt-LT"/>
              </w:rPr>
              <w:t>.</w:t>
            </w:r>
          </w:p>
          <w:p w14:paraId="4300E936" w14:textId="11315317" w:rsidR="00DE357B" w:rsidRPr="004978CF" w:rsidRDefault="00DE357B" w:rsidP="00D92CA6">
            <w:pPr>
              <w:tabs>
                <w:tab w:val="left" w:pos="426"/>
              </w:tabs>
              <w:jc w:val="both"/>
              <w:rPr>
                <w:rFonts w:ascii="Joost" w:hAnsi="Joost"/>
                <w:sz w:val="23"/>
                <w:szCs w:val="23"/>
                <w:lang w:val="lt-LT"/>
              </w:rPr>
            </w:pPr>
          </w:p>
        </w:tc>
      </w:tr>
    </w:tbl>
    <w:p w14:paraId="2C081A81" w14:textId="77777777" w:rsidR="004724B7" w:rsidRPr="00483BB6" w:rsidRDefault="004724B7" w:rsidP="00D92CA6">
      <w:pPr>
        <w:tabs>
          <w:tab w:val="left" w:pos="1605"/>
        </w:tabs>
        <w:rPr>
          <w:rFonts w:ascii="Joost" w:hAnsi="Joost"/>
          <w:sz w:val="10"/>
          <w:szCs w:val="10"/>
        </w:rPr>
      </w:pPr>
    </w:p>
    <w:p w14:paraId="0366D76E" w14:textId="3E238B25" w:rsidR="00BD2670" w:rsidRPr="00D92CA6" w:rsidRDefault="00BD2670" w:rsidP="00D92CA6">
      <w:pPr>
        <w:pStyle w:val="FreeForm"/>
        <w:ind w:firstLine="709"/>
        <w:jc w:val="both"/>
        <w:rPr>
          <w:rFonts w:ascii="Joost" w:hAnsi="Joost" w:cs="Times New Roman"/>
          <w:color w:val="auto"/>
          <w:sz w:val="23"/>
          <w:szCs w:val="23"/>
          <w:lang w:val="lt-LT"/>
        </w:rPr>
      </w:pPr>
      <w:r w:rsidRPr="00D92CA6">
        <w:rPr>
          <w:rFonts w:ascii="Joost" w:hAnsi="Joost" w:cs="Times New Roman"/>
          <w:color w:val="auto"/>
          <w:sz w:val="23"/>
          <w:szCs w:val="23"/>
          <w:lang w:val="lt-LT"/>
        </w:rPr>
        <w:t>Atsižvelgiant į tai, kad Pirkimo dokumentai dėl pateikto Tiekėjo paklausimo nebus keičiami, pasiūlymų pateikimo terminas nenukeliamas.</w:t>
      </w:r>
    </w:p>
    <w:p w14:paraId="0E001EEA" w14:textId="77777777" w:rsidR="00C90B7F" w:rsidRPr="00D92CA6" w:rsidRDefault="00C90B7F" w:rsidP="00D92CA6">
      <w:pPr>
        <w:pStyle w:val="NormalWeb"/>
        <w:shd w:val="clear" w:color="auto" w:fill="FFFFFF" w:themeFill="background1"/>
        <w:spacing w:before="0" w:beforeAutospacing="0" w:after="0" w:afterAutospacing="0"/>
        <w:contextualSpacing/>
        <w:jc w:val="both"/>
        <w:rPr>
          <w:rFonts w:ascii="Joost" w:hAnsi="Joost"/>
          <w:sz w:val="23"/>
          <w:szCs w:val="23"/>
          <w:lang w:val="lt-LT"/>
        </w:rPr>
      </w:pPr>
    </w:p>
    <w:p w14:paraId="2FC7F03D" w14:textId="20D198AA" w:rsidR="004724B7" w:rsidRPr="00D92CA6" w:rsidRDefault="004724B7" w:rsidP="00D92CA6">
      <w:pPr>
        <w:tabs>
          <w:tab w:val="left" w:pos="1605"/>
        </w:tabs>
        <w:jc w:val="both"/>
        <w:rPr>
          <w:rFonts w:ascii="Joost" w:eastAsia="Times New Roman" w:hAnsi="Joost"/>
          <w:color w:val="000000"/>
          <w:sz w:val="23"/>
          <w:szCs w:val="23"/>
        </w:rPr>
      </w:pPr>
      <w:r w:rsidRPr="00D92CA6">
        <w:rPr>
          <w:rFonts w:ascii="Joost" w:eastAsia="Times New Roman" w:hAnsi="Joost"/>
          <w:color w:val="000000"/>
          <w:sz w:val="23"/>
          <w:szCs w:val="23"/>
        </w:rPr>
        <w:t>Pagarbiai</w:t>
      </w:r>
    </w:p>
    <w:p w14:paraId="61CD7701" w14:textId="77777777" w:rsidR="004724B7" w:rsidRPr="00D92CA6" w:rsidRDefault="004724B7" w:rsidP="00D92CA6">
      <w:pPr>
        <w:tabs>
          <w:tab w:val="left" w:pos="1605"/>
        </w:tabs>
        <w:jc w:val="both"/>
        <w:rPr>
          <w:rFonts w:ascii="Joost" w:hAnsi="Joost"/>
          <w:sz w:val="23"/>
          <w:szCs w:val="23"/>
        </w:rPr>
      </w:pPr>
      <w:r w:rsidRPr="00D92CA6">
        <w:rPr>
          <w:rFonts w:ascii="Joost" w:eastAsia="Times New Roman" w:hAnsi="Joost"/>
          <w:color w:val="000000"/>
          <w:sz w:val="23"/>
          <w:szCs w:val="23"/>
        </w:rPr>
        <w:t>Komisija</w:t>
      </w:r>
    </w:p>
    <w:p w14:paraId="7478A476" w14:textId="048DC551" w:rsidR="00E4040A" w:rsidRPr="00483BB6" w:rsidRDefault="00E4040A" w:rsidP="00483BB6">
      <w:pPr>
        <w:pStyle w:val="FreeForm"/>
        <w:rPr>
          <w:rFonts w:ascii="Joost" w:hAnsi="Joost" w:cs="Times New Roman"/>
          <w:color w:val="auto"/>
          <w:sz w:val="23"/>
          <w:szCs w:val="23"/>
          <w:lang w:val="lt-LT"/>
        </w:rPr>
      </w:pPr>
    </w:p>
    <w:sectPr w:rsidR="00E4040A" w:rsidRPr="00483BB6"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95CB" w14:textId="77777777" w:rsidR="00ED353F" w:rsidRDefault="00ED353F" w:rsidP="000F17D6">
      <w:r>
        <w:separator/>
      </w:r>
    </w:p>
  </w:endnote>
  <w:endnote w:type="continuationSeparator" w:id="0">
    <w:p w14:paraId="13891D33" w14:textId="77777777" w:rsidR="00ED353F" w:rsidRDefault="00ED353F"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Jost">
    <w:altName w:val="Cambria"/>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76E1" w14:textId="77777777" w:rsidR="00ED353F" w:rsidRDefault="00ED353F" w:rsidP="000F17D6">
      <w:r>
        <w:separator/>
      </w:r>
    </w:p>
  </w:footnote>
  <w:footnote w:type="continuationSeparator" w:id="0">
    <w:p w14:paraId="63D753A8" w14:textId="77777777" w:rsidR="00ED353F" w:rsidRDefault="00ED353F"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134964">
    <w:abstractNumId w:val="1"/>
  </w:num>
  <w:num w:numId="2" w16cid:durableId="136736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1696"/>
    <w:rsid w:val="00041920"/>
    <w:rsid w:val="00051BE0"/>
    <w:rsid w:val="000673B7"/>
    <w:rsid w:val="00073A6D"/>
    <w:rsid w:val="00076A84"/>
    <w:rsid w:val="000841CC"/>
    <w:rsid w:val="00094EC1"/>
    <w:rsid w:val="00095D5F"/>
    <w:rsid w:val="000A26A0"/>
    <w:rsid w:val="000B3484"/>
    <w:rsid w:val="000B7B60"/>
    <w:rsid w:val="000E48D3"/>
    <w:rsid w:val="000F0723"/>
    <w:rsid w:val="000F17D6"/>
    <w:rsid w:val="000F3B8C"/>
    <w:rsid w:val="00106C33"/>
    <w:rsid w:val="00117F86"/>
    <w:rsid w:val="001276CB"/>
    <w:rsid w:val="001330B6"/>
    <w:rsid w:val="001330CA"/>
    <w:rsid w:val="00150BF6"/>
    <w:rsid w:val="001558F6"/>
    <w:rsid w:val="00164240"/>
    <w:rsid w:val="00172D09"/>
    <w:rsid w:val="00180221"/>
    <w:rsid w:val="00180313"/>
    <w:rsid w:val="001829EE"/>
    <w:rsid w:val="00192DEF"/>
    <w:rsid w:val="001954C2"/>
    <w:rsid w:val="001C1E30"/>
    <w:rsid w:val="001C4C9F"/>
    <w:rsid w:val="001D62C1"/>
    <w:rsid w:val="001E350E"/>
    <w:rsid w:val="001F2EAE"/>
    <w:rsid w:val="002157C3"/>
    <w:rsid w:val="00240BAB"/>
    <w:rsid w:val="00265045"/>
    <w:rsid w:val="002676AF"/>
    <w:rsid w:val="00270136"/>
    <w:rsid w:val="0027706E"/>
    <w:rsid w:val="00277ACF"/>
    <w:rsid w:val="00283410"/>
    <w:rsid w:val="00300312"/>
    <w:rsid w:val="00322AFC"/>
    <w:rsid w:val="00336605"/>
    <w:rsid w:val="0034072A"/>
    <w:rsid w:val="003619F9"/>
    <w:rsid w:val="00362939"/>
    <w:rsid w:val="0036750A"/>
    <w:rsid w:val="00370952"/>
    <w:rsid w:val="00376B34"/>
    <w:rsid w:val="00376FF7"/>
    <w:rsid w:val="00383929"/>
    <w:rsid w:val="0038591A"/>
    <w:rsid w:val="003B217B"/>
    <w:rsid w:val="003B610D"/>
    <w:rsid w:val="003B6880"/>
    <w:rsid w:val="003D08CE"/>
    <w:rsid w:val="003D2882"/>
    <w:rsid w:val="003D74F0"/>
    <w:rsid w:val="003E5200"/>
    <w:rsid w:val="003E6BB5"/>
    <w:rsid w:val="004115A8"/>
    <w:rsid w:val="00415F0A"/>
    <w:rsid w:val="00440CE3"/>
    <w:rsid w:val="00445645"/>
    <w:rsid w:val="004476C6"/>
    <w:rsid w:val="00453909"/>
    <w:rsid w:val="004657AE"/>
    <w:rsid w:val="004724B7"/>
    <w:rsid w:val="00475AC1"/>
    <w:rsid w:val="0048126B"/>
    <w:rsid w:val="00481C91"/>
    <w:rsid w:val="00483BB6"/>
    <w:rsid w:val="004841E0"/>
    <w:rsid w:val="00490A3C"/>
    <w:rsid w:val="00494CBC"/>
    <w:rsid w:val="004961AC"/>
    <w:rsid w:val="004978CF"/>
    <w:rsid w:val="004A5103"/>
    <w:rsid w:val="004B4774"/>
    <w:rsid w:val="004B73A5"/>
    <w:rsid w:val="004C4F2C"/>
    <w:rsid w:val="004E7DB5"/>
    <w:rsid w:val="004F6AD6"/>
    <w:rsid w:val="00510257"/>
    <w:rsid w:val="00512E52"/>
    <w:rsid w:val="0051460F"/>
    <w:rsid w:val="00516562"/>
    <w:rsid w:val="00524B8D"/>
    <w:rsid w:val="00557772"/>
    <w:rsid w:val="005642C6"/>
    <w:rsid w:val="00580954"/>
    <w:rsid w:val="005B23E8"/>
    <w:rsid w:val="005B3585"/>
    <w:rsid w:val="005E43FB"/>
    <w:rsid w:val="006203A2"/>
    <w:rsid w:val="006510CA"/>
    <w:rsid w:val="006810B3"/>
    <w:rsid w:val="006862E0"/>
    <w:rsid w:val="006908B5"/>
    <w:rsid w:val="006A3975"/>
    <w:rsid w:val="006B4CBC"/>
    <w:rsid w:val="00711BD9"/>
    <w:rsid w:val="00717D5C"/>
    <w:rsid w:val="007254B9"/>
    <w:rsid w:val="007271E9"/>
    <w:rsid w:val="007642B2"/>
    <w:rsid w:val="007706F7"/>
    <w:rsid w:val="00774325"/>
    <w:rsid w:val="007772DB"/>
    <w:rsid w:val="00791E5F"/>
    <w:rsid w:val="00797163"/>
    <w:rsid w:val="007A00C5"/>
    <w:rsid w:val="007C7652"/>
    <w:rsid w:val="007F0445"/>
    <w:rsid w:val="007F072F"/>
    <w:rsid w:val="00804584"/>
    <w:rsid w:val="0080655C"/>
    <w:rsid w:val="00811008"/>
    <w:rsid w:val="0081367D"/>
    <w:rsid w:val="00860FEB"/>
    <w:rsid w:val="00862486"/>
    <w:rsid w:val="00876EDD"/>
    <w:rsid w:val="008814A7"/>
    <w:rsid w:val="0088508D"/>
    <w:rsid w:val="00896ACE"/>
    <w:rsid w:val="008B7D17"/>
    <w:rsid w:val="00901F52"/>
    <w:rsid w:val="00913764"/>
    <w:rsid w:val="00915E5F"/>
    <w:rsid w:val="00933D80"/>
    <w:rsid w:val="009359D0"/>
    <w:rsid w:val="00940C42"/>
    <w:rsid w:val="00940E74"/>
    <w:rsid w:val="00943813"/>
    <w:rsid w:val="00946706"/>
    <w:rsid w:val="009506AC"/>
    <w:rsid w:val="00965FCC"/>
    <w:rsid w:val="00976F43"/>
    <w:rsid w:val="00992541"/>
    <w:rsid w:val="009A6E37"/>
    <w:rsid w:val="009A6FF3"/>
    <w:rsid w:val="009A7E52"/>
    <w:rsid w:val="009E5672"/>
    <w:rsid w:val="009F1ABD"/>
    <w:rsid w:val="009F3B08"/>
    <w:rsid w:val="00A1363C"/>
    <w:rsid w:val="00A25314"/>
    <w:rsid w:val="00A3278C"/>
    <w:rsid w:val="00A60657"/>
    <w:rsid w:val="00A62405"/>
    <w:rsid w:val="00A67D15"/>
    <w:rsid w:val="00A71CBF"/>
    <w:rsid w:val="00A7668B"/>
    <w:rsid w:val="00A831FB"/>
    <w:rsid w:val="00A84892"/>
    <w:rsid w:val="00A9105A"/>
    <w:rsid w:val="00AA7698"/>
    <w:rsid w:val="00AA778D"/>
    <w:rsid w:val="00AB476D"/>
    <w:rsid w:val="00AB6536"/>
    <w:rsid w:val="00AB7038"/>
    <w:rsid w:val="00AC0DC4"/>
    <w:rsid w:val="00AC1477"/>
    <w:rsid w:val="00AE3A88"/>
    <w:rsid w:val="00AE6543"/>
    <w:rsid w:val="00B14379"/>
    <w:rsid w:val="00B17D8A"/>
    <w:rsid w:val="00B546B9"/>
    <w:rsid w:val="00B5500E"/>
    <w:rsid w:val="00B577D1"/>
    <w:rsid w:val="00B62F87"/>
    <w:rsid w:val="00B635A5"/>
    <w:rsid w:val="00B77E46"/>
    <w:rsid w:val="00B92644"/>
    <w:rsid w:val="00BB2691"/>
    <w:rsid w:val="00BB5E68"/>
    <w:rsid w:val="00BC2909"/>
    <w:rsid w:val="00BC39CD"/>
    <w:rsid w:val="00BC4BBB"/>
    <w:rsid w:val="00BD2670"/>
    <w:rsid w:val="00BD61F3"/>
    <w:rsid w:val="00BE3C5E"/>
    <w:rsid w:val="00BE7716"/>
    <w:rsid w:val="00C0001C"/>
    <w:rsid w:val="00C04902"/>
    <w:rsid w:val="00C35E6C"/>
    <w:rsid w:val="00C36859"/>
    <w:rsid w:val="00C442A3"/>
    <w:rsid w:val="00C57417"/>
    <w:rsid w:val="00C84623"/>
    <w:rsid w:val="00C868FA"/>
    <w:rsid w:val="00C90B7F"/>
    <w:rsid w:val="00C918C4"/>
    <w:rsid w:val="00C92F1F"/>
    <w:rsid w:val="00CA077F"/>
    <w:rsid w:val="00CB6EAD"/>
    <w:rsid w:val="00CC13E6"/>
    <w:rsid w:val="00CD1404"/>
    <w:rsid w:val="00CE0EA3"/>
    <w:rsid w:val="00CE0F7C"/>
    <w:rsid w:val="00CF235A"/>
    <w:rsid w:val="00D0127C"/>
    <w:rsid w:val="00D163F3"/>
    <w:rsid w:val="00D466CA"/>
    <w:rsid w:val="00D72138"/>
    <w:rsid w:val="00D76D72"/>
    <w:rsid w:val="00D92CA6"/>
    <w:rsid w:val="00DA0901"/>
    <w:rsid w:val="00DB5547"/>
    <w:rsid w:val="00DC4224"/>
    <w:rsid w:val="00DD4DA4"/>
    <w:rsid w:val="00DE0558"/>
    <w:rsid w:val="00DE0A01"/>
    <w:rsid w:val="00DE357B"/>
    <w:rsid w:val="00DF0222"/>
    <w:rsid w:val="00DF0B28"/>
    <w:rsid w:val="00DF3CE3"/>
    <w:rsid w:val="00E018EC"/>
    <w:rsid w:val="00E04159"/>
    <w:rsid w:val="00E27A21"/>
    <w:rsid w:val="00E36288"/>
    <w:rsid w:val="00E3733E"/>
    <w:rsid w:val="00E37796"/>
    <w:rsid w:val="00E4040A"/>
    <w:rsid w:val="00E62888"/>
    <w:rsid w:val="00E65F29"/>
    <w:rsid w:val="00E72964"/>
    <w:rsid w:val="00E806E2"/>
    <w:rsid w:val="00E80C6C"/>
    <w:rsid w:val="00E9653F"/>
    <w:rsid w:val="00EA0873"/>
    <w:rsid w:val="00EC6CCD"/>
    <w:rsid w:val="00ED353F"/>
    <w:rsid w:val="00ED5612"/>
    <w:rsid w:val="00EE523B"/>
    <w:rsid w:val="00EE5266"/>
    <w:rsid w:val="00EE7D4C"/>
    <w:rsid w:val="00F32212"/>
    <w:rsid w:val="00F36B90"/>
    <w:rsid w:val="00F37442"/>
    <w:rsid w:val="00F52883"/>
    <w:rsid w:val="00F52AEA"/>
    <w:rsid w:val="00F67EB9"/>
    <w:rsid w:val="00F71DC1"/>
    <w:rsid w:val="00F91071"/>
    <w:rsid w:val="00F9235A"/>
    <w:rsid w:val="00FA5A56"/>
    <w:rsid w:val="00FC6BEF"/>
    <w:rsid w:val="00FD2A01"/>
    <w:rsid w:val="00FE51E3"/>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NormalWeb">
    <w:name w:val="Normal (Web)"/>
    <w:basedOn w:val="Normal"/>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8921">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20302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2809</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Edita Ališauskaitė Vorožeikinienė</cp:lastModifiedBy>
  <cp:revision>2</cp:revision>
  <dcterms:created xsi:type="dcterms:W3CDTF">2025-07-07T12:59:00Z</dcterms:created>
  <dcterms:modified xsi:type="dcterms:W3CDTF">2025-07-07T12:59:00Z</dcterms:modified>
</cp:coreProperties>
</file>