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54DAF" w14:textId="5B70B778" w:rsidR="00B20FEC" w:rsidRPr="008F5BE5" w:rsidRDefault="009811E7" w:rsidP="002708AE">
      <w:pPr>
        <w:spacing w:after="0" w:line="240" w:lineRule="auto"/>
        <w:jc w:val="center"/>
        <w:rPr>
          <w:rFonts w:eastAsia="Arial Unicode MS" w:cstheme="minorHAnsi"/>
          <w:b/>
          <w:bCs/>
          <w:caps/>
          <w:spacing w:val="20"/>
          <w:sz w:val="28"/>
          <w:szCs w:val="28"/>
        </w:rPr>
      </w:pPr>
      <w:r w:rsidRPr="008F5BE5">
        <w:rPr>
          <w:rFonts w:eastAsia="Arial Unicode MS" w:cstheme="minorHAnsi"/>
          <w:b/>
          <w:bCs/>
          <w:caps/>
          <w:spacing w:val="20"/>
          <w:sz w:val="28"/>
          <w:szCs w:val="28"/>
        </w:rPr>
        <w:t>PASIŪLYMŲ VERTINIMO KRITERIJAI ir Sąlygos</w:t>
      </w:r>
    </w:p>
    <w:p w14:paraId="71307FB1" w14:textId="77777777" w:rsidR="002708AE" w:rsidRPr="008F5BE5" w:rsidRDefault="002708AE" w:rsidP="002708A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lt-LT"/>
        </w:rPr>
      </w:pPr>
    </w:p>
    <w:p w14:paraId="29B379F7" w14:textId="368B707A" w:rsidR="00B20FEC" w:rsidRPr="008F5BE5" w:rsidRDefault="009811E7" w:rsidP="008F5BE5">
      <w:pPr>
        <w:pStyle w:val="ListParagraph"/>
        <w:numPr>
          <w:ilvl w:val="0"/>
          <w:numId w:val="3"/>
        </w:numPr>
        <w:spacing w:after="240" w:line="276" w:lineRule="auto"/>
        <w:ind w:left="0" w:firstLine="360"/>
        <w:jc w:val="both"/>
        <w:rPr>
          <w:rFonts w:eastAsia="Arial Unicode MS" w:cstheme="minorHAnsi"/>
          <w:b/>
          <w:bCs/>
          <w:caps/>
          <w:smallCaps/>
          <w:spacing w:val="20"/>
          <w:sz w:val="24"/>
          <w:szCs w:val="24"/>
        </w:rPr>
      </w:pPr>
      <w:r w:rsidRPr="008F5BE5">
        <w:rPr>
          <w:rFonts w:eastAsia="Arial Unicode MS" w:cstheme="minorHAnsi"/>
          <w:sz w:val="24"/>
          <w:szCs w:val="24"/>
        </w:rPr>
        <w:t xml:space="preserve">Perkančioji organizacija nustato fiksuotą įkainį – </w:t>
      </w:r>
      <w:r w:rsidR="00FF6885" w:rsidRPr="008F5BE5">
        <w:rPr>
          <w:rFonts w:eastAsia="Arial Unicode MS" w:cstheme="minorHAnsi"/>
          <w:sz w:val="24"/>
          <w:szCs w:val="24"/>
        </w:rPr>
        <w:t>27,04</w:t>
      </w:r>
      <w:r w:rsidRPr="008F5BE5">
        <w:rPr>
          <w:rFonts w:eastAsia="Arial Unicode MS" w:cstheme="minorHAnsi"/>
          <w:sz w:val="24"/>
          <w:szCs w:val="24"/>
        </w:rPr>
        <w:t xml:space="preserve"> Eur (</w:t>
      </w:r>
      <w:r w:rsidR="00FF6885" w:rsidRPr="008F5BE5">
        <w:rPr>
          <w:rFonts w:eastAsia="Arial Unicode MS" w:cstheme="minorHAnsi"/>
          <w:sz w:val="24"/>
          <w:szCs w:val="24"/>
        </w:rPr>
        <w:t xml:space="preserve">dvidešimt septyni </w:t>
      </w:r>
      <w:r w:rsidRPr="008F5BE5">
        <w:rPr>
          <w:rFonts w:eastAsia="Arial Unicode MS" w:cstheme="minorHAnsi"/>
          <w:sz w:val="24"/>
          <w:szCs w:val="24"/>
        </w:rPr>
        <w:t>eur</w:t>
      </w:r>
      <w:r w:rsidR="00FF6885" w:rsidRPr="008F5BE5">
        <w:rPr>
          <w:rFonts w:eastAsia="Arial Unicode MS" w:cstheme="minorHAnsi"/>
          <w:sz w:val="24"/>
          <w:szCs w:val="24"/>
        </w:rPr>
        <w:t>ai</w:t>
      </w:r>
      <w:r w:rsidRPr="008F5BE5">
        <w:rPr>
          <w:rFonts w:eastAsia="Arial Unicode MS" w:cstheme="minorHAnsi"/>
          <w:sz w:val="24"/>
          <w:szCs w:val="24"/>
        </w:rPr>
        <w:t xml:space="preserve">, </w:t>
      </w:r>
      <w:r w:rsidR="00FF6885" w:rsidRPr="008F5BE5">
        <w:rPr>
          <w:rFonts w:eastAsia="Arial Unicode MS" w:cstheme="minorHAnsi"/>
          <w:sz w:val="24"/>
          <w:szCs w:val="24"/>
        </w:rPr>
        <w:t>4</w:t>
      </w:r>
      <w:r w:rsidRPr="008F5BE5">
        <w:rPr>
          <w:rFonts w:eastAsia="Arial Unicode MS" w:cstheme="minorHAnsi"/>
          <w:sz w:val="24"/>
          <w:szCs w:val="24"/>
        </w:rPr>
        <w:t xml:space="preserve"> ct) su PVM už 1 val.</w:t>
      </w:r>
      <w:r w:rsidR="002E6438" w:rsidRPr="008F5BE5">
        <w:rPr>
          <w:rFonts w:eastAsiaTheme="minorEastAsia" w:cstheme="minorHAnsi"/>
          <w:bCs/>
          <w:sz w:val="24"/>
          <w:szCs w:val="24"/>
          <w:lang w:eastAsia="lt-LT"/>
        </w:rPr>
        <w:t xml:space="preserve"> </w:t>
      </w:r>
      <w:r w:rsidR="00B84028" w:rsidRPr="008F5BE5">
        <w:rPr>
          <w:rFonts w:eastAsia="Arial Unicode MS" w:cstheme="minorHAnsi"/>
          <w:bCs/>
          <w:sz w:val="24"/>
          <w:szCs w:val="24"/>
        </w:rPr>
        <w:t xml:space="preserve">Jeigu pasiūlymą pateiks tiekėjas (fizinis ar juridinis asmuo), kuris nėra PVM mokėtojas, jis turi pasiūlymo formoje nurodyti, kad jis nėra PVM mokėtojas ir jam bus mokamas paslaugų valandos įkainis – </w:t>
      </w:r>
      <w:r w:rsidR="00FF6885" w:rsidRPr="008F5BE5">
        <w:rPr>
          <w:rFonts w:eastAsia="Arial Unicode MS" w:cstheme="minorHAnsi"/>
          <w:bCs/>
          <w:sz w:val="24"/>
          <w:szCs w:val="24"/>
        </w:rPr>
        <w:t>22,35</w:t>
      </w:r>
      <w:r w:rsidR="00B84028" w:rsidRPr="008F5BE5">
        <w:rPr>
          <w:rFonts w:eastAsia="Arial Unicode MS" w:cstheme="minorHAnsi"/>
          <w:bCs/>
          <w:sz w:val="24"/>
          <w:szCs w:val="24"/>
        </w:rPr>
        <w:t xml:space="preserve"> Eur</w:t>
      </w:r>
      <w:r w:rsidR="005247C6" w:rsidRPr="008F5BE5">
        <w:rPr>
          <w:rFonts w:eastAsia="Arial Unicode MS" w:cstheme="minorHAnsi"/>
          <w:bCs/>
          <w:sz w:val="24"/>
          <w:szCs w:val="24"/>
        </w:rPr>
        <w:t xml:space="preserve"> (dvidešimt du eurai, 35 ct)</w:t>
      </w:r>
      <w:r w:rsidR="002E6438" w:rsidRPr="008F5BE5">
        <w:rPr>
          <w:rFonts w:eastAsia="Arial Unicode MS" w:cstheme="minorHAnsi"/>
          <w:bCs/>
          <w:sz w:val="24"/>
          <w:szCs w:val="24"/>
        </w:rPr>
        <w:t>.</w:t>
      </w:r>
    </w:p>
    <w:p w14:paraId="74F0F840" w14:textId="77777777" w:rsidR="00943AD9" w:rsidRPr="008F5BE5" w:rsidRDefault="00943AD9" w:rsidP="00943AD9">
      <w:pPr>
        <w:pStyle w:val="ListParagraph"/>
        <w:spacing w:after="240" w:line="240" w:lineRule="auto"/>
        <w:ind w:left="360"/>
        <w:jc w:val="both"/>
        <w:rPr>
          <w:rFonts w:eastAsia="Arial Unicode MS" w:cstheme="minorHAnsi"/>
          <w:b/>
          <w:bCs/>
          <w:caps/>
          <w:smallCaps/>
          <w:spacing w:val="20"/>
          <w:sz w:val="24"/>
          <w:szCs w:val="24"/>
        </w:rPr>
      </w:pPr>
    </w:p>
    <w:p w14:paraId="3E66E377" w14:textId="6C48F9DD" w:rsidR="005100C9" w:rsidRPr="008F5BE5" w:rsidRDefault="005100C9" w:rsidP="005100C9">
      <w:pPr>
        <w:pStyle w:val="ListParagraph"/>
        <w:numPr>
          <w:ilvl w:val="0"/>
          <w:numId w:val="3"/>
        </w:numPr>
        <w:spacing w:after="240" w:line="240" w:lineRule="auto"/>
        <w:ind w:left="0" w:firstLine="360"/>
        <w:jc w:val="both"/>
        <w:rPr>
          <w:rFonts w:eastAsia="Arial Unicode MS" w:cstheme="minorHAnsi"/>
          <w:b/>
          <w:bCs/>
          <w:caps/>
          <w:smallCaps/>
          <w:spacing w:val="20"/>
          <w:sz w:val="24"/>
          <w:szCs w:val="24"/>
        </w:rPr>
      </w:pPr>
      <w:r w:rsidRPr="008F5BE5">
        <w:rPr>
          <w:rFonts w:eastAsia="Arial Unicode MS" w:cstheme="minorHAnsi"/>
          <w:b/>
          <w:sz w:val="24"/>
          <w:szCs w:val="24"/>
        </w:rPr>
        <w:t>PASIŪLYMŲ</w:t>
      </w:r>
      <w:r w:rsidRPr="008F5BE5">
        <w:rPr>
          <w:rFonts w:eastAsia="Arial Unicode MS" w:cstheme="minorHAnsi"/>
          <w:sz w:val="24"/>
          <w:szCs w:val="24"/>
        </w:rPr>
        <w:t xml:space="preserve"> vertinimo kriterijai: nustatomas maksimalus bendras balų skaičius – 50 balų. Taikomi šie vertinimo kriterijai ir jų reikšmės: </w:t>
      </w:r>
    </w:p>
    <w:tbl>
      <w:tblPr>
        <w:tblStyle w:val="TableGrid1"/>
        <w:tblW w:w="97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528"/>
        <w:gridCol w:w="1590"/>
        <w:gridCol w:w="1363"/>
        <w:gridCol w:w="1523"/>
      </w:tblGrid>
      <w:tr w:rsidR="005100C9" w:rsidRPr="008F5BE5" w14:paraId="48B668DC" w14:textId="77777777" w:rsidTr="008F5B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312A7E" w14:textId="77777777" w:rsidR="005100C9" w:rsidRPr="008F5BE5" w:rsidRDefault="005100C9" w:rsidP="00E216EC">
            <w:pPr>
              <w:suppressAutoHyphens/>
              <w:spacing w:after="40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bookmarkStart w:id="0" w:name="OLE_LINK10"/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37EA94" w14:textId="77777777" w:rsidR="005100C9" w:rsidRPr="008F5BE5" w:rsidRDefault="005100C9" w:rsidP="00E216EC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Kriterijaus pavadinimas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D2F228E" w14:textId="77777777" w:rsidR="005100C9" w:rsidRPr="008F5BE5" w:rsidRDefault="005100C9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Minimali reikalaujama (vertinama) reikšmė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4D85E9" w14:textId="77777777" w:rsidR="005100C9" w:rsidRPr="008F5BE5" w:rsidRDefault="005100C9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Maksimali vertinama (leidžiama)</w:t>
            </w:r>
          </w:p>
          <w:p w14:paraId="5D17442A" w14:textId="77777777" w:rsidR="005100C9" w:rsidRPr="008F5BE5" w:rsidRDefault="005100C9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reikšmė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9ED74C" w14:textId="77777777" w:rsidR="005100C9" w:rsidRPr="008F5BE5" w:rsidRDefault="005100C9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Lyginamasis svoris  (maksimalus balas)</w:t>
            </w:r>
          </w:p>
        </w:tc>
      </w:tr>
      <w:tr w:rsidR="00B1178F" w:rsidRPr="008F5BE5" w14:paraId="7119D9FF" w14:textId="77777777" w:rsidTr="00E21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8921" w14:textId="09EF1753" w:rsidR="00B1178F" w:rsidRPr="008F5BE5" w:rsidRDefault="002D69B9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2</w:t>
            </w:r>
            <w:r w:rsidR="00B1178F"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7C39" w14:textId="77777777" w:rsidR="00B1178F" w:rsidRPr="008F5BE5" w:rsidRDefault="00B1178F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 xml:space="preserve">Eksperto turima patirtis profesinio mokymo srityje </w:t>
            </w: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(T1)</w:t>
            </w:r>
          </w:p>
          <w:p w14:paraId="53E86A40" w14:textId="77777777" w:rsidR="00B1178F" w:rsidRPr="008F5BE5" w:rsidRDefault="00B1178F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0766" w14:textId="7D569210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7FB" w14:textId="7689BDDB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7D4D" w14:textId="0D49DF2D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Y1=30</w:t>
            </w:r>
          </w:p>
        </w:tc>
      </w:tr>
      <w:tr w:rsidR="00B1178F" w:rsidRPr="008F5BE5" w14:paraId="0156D27C" w14:textId="77777777" w:rsidTr="00E21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27A" w14:textId="2A68BE6D" w:rsidR="00B1178F" w:rsidRPr="008F5BE5" w:rsidRDefault="002D69B9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2</w:t>
            </w:r>
            <w:r w:rsidR="00B1178F"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917" w14:textId="34D3B235" w:rsidR="00B1178F" w:rsidRPr="008F5BE5" w:rsidRDefault="00B1178F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 xml:space="preserve">Eksperto turima tarptautinių projektų mokymosi rezultatų tema švietimo srityje įgyvendinimo, koordinavimo patirtis </w:t>
            </w:r>
            <w:r w:rsidRPr="008F5BE5">
              <w:rPr>
                <w:rFonts w:asciiTheme="minorHAnsi" w:eastAsia="Arial Unicode MS" w:cstheme="minorHAnsi"/>
                <w:b/>
                <w:color w:val="000000"/>
                <w:sz w:val="24"/>
                <w:szCs w:val="24"/>
              </w:rPr>
              <w:t>(T2)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F18" w14:textId="2F7A1F3F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93C" w14:textId="4F036CC6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181" w14:textId="6BE389F6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Y2=15</w:t>
            </w:r>
          </w:p>
        </w:tc>
      </w:tr>
      <w:tr w:rsidR="00B1178F" w:rsidRPr="008F5BE5" w14:paraId="5070C519" w14:textId="77777777" w:rsidTr="00E216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2BE" w14:textId="29F8D519" w:rsidR="00B1178F" w:rsidRPr="008F5BE5" w:rsidRDefault="002D69B9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2</w:t>
            </w:r>
            <w:r w:rsidR="00B1178F" w:rsidRPr="008F5BE5"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FF6" w14:textId="73F8D1E8" w:rsidR="00B1178F" w:rsidRPr="008F5BE5" w:rsidRDefault="00B1178F" w:rsidP="00B1178F">
            <w:pPr>
              <w:suppressAutoHyphens/>
              <w:spacing w:after="40"/>
              <w:jc w:val="both"/>
              <w:rPr>
                <w:rFonts w:asciiTheme="minorHAnsi" w:eastAsia="Arial Unicode MS" w:cstheme="minorHAnsi"/>
                <w:color w:val="000000"/>
                <w:sz w:val="24"/>
                <w:szCs w:val="24"/>
              </w:rPr>
            </w:pPr>
            <w:r w:rsidRPr="008F5BE5">
              <w:rPr>
                <w:rFonts w:asciiTheme="minorHAnsi" w:eastAsia="Times New Roman" w:cstheme="minorHAnsi"/>
                <w:sz w:val="24"/>
                <w:szCs w:val="24"/>
              </w:rPr>
              <w:t xml:space="preserve">Ekspertas yra buvęs PROMET ekspertas arba </w:t>
            </w:r>
            <w:r w:rsidRPr="008F5BE5">
              <w:rPr>
                <w:rFonts w:asciiTheme="minorHAnsi" w:cstheme="minorHAnsi"/>
                <w:sz w:val="24"/>
                <w:szCs w:val="24"/>
                <w:shd w:val="clear" w:color="auto" w:fill="FFFFFF"/>
                <w:lang w:bidi="lo-LA"/>
              </w:rPr>
              <w:t xml:space="preserve">ECVET projekto grupės ekspertas </w:t>
            </w:r>
            <w:r w:rsidRPr="008F5BE5">
              <w:rPr>
                <w:rFonts w:asciiTheme="minorHAnsi" w:cstheme="minorHAnsi"/>
                <w:b/>
                <w:sz w:val="24"/>
                <w:szCs w:val="24"/>
                <w:shd w:val="clear" w:color="auto" w:fill="FFFFFF"/>
                <w:lang w:bidi="lo-LA"/>
              </w:rPr>
              <w:t>(T3)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F5F" w14:textId="4C0D4A75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4DB" w14:textId="351C85FE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B20" w14:textId="7F6A2561" w:rsidR="00B1178F" w:rsidRPr="008F5BE5" w:rsidRDefault="00B1178F" w:rsidP="008F5BE5">
            <w:pPr>
              <w:suppressAutoHyphens/>
              <w:spacing w:after="40"/>
              <w:jc w:val="center"/>
              <w:rPr>
                <w:rFonts w:asciiTheme="minorHAnsi" w:eastAsia="Arial Unicode MS" w:cstheme="minorHAnsi"/>
                <w:sz w:val="24"/>
                <w:szCs w:val="24"/>
              </w:rPr>
            </w:pP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Y</w:t>
            </w:r>
            <w:r w:rsidR="002D69B9" w:rsidRPr="008F5BE5">
              <w:rPr>
                <w:rFonts w:asciiTheme="minorHAnsi" w:eastAsia="Arial Unicode MS" w:cstheme="minorHAnsi"/>
                <w:sz w:val="24"/>
                <w:szCs w:val="24"/>
                <w:lang w:val="en-GB"/>
              </w:rPr>
              <w:t>3</w:t>
            </w:r>
            <w:r w:rsidRPr="008F5BE5">
              <w:rPr>
                <w:rFonts w:asciiTheme="minorHAnsi" w:eastAsia="Arial Unicode MS" w:cstheme="minorHAnsi"/>
                <w:sz w:val="24"/>
                <w:szCs w:val="24"/>
              </w:rPr>
              <w:t>=5</w:t>
            </w:r>
          </w:p>
        </w:tc>
      </w:tr>
      <w:bookmarkEnd w:id="0"/>
    </w:tbl>
    <w:p w14:paraId="11462E32" w14:textId="77777777" w:rsidR="005100C9" w:rsidRPr="008F5BE5" w:rsidRDefault="005100C9" w:rsidP="005100C9">
      <w:pPr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66ED09" w14:textId="77777777" w:rsidR="005100C9" w:rsidRPr="008F5BE5" w:rsidRDefault="005100C9" w:rsidP="005100C9">
      <w:pPr>
        <w:spacing w:after="0" w:line="240" w:lineRule="auto"/>
        <w:rPr>
          <w:rFonts w:cstheme="minorHAnsi"/>
          <w:sz w:val="24"/>
          <w:szCs w:val="24"/>
        </w:rPr>
      </w:pPr>
      <w:r w:rsidRPr="008F5BE5">
        <w:rPr>
          <w:rFonts w:cstheme="minorHAnsi"/>
          <w:sz w:val="24"/>
          <w:szCs w:val="24"/>
        </w:rPr>
        <w:t>Kiekvieno tiekėjo pasiūlymo kokybės balai nustatomi, šia tvarka:</w:t>
      </w:r>
    </w:p>
    <w:p w14:paraId="23A046F1" w14:textId="77777777" w:rsidR="005100C9" w:rsidRPr="008F5BE5" w:rsidRDefault="005100C9" w:rsidP="005100C9">
      <w:pPr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5100C9" w:rsidRPr="008F5BE5" w14:paraId="1CF7A919" w14:textId="77777777" w:rsidTr="008F5BE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CE48C4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OLE_LINK11"/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Kriterijaus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CA7067" w14:textId="4C8AF494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Kriterijaus reikšmė</w:t>
            </w:r>
            <w:r w:rsidR="00D44297">
              <w:rPr>
                <w:rStyle w:val="FootnoteReference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46FA27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Balo apskaičiavimas</w:t>
            </w:r>
          </w:p>
        </w:tc>
      </w:tr>
      <w:tr w:rsidR="005100C9" w:rsidRPr="008F5BE5" w14:paraId="6FAB2493" w14:textId="77777777" w:rsidTr="00E21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F288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(T1)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 Eksperto turima patirtis profesinio mokymo srityje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2C11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Pasiūlymo T1p reikšmė nustatoma šia tvarka:</w:t>
            </w:r>
          </w:p>
          <w:p w14:paraId="6672EBFA" w14:textId="77777777" w:rsidR="00D44297" w:rsidRPr="00D44297" w:rsidRDefault="00D44297" w:rsidP="00D44297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4297">
              <w:rPr>
                <w:rFonts w:asciiTheme="minorHAnsi" w:hAnsiTheme="minorHAnsi" w:cstheme="minorHAnsi"/>
                <w:sz w:val="24"/>
                <w:szCs w:val="24"/>
              </w:rPr>
              <w:t xml:space="preserve">T1p = 0, jei ekspertas per pastaruosius 3 metus neturėjo patirties profesinio mokymo srityje. </w:t>
            </w:r>
          </w:p>
          <w:p w14:paraId="61D3D20D" w14:textId="4C3BE5B8" w:rsidR="00D44297" w:rsidRPr="00D44297" w:rsidRDefault="00D44297" w:rsidP="00D44297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4297">
              <w:rPr>
                <w:rFonts w:asciiTheme="minorHAnsi" w:hAnsiTheme="minorHAnsi" w:cstheme="minorHAnsi"/>
                <w:sz w:val="24"/>
                <w:szCs w:val="24"/>
              </w:rPr>
              <w:t>T1p = 3, jei ekspertas per pastaruosius 3 metus dirbo įstaigoje, kuri tiesiogiai susijusi su profesiniu mokymu</w:t>
            </w:r>
            <w:r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D442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5CF263" w14:textId="281A53EA" w:rsidR="005100C9" w:rsidRPr="008F5BE5" w:rsidRDefault="00D44297" w:rsidP="00D44297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44297">
              <w:rPr>
                <w:rFonts w:asciiTheme="minorHAnsi" w:hAnsiTheme="minorHAnsi" w:cstheme="minorHAnsi"/>
                <w:sz w:val="24"/>
                <w:szCs w:val="24"/>
              </w:rPr>
              <w:t xml:space="preserve">T1p = 6, jei ekspertas per pastaruosius 3 metus dirbo įstaigoje, kurioje turėjo ne mažiau </w:t>
            </w:r>
            <w:r w:rsidRPr="00D4429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kaip 2 metų vadovaujančio darbo patirties ir kuri tiesiogiai susijusi su profesiniu mokymu</w:t>
            </w:r>
            <w:r w:rsidRPr="00D4429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D442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9CBB048" w14:textId="4FDE66C8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(pateikiamas</w:t>
            </w:r>
            <w:r w:rsidR="00B1178F"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pasiūlymo formoje  arba pateikiamas</w:t>
            </w: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eksperto gyvenimo aprašymas CV</w:t>
            </w:r>
            <w:bookmarkStart w:id="2" w:name="_GoBack"/>
            <w:bookmarkEnd w:id="2"/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, kuriame nurodomas institucijos, kurioje dirbama, pavadinimas ir užimamos pareigos joje)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9EB6" w14:textId="0D822134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Pasiūlymo T1 balas apskaičiuojamas vertinamo pasiūlymo T1p reikšmę padalinus iš kriterijaus reikšmės T1p.maks. ir padauginus iš vertinamo kriterijaus lyginamojo svorio Y1, kuris nurodytas 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.1. punkte pateiktoje lentelėje. </w:t>
            </w:r>
          </w:p>
          <w:p w14:paraId="08737CD2" w14:textId="5D1E379C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Balo apskaičiavimui taikoma formulė T1=(T1p/T1p.maks.)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>×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Y1.</w:t>
            </w:r>
          </w:p>
          <w:p w14:paraId="51882974" w14:textId="77C16E6F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Jei </w:t>
            </w:r>
            <w:r w:rsidRPr="008F5BE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T1p yra mažiau nei minimali reikalaujama reikšmė nurodyta </w:t>
            </w:r>
            <w:r w:rsidR="002D69B9" w:rsidRPr="008F5BE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Pr="008F5BE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.1. punkte pateiktoje lentelėje, </w:t>
            </w: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pasiūlymas atmetamas.</w:t>
            </w:r>
            <w:r w:rsidRPr="008F5BE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5100C9" w:rsidRPr="008F5BE5" w14:paraId="26848EAE" w14:textId="77777777" w:rsidTr="00E21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8A7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(T2) </w:t>
            </w:r>
          </w:p>
          <w:p w14:paraId="0A039BDA" w14:textId="7E7B5845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Eksperto turima tarptautinių projektų </w:t>
            </w:r>
            <w:r w:rsidR="008277A6"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mokymosi rezultatų 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švietimo srityje įgyvendinimo, koordinavimo patirtis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426" w14:textId="77777777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T2p = 0, jei ekspertas per pastaruosius 3 metus neturėjo tarptautinių projektų švietimo srityje įgyvendinimo, koordinavimo patirties.</w:t>
            </w:r>
          </w:p>
          <w:p w14:paraId="09D5A892" w14:textId="5148A7ED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T2p = 1, jei ekspertas per pastaruosius 3 </w:t>
            </w:r>
            <w:r w:rsidR="00C165BD"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metus 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turėjo tarptautinių projektų švietimo srityje įgyvendinimo, koordinavimo patirties. </w:t>
            </w:r>
          </w:p>
          <w:p w14:paraId="64B09672" w14:textId="0F468472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T2p = 5, jei ekspertas per pastaruosius 3 metus turėjo tarptautinių projektų mokymosi rezultatų tema švietimo srityje įgyvendinimo, koordinavimo patirtis </w:t>
            </w:r>
          </w:p>
          <w:p w14:paraId="65887019" w14:textId="77777777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60FD4B" w14:textId="3E41635F" w:rsidR="005100C9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(pateikiamas projektų sąrašas:  programa (pvz. Erasmus+, ESFA ir pan.) nurodomas projekto pavadinimas, numeris, įgyvendinimo laikotarpis, pareigos/atsakomybės projekte).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E6E8" w14:textId="4C3EEEFD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Pasiūlymo T2 balas apskaičiuojamas vertinamo pasiūlymo T2p reikšmę padalinus iš geriausios tarp visų dalyvių analogiško kriterijaus reikšmės T2p.maks. ir padauginus iš vertinamo kriterijaus lyginamojo svorio Y2, kuris nurodytas 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.2. punkte pateiktoje lentelėje. </w:t>
            </w:r>
          </w:p>
          <w:p w14:paraId="2664491F" w14:textId="37F5EEB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Balo apskaičiavimui taikoma formulė T2=(T2p/T2p.maks.)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 xml:space="preserve"> ×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Y2.</w:t>
            </w:r>
          </w:p>
          <w:p w14:paraId="7055E0E2" w14:textId="3BC73449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Jei T2p reikšmė yra didesnė nei maksimali vertinama reikšmė nurodyta 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.2. punkte pateiktoje lentelėje, laikoma, kad T2p  lygu maksimaliai vertinamai reikšmei.</w:t>
            </w:r>
          </w:p>
          <w:p w14:paraId="29A127E7" w14:textId="4173AB50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</w:rPr>
              <w:t xml:space="preserve">Jeigu T2 reikšmė yra mažiau nei minimali vertinama reikšmė (mažiaus nei 1) nurodyta </w:t>
            </w:r>
            <w:r w:rsidR="002D69B9" w:rsidRPr="008F5BE5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8F5BE5">
              <w:rPr>
                <w:rFonts w:asciiTheme="minorHAnsi" w:hAnsiTheme="minorHAnsi" w:cstheme="minorHAnsi"/>
                <w:b/>
                <w:sz w:val="24"/>
              </w:rPr>
              <w:t>.2. punkte pateiktoje lentelėje pasiūlymas atmetamas.</w:t>
            </w:r>
          </w:p>
        </w:tc>
      </w:tr>
      <w:tr w:rsidR="005100C9" w:rsidRPr="008F5BE5" w14:paraId="7BE1D2FF" w14:textId="77777777" w:rsidTr="00E21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0CF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(T3) </w:t>
            </w:r>
          </w:p>
          <w:p w14:paraId="4728B67F" w14:textId="7310B40E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Eksperto turima patirtis kaip </w:t>
            </w:r>
            <w:r w:rsidR="00371087" w:rsidRPr="008F5BE5">
              <w:rPr>
                <w:rFonts w:asciiTheme="minorHAnsi" w:hAnsiTheme="minorHAnsi" w:cstheme="minorHAnsi"/>
                <w:sz w:val="24"/>
                <w:szCs w:val="24"/>
              </w:rPr>
              <w:t>PROMET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 arba ECVET projektų grupės ekspertu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4DD" w14:textId="7DF8B3E4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D69B9" w:rsidRPr="008F5BE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p = 0, jei ekspertas per pastaruosius 3 metus nebuvo PROMET arba ECVET projekto grupės ekspertu;</w:t>
            </w:r>
          </w:p>
          <w:p w14:paraId="1D945F29" w14:textId="0ECCF9C3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D69B9" w:rsidRPr="008F5BE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p = 5, jei ekspertas per pastaruosius 3 metus buvo </w:t>
            </w:r>
            <w:r w:rsidR="0044188D" w:rsidRPr="008F5BE5">
              <w:rPr>
                <w:rFonts w:asciiTheme="minorHAnsi" w:hAnsiTheme="minorHAnsi" w:cstheme="minorHAnsi"/>
                <w:sz w:val="24"/>
                <w:szCs w:val="24"/>
              </w:rPr>
              <w:t>PROMET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 arba ECVET projekto grupės ekspertu.</w:t>
            </w:r>
          </w:p>
          <w:p w14:paraId="60135885" w14:textId="6A5CE666" w:rsidR="009143E3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D69B9" w:rsidRPr="008F5BE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p = 10, jei ekspertas per pastaruosius </w:t>
            </w:r>
            <w:r w:rsidR="00517DF4" w:rsidRPr="008F5BE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 metus buvo PROMET arba ECVET projekto grupės ekspertu.</w:t>
            </w:r>
          </w:p>
          <w:p w14:paraId="047B0FC2" w14:textId="6137E219" w:rsidR="005100C9" w:rsidRPr="008F5BE5" w:rsidRDefault="009143E3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b/>
                <w:sz w:val="24"/>
                <w:szCs w:val="24"/>
              </w:rPr>
              <w:t>(pateikiamas pasiūlymo formoje  arba pateikiamas eksperto gyvenimo aprašymas CV)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3AC" w14:textId="591A3A59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Pasiūlymo T3 balas apskaičiuojamas vertinamo pasiūlymo T3p reikšmę padalinus iš kriterijaus reikšmės T3p.maks. ir padauginus iš vertinamo kriterijaus lyginamojo svorio Y3, kuris nurodytas </w:t>
            </w:r>
            <w:r w:rsidR="002D69B9" w:rsidRPr="008F5B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 xml:space="preserve">.3. punkte pateiktoje lentelėje. </w:t>
            </w:r>
          </w:p>
          <w:p w14:paraId="3DE8C7D2" w14:textId="61C811B9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Balo apskaičiavimui taikoma formulė T3=(T3p/T3p.maks.)</w:t>
            </w:r>
            <w:r w:rsidR="008F5BE5">
              <w:rPr>
                <w:rFonts w:asciiTheme="minorHAnsi" w:hAnsiTheme="minorHAnsi" w:cstheme="minorHAnsi"/>
                <w:sz w:val="24"/>
                <w:szCs w:val="24"/>
              </w:rPr>
              <w:t xml:space="preserve"> ×</w:t>
            </w:r>
            <w:r w:rsidRPr="008F5BE5">
              <w:rPr>
                <w:rFonts w:asciiTheme="minorHAnsi" w:hAnsiTheme="minorHAnsi" w:cstheme="minorHAnsi"/>
                <w:sz w:val="24"/>
                <w:szCs w:val="24"/>
              </w:rPr>
              <w:t>Y3.</w:t>
            </w:r>
          </w:p>
          <w:p w14:paraId="26468ED2" w14:textId="77777777" w:rsidR="005100C9" w:rsidRPr="008F5BE5" w:rsidRDefault="005100C9" w:rsidP="008F5BE5">
            <w:pPr>
              <w:pStyle w:val="Body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</w:tbl>
    <w:p w14:paraId="21687022" w14:textId="77777777" w:rsidR="005100C9" w:rsidRPr="008F5BE5" w:rsidRDefault="005100C9" w:rsidP="005100C9">
      <w:pPr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EA2869E" w14:textId="77777777" w:rsidR="005100C9" w:rsidRPr="008F5BE5" w:rsidRDefault="005100C9" w:rsidP="005100C9">
      <w:pPr>
        <w:pStyle w:val="Body2"/>
        <w:numPr>
          <w:ilvl w:val="0"/>
          <w:numId w:val="3"/>
        </w:numPr>
        <w:spacing w:after="0"/>
        <w:ind w:left="0" w:firstLine="360"/>
        <w:rPr>
          <w:rFonts w:asciiTheme="minorHAnsi" w:hAnsiTheme="minorHAnsi" w:cstheme="minorHAnsi"/>
          <w:color w:val="auto"/>
          <w:sz w:val="24"/>
          <w:szCs w:val="24"/>
          <w:lang w:val="lt-LT"/>
        </w:rPr>
      </w:pPr>
      <w:r w:rsidRPr="008F5BE5">
        <w:rPr>
          <w:rFonts w:asciiTheme="minorHAnsi" w:hAnsiTheme="minorHAnsi" w:cstheme="minorHAnsi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S=T1+T2+T3.</w:t>
      </w:r>
    </w:p>
    <w:p w14:paraId="4D7D48F6" w14:textId="77777777" w:rsidR="005C54A4" w:rsidRPr="008F5BE5" w:rsidRDefault="005C54A4">
      <w:pPr>
        <w:rPr>
          <w:rFonts w:cstheme="minorHAnsi"/>
        </w:rPr>
      </w:pPr>
    </w:p>
    <w:sectPr w:rsidR="005C54A4" w:rsidRPr="008F5BE5" w:rsidSect="00A10C57">
      <w:headerReference w:type="default" r:id="rId8"/>
      <w:footerReference w:type="default" r:id="rId9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0770" w16cex:dateUtc="2023-01-20T10:28:00Z"/>
  <w16cex:commentExtensible w16cex:durableId="2775068B" w16cex:dateUtc="2023-01-20T10:24:00Z"/>
  <w16cex:commentExtensible w16cex:durableId="277506B3" w16cex:dateUtc="2023-01-20T10:25:00Z"/>
  <w16cex:commentExtensible w16cex:durableId="277506E2" w16cex:dateUtc="2023-01-20T10:26:00Z"/>
  <w16cex:commentExtensible w16cex:durableId="27750729" w16cex:dateUtc="2023-01-20T10:27:00Z"/>
  <w16cex:commentExtensible w16cex:durableId="2775077F" w16cex:dateUtc="2023-01-20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4EE2" w14:textId="77777777" w:rsidR="002E5343" w:rsidRDefault="002E5343" w:rsidP="00312E3D">
      <w:pPr>
        <w:spacing w:after="0" w:line="240" w:lineRule="auto"/>
      </w:pPr>
      <w:r>
        <w:separator/>
      </w:r>
    </w:p>
  </w:endnote>
  <w:endnote w:type="continuationSeparator" w:id="0">
    <w:p w14:paraId="36E88818" w14:textId="77777777" w:rsidR="002E5343" w:rsidRDefault="002E5343" w:rsidP="0031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7239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AE06DAE" w14:textId="105F6C3F" w:rsidR="004022CC" w:rsidRPr="004022CC" w:rsidRDefault="004022CC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4022CC">
          <w:rPr>
            <w:rFonts w:ascii="Times New Roman" w:hAnsi="Times New Roman" w:cs="Times New Roman"/>
            <w:sz w:val="20"/>
          </w:rPr>
          <w:fldChar w:fldCharType="begin"/>
        </w:r>
        <w:r w:rsidRPr="004022CC">
          <w:rPr>
            <w:rFonts w:ascii="Times New Roman" w:hAnsi="Times New Roman" w:cs="Times New Roman"/>
            <w:sz w:val="20"/>
          </w:rPr>
          <w:instrText>PAGE   \* MERGEFORMAT</w:instrText>
        </w:r>
        <w:r w:rsidRPr="004022CC">
          <w:rPr>
            <w:rFonts w:ascii="Times New Roman" w:hAnsi="Times New Roman" w:cs="Times New Roman"/>
            <w:sz w:val="20"/>
          </w:rPr>
          <w:fldChar w:fldCharType="separate"/>
        </w:r>
        <w:r w:rsidRPr="004022CC">
          <w:rPr>
            <w:rFonts w:ascii="Times New Roman" w:hAnsi="Times New Roman" w:cs="Times New Roman"/>
            <w:sz w:val="20"/>
          </w:rPr>
          <w:t>2</w:t>
        </w:r>
        <w:r w:rsidRPr="004022C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4EBCFF2" w14:textId="77777777" w:rsidR="004022CC" w:rsidRDefault="0040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3A9F" w14:textId="77777777" w:rsidR="002E5343" w:rsidRDefault="002E5343" w:rsidP="00312E3D">
      <w:pPr>
        <w:spacing w:after="0" w:line="240" w:lineRule="auto"/>
      </w:pPr>
      <w:r>
        <w:separator/>
      </w:r>
    </w:p>
  </w:footnote>
  <w:footnote w:type="continuationSeparator" w:id="0">
    <w:p w14:paraId="57F5BEFE" w14:textId="77777777" w:rsidR="002E5343" w:rsidRDefault="002E5343" w:rsidP="00312E3D">
      <w:pPr>
        <w:spacing w:after="0" w:line="240" w:lineRule="auto"/>
      </w:pPr>
      <w:r>
        <w:continuationSeparator/>
      </w:r>
    </w:p>
  </w:footnote>
  <w:footnote w:id="1">
    <w:p w14:paraId="1825C082" w14:textId="07366345" w:rsidR="00D44297" w:rsidRDefault="00D442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2A13">
        <w:rPr>
          <w:rFonts w:asciiTheme="majorHAnsi" w:hAnsiTheme="majorHAnsi" w:cstheme="majorHAnsi"/>
        </w:rPr>
        <w:t xml:space="preserve">Patirtis, profesinė veikla vertinama pagal tiekėjo siūlomo eksperto pateiktą gyvenimo aprašymą (pageidautina – </w:t>
      </w:r>
      <w:hyperlink r:id="rId1" w:history="1">
        <w:r w:rsidRPr="00322A13">
          <w:rPr>
            <w:rStyle w:val="Hyperlink"/>
            <w:rFonts w:asciiTheme="majorHAnsi" w:hAnsiTheme="majorHAnsi" w:cstheme="majorHAnsi"/>
          </w:rPr>
          <w:t>EUROPASS</w:t>
        </w:r>
      </w:hyperlink>
      <w:r w:rsidRPr="00322A13">
        <w:rPr>
          <w:rFonts w:asciiTheme="majorHAnsi" w:hAnsiTheme="majorHAnsi" w:cstheme="majorHAnsi"/>
        </w:rPr>
        <w:t xml:space="preserve"> CV), kuriame turi būti aiškiai nurodyta informacija apie reikalaujamą patirtį pagal T1, T2, T3 kriterijaus reikalavimus</w:t>
      </w:r>
    </w:p>
  </w:footnote>
  <w:footnote w:id="2">
    <w:p w14:paraId="30E897B1" w14:textId="77777777" w:rsidR="00D44297" w:rsidRDefault="00D44297" w:rsidP="00D44297">
      <w:pPr>
        <w:pStyle w:val="FootnoteText"/>
      </w:pPr>
      <w:r>
        <w:rPr>
          <w:rStyle w:val="FootnoteReference"/>
        </w:rPr>
        <w:footnoteRef/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pvz., profesinė mokykla, ekspertinė institucija kuri, teikia Vyriausybei informaciją, reikalingą viešosios politikos sprendimams priimti; švietimo pagalbos įstaiga, kuri teikia ekspertinę pagalbą švietimo teikėjams ir įgyvendina valstybinę profesinio mokymo ir mokymosi visą gyvenimą sistemų plėtros politiką; institucijoje, kurios veikla glaudžiai susijusi su profesinio mokymo ir darbdavių bendradarbiavimu ir pan.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F52A" w14:textId="131B2E8B" w:rsidR="00A10C57" w:rsidRPr="00A10C57" w:rsidRDefault="00A10C57" w:rsidP="00A10C57">
    <w:pPr>
      <w:jc w:val="right"/>
      <w:rPr>
        <w:rFonts w:ascii="Times New Roman" w:hAnsi="Times New Roman" w:cs="Times New Roman"/>
        <w:b/>
      </w:rPr>
    </w:pPr>
    <w:r w:rsidRPr="00A10C57">
      <w:rPr>
        <w:rFonts w:ascii="Times New Roman" w:hAnsi="Times New Roman" w:cs="Times New Roman"/>
      </w:rPr>
      <w:t xml:space="preserve"> </w:t>
    </w:r>
    <w:r w:rsidRPr="00A10C57">
      <w:rPr>
        <w:rFonts w:ascii="Times New Roman" w:hAnsi="Times New Roman" w:cs="Times New Roman"/>
        <w:noProof/>
        <w:lang w:eastAsia="lt-LT"/>
      </w:rPr>
      <w:t xml:space="preserve">                                      </w:t>
    </w:r>
    <w:r w:rsidR="005C6EC9">
      <w:rPr>
        <w:rFonts w:ascii="Times New Roman" w:hAnsi="Times New Roman" w:cs="Times New Roman"/>
        <w:noProof/>
        <w:lang w:eastAsia="lt-LT"/>
      </w:rPr>
      <w:t>4</w:t>
    </w:r>
    <w:r w:rsidRPr="00A10C57">
      <w:rPr>
        <w:rFonts w:ascii="Times New Roman" w:hAnsi="Times New Roman" w:cs="Times New Roman"/>
        <w:b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58D"/>
    <w:multiLevelType w:val="hybridMultilevel"/>
    <w:tmpl w:val="F528C592"/>
    <w:lvl w:ilvl="0" w:tplc="A494381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F34268"/>
    <w:multiLevelType w:val="hybridMultilevel"/>
    <w:tmpl w:val="4E56AFBA"/>
    <w:lvl w:ilvl="0" w:tplc="0E1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898"/>
    <w:multiLevelType w:val="hybridMultilevel"/>
    <w:tmpl w:val="369E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43027"/>
    <w:multiLevelType w:val="hybridMultilevel"/>
    <w:tmpl w:val="4E56AFBA"/>
    <w:lvl w:ilvl="0" w:tplc="0E1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6"/>
    <w:rsid w:val="0002651B"/>
    <w:rsid w:val="00027F61"/>
    <w:rsid w:val="00045099"/>
    <w:rsid w:val="00072203"/>
    <w:rsid w:val="000F60FD"/>
    <w:rsid w:val="00122820"/>
    <w:rsid w:val="00122B8E"/>
    <w:rsid w:val="00127730"/>
    <w:rsid w:val="00137637"/>
    <w:rsid w:val="001400D9"/>
    <w:rsid w:val="00141DEF"/>
    <w:rsid w:val="00171209"/>
    <w:rsid w:val="00184477"/>
    <w:rsid w:val="00197BC8"/>
    <w:rsid w:val="001C6297"/>
    <w:rsid w:val="00205503"/>
    <w:rsid w:val="00260783"/>
    <w:rsid w:val="002708AE"/>
    <w:rsid w:val="002A085D"/>
    <w:rsid w:val="002D69B9"/>
    <w:rsid w:val="002D7BAB"/>
    <w:rsid w:val="002E5343"/>
    <w:rsid w:val="002E6438"/>
    <w:rsid w:val="002F74A7"/>
    <w:rsid w:val="00304044"/>
    <w:rsid w:val="00312E3D"/>
    <w:rsid w:val="00351B41"/>
    <w:rsid w:val="00371087"/>
    <w:rsid w:val="00372EFB"/>
    <w:rsid w:val="00390A9D"/>
    <w:rsid w:val="00397243"/>
    <w:rsid w:val="003A5F22"/>
    <w:rsid w:val="004022CC"/>
    <w:rsid w:val="004060B2"/>
    <w:rsid w:val="00424D7D"/>
    <w:rsid w:val="004401FE"/>
    <w:rsid w:val="0044188D"/>
    <w:rsid w:val="004D290F"/>
    <w:rsid w:val="004F22DC"/>
    <w:rsid w:val="005100C9"/>
    <w:rsid w:val="00517DF4"/>
    <w:rsid w:val="005247C6"/>
    <w:rsid w:val="00567CF0"/>
    <w:rsid w:val="00582D77"/>
    <w:rsid w:val="005C54A4"/>
    <w:rsid w:val="005C6EC9"/>
    <w:rsid w:val="005D57B3"/>
    <w:rsid w:val="005D7FFA"/>
    <w:rsid w:val="00631329"/>
    <w:rsid w:val="00643F7C"/>
    <w:rsid w:val="00646E56"/>
    <w:rsid w:val="006659B7"/>
    <w:rsid w:val="006A01E2"/>
    <w:rsid w:val="006C70BE"/>
    <w:rsid w:val="006F6762"/>
    <w:rsid w:val="00700455"/>
    <w:rsid w:val="00746583"/>
    <w:rsid w:val="007528E1"/>
    <w:rsid w:val="00752D30"/>
    <w:rsid w:val="007632F9"/>
    <w:rsid w:val="0077029C"/>
    <w:rsid w:val="007D644A"/>
    <w:rsid w:val="007F09C1"/>
    <w:rsid w:val="008107A5"/>
    <w:rsid w:val="008277A6"/>
    <w:rsid w:val="00834B50"/>
    <w:rsid w:val="008403A7"/>
    <w:rsid w:val="00856A2D"/>
    <w:rsid w:val="00865D75"/>
    <w:rsid w:val="008B7F5C"/>
    <w:rsid w:val="008F5BE5"/>
    <w:rsid w:val="009049DE"/>
    <w:rsid w:val="009143E3"/>
    <w:rsid w:val="00943AD9"/>
    <w:rsid w:val="00951919"/>
    <w:rsid w:val="0095415C"/>
    <w:rsid w:val="009557CA"/>
    <w:rsid w:val="00955CDF"/>
    <w:rsid w:val="009811E7"/>
    <w:rsid w:val="009906CC"/>
    <w:rsid w:val="009C469F"/>
    <w:rsid w:val="009E40B6"/>
    <w:rsid w:val="009E724E"/>
    <w:rsid w:val="009F3DFF"/>
    <w:rsid w:val="00A10C57"/>
    <w:rsid w:val="00A23A01"/>
    <w:rsid w:val="00A35431"/>
    <w:rsid w:val="00A40A15"/>
    <w:rsid w:val="00A53DC6"/>
    <w:rsid w:val="00A56D6F"/>
    <w:rsid w:val="00AB5F7E"/>
    <w:rsid w:val="00AC1485"/>
    <w:rsid w:val="00AD7C52"/>
    <w:rsid w:val="00AE0E19"/>
    <w:rsid w:val="00B1178F"/>
    <w:rsid w:val="00B20FEC"/>
    <w:rsid w:val="00B60028"/>
    <w:rsid w:val="00B75EA6"/>
    <w:rsid w:val="00B84028"/>
    <w:rsid w:val="00BB2119"/>
    <w:rsid w:val="00BB5A3F"/>
    <w:rsid w:val="00BD252C"/>
    <w:rsid w:val="00BF28C1"/>
    <w:rsid w:val="00C165BD"/>
    <w:rsid w:val="00C51DD8"/>
    <w:rsid w:val="00CB7D88"/>
    <w:rsid w:val="00CE057C"/>
    <w:rsid w:val="00D2461E"/>
    <w:rsid w:val="00D44297"/>
    <w:rsid w:val="00D55D00"/>
    <w:rsid w:val="00D74B44"/>
    <w:rsid w:val="00E0365E"/>
    <w:rsid w:val="00E94C59"/>
    <w:rsid w:val="00ED0278"/>
    <w:rsid w:val="00F02803"/>
    <w:rsid w:val="00F07428"/>
    <w:rsid w:val="00F844FC"/>
    <w:rsid w:val="00F84AC1"/>
    <w:rsid w:val="00F91668"/>
    <w:rsid w:val="00FB154B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197B"/>
  <w15:chartTrackingRefBased/>
  <w15:docId w15:val="{E64DA696-2BF8-4BA9-A167-EDF0002F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58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6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583"/>
    <w:rPr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7465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2">
    <w:name w:val="Body 2"/>
    <w:rsid w:val="007465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table" w:customStyle="1" w:styleId="Lentelstinklelis1">
    <w:name w:val="Lentelės tinklelis1"/>
    <w:basedOn w:val="TableNormal"/>
    <w:next w:val="TableGrid"/>
    <w:uiPriority w:val="39"/>
    <w:rsid w:val="00746583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83"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44"/>
    <w:rPr>
      <w:b/>
      <w:bCs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9811E7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9811E7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9811E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20FEC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E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E3D"/>
    <w:rPr>
      <w:sz w:val="20"/>
      <w:szCs w:val="20"/>
      <w:lang w:val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E3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712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57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A10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57"/>
    <w:rPr>
      <w:lang w:val="lt-LT"/>
    </w:rPr>
  </w:style>
  <w:style w:type="paragraph" w:styleId="Revision">
    <w:name w:val="Revision"/>
    <w:hidden/>
    <w:uiPriority w:val="99"/>
    <w:semiHidden/>
    <w:rsid w:val="00F07428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CB7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.eu/europass/eportfolio/screen/cv-editor?lang=lt&amp;previous=https:%2F%2Feuropa.eu%2Feuropass%2F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C7C9-8E32-48AF-A179-1071838D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2810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Valerijus Kirilovas</cp:lastModifiedBy>
  <cp:revision>18</cp:revision>
  <dcterms:created xsi:type="dcterms:W3CDTF">2024-12-17T07:02:00Z</dcterms:created>
  <dcterms:modified xsi:type="dcterms:W3CDTF">2025-07-08T06:34:00Z</dcterms:modified>
</cp:coreProperties>
</file>