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5394" w14:textId="4AB083C6" w:rsidR="00E95F76" w:rsidRPr="00036ACC" w:rsidRDefault="00036ACC" w:rsidP="00036ACC">
      <w:pPr>
        <w:tabs>
          <w:tab w:val="left" w:pos="2100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6ACC">
        <w:rPr>
          <w:rFonts w:ascii="Times New Roman" w:hAnsi="Times New Roman" w:cs="Times New Roman"/>
          <w:b/>
          <w:bCs/>
          <w:sz w:val="24"/>
          <w:szCs w:val="24"/>
        </w:rPr>
        <w:t>TECHNINĖ SPECIFIKACIJA (PROJEKTAS)</w:t>
      </w:r>
    </w:p>
    <w:p w14:paraId="2329AF14" w14:textId="77777777" w:rsidR="006D669C" w:rsidRPr="006D669C" w:rsidRDefault="006D669C" w:rsidP="006D669C">
      <w:pPr>
        <w:tabs>
          <w:tab w:val="left" w:pos="2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ED48D" w14:textId="7953612E" w:rsidR="00220B30" w:rsidRPr="00422D3F" w:rsidRDefault="00220B30" w:rsidP="00220B30">
      <w:pPr>
        <w:numPr>
          <w:ilvl w:val="0"/>
          <w:numId w:val="2"/>
        </w:numPr>
        <w:tabs>
          <w:tab w:val="left" w:pos="2100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3F">
        <w:rPr>
          <w:rFonts w:ascii="Times New Roman" w:hAnsi="Times New Roman" w:cs="Times New Roman"/>
          <w:b/>
          <w:sz w:val="24"/>
          <w:szCs w:val="24"/>
        </w:rPr>
        <w:t>Odontologinė įranga</w:t>
      </w:r>
      <w:r w:rsidR="006D6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C7">
        <w:rPr>
          <w:rFonts w:ascii="Times New Roman" w:hAnsi="Times New Roman" w:cs="Times New Roman"/>
          <w:b/>
          <w:sz w:val="24"/>
          <w:szCs w:val="24"/>
        </w:rPr>
        <w:t>–</w:t>
      </w:r>
      <w:r w:rsidR="006D6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FBF">
        <w:rPr>
          <w:rFonts w:ascii="Times New Roman" w:hAnsi="Times New Roman" w:cs="Times New Roman"/>
          <w:b/>
          <w:sz w:val="24"/>
          <w:szCs w:val="24"/>
        </w:rPr>
        <w:t>6</w:t>
      </w:r>
      <w:r w:rsidR="005F1743">
        <w:rPr>
          <w:rFonts w:ascii="Times New Roman" w:hAnsi="Times New Roman" w:cs="Times New Roman"/>
          <w:b/>
          <w:sz w:val="24"/>
          <w:szCs w:val="24"/>
        </w:rPr>
        <w:t>vnt.</w:t>
      </w:r>
    </w:p>
    <w:p w14:paraId="10CE570E" w14:textId="77777777" w:rsidR="00220B30" w:rsidRPr="00422D3F" w:rsidRDefault="00220B30" w:rsidP="00220B30">
      <w:pPr>
        <w:tabs>
          <w:tab w:val="left" w:pos="2100"/>
        </w:tabs>
        <w:spacing w:after="0" w:line="240" w:lineRule="auto"/>
        <w:ind w:left="16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4108"/>
        <w:gridCol w:w="2977"/>
      </w:tblGrid>
      <w:tr w:rsidR="00220B30" w:rsidRPr="00422D3F" w14:paraId="751DAD07" w14:textId="77777777" w:rsidTr="00D75338">
        <w:trPr>
          <w:trHeight w:val="594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6EE6B4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13978A85" w14:textId="57671DD3" w:rsidR="00220B30" w:rsidRPr="00422D3F" w:rsidRDefault="004457EB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37A9DB78" w14:textId="2CCCAA49" w:rsidR="00220B30" w:rsidRPr="00422D3F" w:rsidRDefault="004457EB" w:rsidP="00445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03F8A6A5" w14:textId="27AA55A3" w:rsidR="00220B30" w:rsidRPr="00422D3F" w:rsidRDefault="00FD587E" w:rsidP="00D753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Reikalavimų atitikimas</w:t>
            </w:r>
            <w:r w:rsidRPr="00FD5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D75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tiksli pasiūlymo nuoroda)</w:t>
            </w:r>
          </w:p>
        </w:tc>
      </w:tr>
      <w:tr w:rsidR="00220B30" w:rsidRPr="00422D3F" w14:paraId="75C35BED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E83E26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904806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Odontologinio įrenginio komplektas:</w:t>
            </w:r>
          </w:p>
          <w:p w14:paraId="5E28158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2CDAB23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Paciento kėdė – 1 vnt.</w:t>
            </w:r>
          </w:p>
          <w:p w14:paraId="672B3D2C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Gydytojo elementas – 1 vnt.</w:t>
            </w:r>
          </w:p>
          <w:p w14:paraId="00D6AA90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Asistento elementas –1 vnt.</w:t>
            </w:r>
          </w:p>
          <w:p w14:paraId="465A072A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Trijų funkcijų švirkštas – 1 vnt.</w:t>
            </w:r>
          </w:p>
          <w:p w14:paraId="06D1C096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>Daugiafunkcinis valdymo pedalas su laidu paciento kėdeje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vnt.</w:t>
            </w:r>
          </w:p>
          <w:p w14:paraId="37D5EFC4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Mechaninis galvos atlošas – 1 vnt.</w:t>
            </w:r>
          </w:p>
          <w:p w14:paraId="255C11AA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Separatorius – 1 vnt.</w:t>
            </w:r>
          </w:p>
          <w:p w14:paraId="581E69F8" w14:textId="79D77169" w:rsidR="00220B30" w:rsidRPr="00422D3F" w:rsidRDefault="00A97397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Kompaktiškas vandens blokas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–1 vnt.</w:t>
            </w:r>
          </w:p>
          <w:p w14:paraId="21D42650" w14:textId="7AD954CF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Operacinis šviestuvas su stovu – 1</w:t>
            </w:r>
            <w:r w:rsidR="00AC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  <w:p w14:paraId="62CE8F05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Turbina – 1 vnt.</w:t>
            </w:r>
          </w:p>
          <w:p w14:paraId="2951A95B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Universali jungtis Nr.1 – 1 vnt.</w:t>
            </w:r>
          </w:p>
          <w:p w14:paraId="3CDAC92C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Integruota atminties kortelė – </w:t>
            </w:r>
          </w:p>
          <w:p w14:paraId="306470E8" w14:textId="77777777" w:rsidR="00220B30" w:rsidRPr="00422D3F" w:rsidRDefault="00220B30" w:rsidP="00220B3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  <w:p w14:paraId="1454A5B5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Polimerizacijos lempa – 1 vnt.</w:t>
            </w:r>
          </w:p>
          <w:p w14:paraId="0E65BFD0" w14:textId="4D5CD444" w:rsidR="00220B30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Ultragarsinis </w:t>
            </w:r>
            <w:proofErr w:type="spellStart"/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skaleris</w:t>
            </w:r>
            <w:proofErr w:type="spellEnd"/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– 1 vnt.</w:t>
            </w:r>
          </w:p>
          <w:p w14:paraId="7D48137C" w14:textId="77FCF8DB" w:rsidR="008A34D1" w:rsidRPr="00422D3F" w:rsidRDefault="008A34D1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mikrovariklis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-1vnt.</w:t>
            </w:r>
          </w:p>
          <w:p w14:paraId="6A65C6A6" w14:textId="77777777" w:rsidR="00220B30" w:rsidRPr="00422D3F" w:rsidRDefault="00220B30" w:rsidP="00220B3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Odontologo kėdutė – 2 vnt.</w:t>
            </w:r>
          </w:p>
          <w:p w14:paraId="5D82ACF0" w14:textId="77777777" w:rsidR="00220B30" w:rsidRPr="00422D3F" w:rsidRDefault="00220B30" w:rsidP="0020489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9315CD5" w14:textId="251D0911" w:rsidR="00220B30" w:rsidRPr="00422D3F" w:rsidRDefault="00220B30" w:rsidP="00220B3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042F47D7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AA795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F2F77" w14:textId="77777777" w:rsidR="00220B30" w:rsidRPr="00422D3F" w:rsidRDefault="00220B30" w:rsidP="00220B3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Paciento kėdė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CCCF0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B30" w:rsidRPr="00422D3F" w14:paraId="694E36E8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E3C618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1. 1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34908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85883B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Kėdės maitinimas kintamo įtampos tinklo turi būti 220-230V; 50-60 Hz</w:t>
            </w:r>
          </w:p>
          <w:p w14:paraId="18C80E7C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Kėdė turi būti montuojama dirbti kairiarankiams arba dešiniarankiams.</w:t>
            </w:r>
          </w:p>
          <w:p w14:paraId="4DE076B9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Įranga turi būti tvirtinama prie grindų. </w:t>
            </w:r>
            <w:r w:rsidRPr="00D748C2">
              <w:rPr>
                <w:rFonts w:ascii="Times New Roman" w:hAnsi="Times New Roman" w:cs="Times New Roman"/>
                <w:sz w:val="24"/>
                <w:szCs w:val="24"/>
              </w:rPr>
              <w:t>Kėdė turi būti elektromechaninė, valdoma 2 nepriklausomais elektriniais varikliais.</w:t>
            </w:r>
          </w:p>
          <w:p w14:paraId="37378295" w14:textId="1358F098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Kėlimo galia turi būti ne mažesnė nei  185 kg. Pakėlimo aukščio reguliavimas turi būti ne siauresnis nei nuo 3</w:t>
            </w:r>
            <w:r w:rsidR="008576FB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 iki 8</w:t>
            </w:r>
            <w:r w:rsidR="008576FB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cm, matuojant nuo grindų. Vandens blokas neturi judėti kartu su paciento kėde.</w:t>
            </w:r>
          </w:p>
          <w:p w14:paraId="67994CC4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Atlošo pasvirimo reguliavimo diapazonas turi būti nuo 1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-70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kai atlošo vertikalė yra nulinis laipsnis.</w:t>
            </w:r>
          </w:p>
          <w:p w14:paraId="7F22F5B5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Paciento sėdynės pakėlimas turi būti reguliuojamas rankiniu būdu ne mažiau nei 4 skirtingomis  pozicijomis, gydant skirtingo ūgio pacientus. </w:t>
            </w:r>
          </w:p>
          <w:p w14:paraId="7B392047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Paciento sėdynė turi sinchroniškai kartu judėti su kėdės atlošu.</w:t>
            </w:r>
          </w:p>
          <w:p w14:paraId="599849FD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sumontuoti kairysis ir dešinysis porankiai, turi būti pakeliami, kad pacientui būtų lengviau atsisėsti ir atsistoti nuo kėdės.</w:t>
            </w:r>
          </w:p>
          <w:p w14:paraId="425B550A" w14:textId="3DFF81E3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būti </w:t>
            </w:r>
            <w:r w:rsidR="00D748C2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5FBF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programuojamos ir  ne mažiau nei 2 (pradinė padėtis; skalavimo padėtis) nustatytos krėslo padėtys.</w:t>
            </w:r>
          </w:p>
          <w:p w14:paraId="44DA2A36" w14:textId="57C07C24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Paciento kėdės apmušalas turi būti dirbtinės odos ar lygiavertės</w:t>
            </w:r>
            <w:r w:rsidRPr="00D748C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>,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minkštas, besiūlis, siūlomų apmušalų spalvų paletė turi būti ne mažesnė nei 1</w:t>
            </w:r>
            <w:r w:rsidR="00DB5899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spalvų, iš kurių perkančioji organizacija išsirinks 1-2.</w:t>
            </w:r>
          </w:p>
          <w:p w14:paraId="0C64036E" w14:textId="77777777" w:rsidR="006374B9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galimybė prijungti paciento kėdę nekeičiant egzistuojančių esančių inžinierinių mazgų padėties, esamo galvos atlošo krypties ir išlaikyti panašius atstumus (500 mm) nuo esamų darbo vietų</w:t>
            </w:r>
            <w:r w:rsidR="00B6036A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bazėje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0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EF089C" w14:textId="05AB50E3" w:rsidR="00220B30" w:rsidRPr="006374B9" w:rsidRDefault="00333504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906FBD" w:rsidRPr="0075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ėdės tvirtinim</w:t>
            </w:r>
            <w:r w:rsidR="006374B9" w:rsidRPr="0075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prie grindų taškai turi atitikti 4 esamus taškus. Naujų tvirtinimo taškų nenumatoma, kad nebūtų pažeistos grindų konstrukcijoje esančios inžinerinės sistemos.</w:t>
            </w:r>
            <w:r w:rsidR="0063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9EBF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030686E2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9D4A81" w14:textId="47E37409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402A1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Gydytojo elementas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C0F5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B30" w:rsidRPr="00422D3F" w14:paraId="7B94D94B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137A3" w14:textId="7572D9ED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0302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3FAAC" w14:textId="1359D689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judėti, užtikrinant mechanizmui padidintą pasukimo diapazoną.</w:t>
            </w:r>
            <w:r w:rsidR="00CD2AE0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Reguliuojamas aukštis turi būti nustatomas bet kokioje pozicijoje. </w:t>
            </w:r>
          </w:p>
          <w:p w14:paraId="2AE45C4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galimybė pajungti ne mažiau 5 instrumentus iš viršaus.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B591DA" w14:textId="48E4FA0E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Instrumento pajungimo vamzdis turi eiti per rankovę/alkūnę. Gydytojo elemento  aukštis su instrumento alkūne turi būti ne daugiau kaip 50 cm.,  antgalio vamzdžio ilgis turi būti ne mažiau nei 90</w:t>
            </w:r>
            <w:r w:rsidR="00CD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cm. </w:t>
            </w:r>
          </w:p>
          <w:p w14:paraId="71A906B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Turi būti integruota variklio kontrolė apsisukimų skaičius  nuo 100 iki 40.000 aps./min </w:t>
            </w:r>
          </w:p>
          <w:p w14:paraId="7C726FC1" w14:textId="25E2E093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Valdymo blokas -  multifunkcinis </w:t>
            </w:r>
            <w:r w:rsidRPr="00D74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kontrolinis elementas su LED ekranu, membraninis arba jutiklinis valdymas, tačiau tik toks, kuriam esant nereikia išjungti kėdės, kad būtų galima nuvalyti ir dezinfekuoti valdymo bloką;  vienas mygtuko paspaudimas turi atlikti vieną funkciją.</w:t>
            </w:r>
            <w:r w:rsidR="004541A5" w:rsidRPr="00D74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Ekranas turi rodyti apsukų greitį</w:t>
            </w:r>
            <w:r w:rsidR="003D0DFA" w:rsidRPr="00D74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laiką, laikmatį bei higienos funkcijas.</w:t>
            </w:r>
          </w:p>
          <w:p w14:paraId="4D36313B" w14:textId="51467EEE" w:rsidR="00220B30" w:rsidRPr="00422D3F" w:rsidRDefault="007630C5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 bloke t</w:t>
            </w:r>
            <w:r w:rsidR="00220B30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 būti</w:t>
            </w:r>
            <w:r w:rsidR="00220B30" w:rsidRPr="00763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apšvietimo,</w:t>
            </w:r>
            <w:r w:rsidR="00220B30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vandens į instrumentus, stiklinės pripildymas vandeniu, spjaudyklės apiplovimo valdymas.</w:t>
            </w:r>
          </w:p>
          <w:p w14:paraId="330B707D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Gydytojo elementas turi būti montuojamas prie vandens bloko.</w:t>
            </w:r>
          </w:p>
          <w:p w14:paraId="58E72CE5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Rankenos, instrumentų rankovės, gydytojo elemento danga turi būti termodezinfekuojamos. </w:t>
            </w:r>
          </w:p>
          <w:p w14:paraId="37B243F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sumontuotas iš instrumentų šalinamo oro filtras, atgalinio siurbimo vožtuvas.</w:t>
            </w:r>
          </w:p>
          <w:p w14:paraId="4CE5BDA8" w14:textId="4E451666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laikiklis instrumentams,</w:t>
            </w:r>
            <w:r w:rsidR="00DD5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kurį galima pasukti į abi puses,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padėklai su neslystančiu silikoniniu paklotu. </w:t>
            </w:r>
          </w:p>
          <w:p w14:paraId="24A9C3F4" w14:textId="4EA97615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Turi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galimybė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mažiau </w:t>
            </w:r>
            <w:r w:rsidR="006B0638">
              <w:rPr>
                <w:rFonts w:ascii="Times New Roman" w:hAnsi="Times New Roman" w:cs="Times New Roman"/>
                <w:sz w:val="24"/>
                <w:szCs w:val="24"/>
              </w:rPr>
              <w:t>kaip 4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instrumentus u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fiksuoti darbinėje padėtyje. </w:t>
            </w:r>
          </w:p>
          <w:p w14:paraId="1FCF2D07" w14:textId="6D34ACBC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F20A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6250DCFB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113A6" w14:textId="1727B6EE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B957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Asistento elementas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16E4B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3BE0FB43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A69B1" w14:textId="74FC8242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58358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BC8ADB" w14:textId="176271FD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Turi būti su pailginta</w:t>
            </w:r>
            <w:r w:rsidR="002B77E8">
              <w:rPr>
                <w:rFonts w:ascii="Times New Roman" w:hAnsi="Times New Roman" w:cs="Times New Roman"/>
                <w:sz w:val="24"/>
                <w:szCs w:val="24"/>
              </w:rPr>
              <w:t xml:space="preserve"> (netrumpesnė nei 32 cm neilgesnė nei 50 cm)</w:t>
            </w:r>
            <w:r w:rsidR="0091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reguliuojama rankove</w:t>
            </w:r>
            <w:r w:rsidR="00915FBF">
              <w:rPr>
                <w:rFonts w:ascii="Times New Roman" w:hAnsi="Times New Roman" w:cs="Times New Roman"/>
                <w:sz w:val="24"/>
                <w:szCs w:val="24"/>
              </w:rPr>
              <w:t xml:space="preserve"> (kurią galima pasukti nemažesniu nei 2</w:t>
            </w:r>
            <w:r w:rsidR="00915FBF" w:rsidRPr="00915F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15FBF">
              <w:rPr>
                <w:rFonts w:ascii="Times New Roman" w:hAnsi="Times New Roman" w:cs="Times New Roman"/>
                <w:sz w:val="24"/>
                <w:szCs w:val="24"/>
              </w:rPr>
              <w:t xml:space="preserve"> laipsniu kampu</w:t>
            </w:r>
            <w:r w:rsidR="006F0DDD">
              <w:rPr>
                <w:rFonts w:ascii="Times New Roman" w:hAnsi="Times New Roman" w:cs="Times New Roman"/>
                <w:sz w:val="24"/>
                <w:szCs w:val="24"/>
              </w:rPr>
              <w:t xml:space="preserve"> ir reguliuoti aukštį</w:t>
            </w:r>
            <w:r w:rsidR="00915F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ir membraniniu valdymo pultu. </w:t>
            </w:r>
            <w:r w:rsidR="00915FBF">
              <w:rPr>
                <w:rFonts w:ascii="Times New Roman" w:hAnsi="Times New Roman" w:cs="Times New Roman"/>
                <w:sz w:val="24"/>
                <w:szCs w:val="24"/>
              </w:rPr>
              <w:t>Mygtukai turi būti dvigubos paskirties.</w:t>
            </w:r>
          </w:p>
          <w:p w14:paraId="1B855225" w14:textId="195F69F7" w:rsidR="00915FBF" w:rsidRPr="00D748C2" w:rsidRDefault="00220B30" w:rsidP="00915F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Turi būti kėdės padėčių</w:t>
            </w:r>
            <w:r w:rsidR="0091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FBF" w:rsidRP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programuojamos ir  ne mažiau nei 2 (pradinė padėtis; skalavimo padėtis) nustatytos krėslo padėtys</w:t>
            </w:r>
            <w:r w:rsidR="00763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F27BCC5" w14:textId="7C70D90E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apšvietimo, 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stiklinės pripildymas vandeniu, spjaudyklės apiplovimo valdymas.</w:t>
            </w:r>
          </w:p>
          <w:p w14:paraId="52818770" w14:textId="15A236FA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Seilių atsiurbėjas su vakuumo reguliatoriumi, aukšto vakuumo aerozolio ir kietų dalelių atsiurbėju, virš atsiurbėjų turi būti sumontuoti grubaus valymo filtrai, lengvai plaunami ir keičiami.</w:t>
            </w:r>
          </w:p>
          <w:p w14:paraId="4E35C48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Turi būti atgalinio siurbimo vožtuvas,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neleidžiantis vandeniui iš visų darbinių instrumentų nutekėti atgal į odontologinį įrenginį.</w:t>
            </w:r>
          </w:p>
          <w:p w14:paraId="7FC15E02" w14:textId="165BB043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Seilių ir aukšto vakuumo aerozolio atsiurbėjai turi būti pajungti prie tos pačios centralizuotos vakuumo sistemos su integruotu  centrinio tipo separatoriumi, sumontuotame tame pačiame odontologiniame įrenginyje.</w:t>
            </w:r>
          </w:p>
          <w:p w14:paraId="3840734E" w14:textId="10E3163C" w:rsidR="00220B30" w:rsidRPr="00422D3F" w:rsidRDefault="00DB5899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Stiklinė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 ar lygiavertė spjaudyklė turi būti nuimama, termodezinfekuojama.</w:t>
            </w:r>
          </w:p>
          <w:p w14:paraId="1B94457D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Blokas su spjaudykle turi būti pasukamas ne mažesniu 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>nei 250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> kampu.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3A9132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66FF6D8B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419D9" w14:textId="1CC07927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071E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Trijų funkcijų švirkštas gydytojo ir asistento elementuose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D6242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501E95A3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A5917" w14:textId="26B59792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D8C14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7B158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Vanduo, oras, oras vanduo. Turi būti išardomas, kotas ir purškimo kaniulė termodezinfekuojamas.</w:t>
            </w:r>
          </w:p>
          <w:p w14:paraId="6FF6F03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Korpusas turi būti plastikinis</w:t>
            </w:r>
          </w:p>
          <w:p w14:paraId="6F69F24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Vandens slėgis turi būti  ne mažesnis 1,5  ± 0,3 bar</w:t>
            </w:r>
          </w:p>
          <w:p w14:paraId="4E7F68BA" w14:textId="22F2050B" w:rsidR="00220B30" w:rsidRPr="00422D3F" w:rsidRDefault="00220B30" w:rsidP="00220B30">
            <w:pPr>
              <w:tabs>
                <w:tab w:val="left" w:pos="62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Vandens srautas turi būti ne mažesnis nei 80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±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10ml/min.</w:t>
            </w:r>
          </w:p>
          <w:p w14:paraId="08E17B92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Oro slėgis turi būti ne mažesnis nei 3.3±0,1bar</w:t>
            </w:r>
          </w:p>
          <w:p w14:paraId="4C5069D8" w14:textId="6CBA6DAA" w:rsidR="00220B30" w:rsidRPr="00684FEB" w:rsidRDefault="00220B30" w:rsidP="00684F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Oro srautas turi bū</w:t>
            </w:r>
            <w:r w:rsidR="0068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  ne mažesnis nei 16±2NL/min.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F95AD6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1140BB3B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F7C82" w14:textId="38A83641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86F7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Daugiafunkcinis valdymo pedalas su laidu paciento    kėdėje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18820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320C9502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B8FDC" w14:textId="3F40BC42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AEB6E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167BD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būti reostatinis instrumentų valdymas, vandens išjungimas/įjungimas. Apsukų reguliavimas turi būti judinant pedalo svirtį iš kairės į dešinę. Kėdės valdymas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turi būti 4</w:t>
            </w:r>
            <w:r w:rsidRPr="00422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padėčių (kėdės pakėlimas aukštyn, kėdės nuleidimas žemyn, kėdės atlošo nuleidimas žemyn,  kėdės atlošo pakėlimas aukštyn) . Turi būti dubliuota valdymo sistema mygtukų pagalba iš gydytojo ir asistento elemento instrumentų konsolės.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9A506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215AE888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BD29AC" w14:textId="09AF5907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F46AF3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Mechaninis galvos atlošas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B7C05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1815F549" w14:textId="77777777" w:rsidTr="00D75338">
        <w:trPr>
          <w:trHeight w:val="148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9766D9" w14:textId="6DCEEAEE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516A93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257C7" w14:textId="37124B3E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 būti išgaubtas</w:t>
            </w:r>
            <w:r w:rsidR="00835350"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anatomiškai </w:t>
            </w: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dviejų šarnyrų, valdymas mechaninis. Turi būti galimybė atlošą pailginti ne mažiau nei 250</w:t>
            </w:r>
            <w:r w:rsidR="00CD2AE0"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mm, pasvirimo reguliavimo diapozonas ne mažesnis nei 45</w:t>
            </w: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E46F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6B7041AA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6FACCA" w14:textId="41345660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48EDB" w14:textId="55BC8EF5" w:rsidR="00220B30" w:rsidRPr="00422D3F" w:rsidRDefault="00220B30" w:rsidP="00747B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Separatorius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2960B8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4B19F12A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41A42" w14:textId="7E70B150" w:rsidR="00220B30" w:rsidRPr="006E300B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20B30" w:rsidRPr="006E3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0276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B66FF8" w14:textId="3DC5390D" w:rsidR="00220B30" w:rsidRPr="00422D3F" w:rsidRDefault="00747BBD" w:rsidP="00747B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Vandens bloke turi būti sumontuota didelio našumo siurbimo sistema,  leidžianti vienu metu apdoroti oro srautą ne mažiau kaip 350l /1min. ir skysčio kiekį ne mažiau kaip 2l/1min. Dviejų pakopų aspiracijos sistema turi  apsaugoti nuo kraujo putų susidarymo, bei neleisti skysčiams patekti į sauso siurbimo sistemą.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2725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48339C06" w14:textId="77777777" w:rsidTr="006E300B">
        <w:trPr>
          <w:trHeight w:val="53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5A582" w14:textId="309EC75A" w:rsidR="00220B30" w:rsidRPr="006E300B" w:rsidRDefault="005650C7" w:rsidP="00220B30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E30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220B30" w:rsidRPr="006E30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EB507B" w14:textId="2235C253" w:rsidR="00220B30" w:rsidRPr="006E300B" w:rsidRDefault="006E300B" w:rsidP="006E300B">
            <w:pPr>
              <w:pStyle w:val="NormalWeb"/>
              <w:shd w:val="clear" w:color="auto" w:fill="FFFFFF"/>
              <w:rPr>
                <w:b/>
                <w:bCs/>
              </w:rPr>
            </w:pPr>
            <w:r w:rsidRPr="006E300B">
              <w:rPr>
                <w:b/>
                <w:bCs/>
              </w:rPr>
              <w:t xml:space="preserve">Kompaktiškas vandens blokas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B59DF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743B2B93" w14:textId="77777777" w:rsidTr="006E300B">
        <w:trPr>
          <w:trHeight w:val="785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56E1D" w14:textId="37EF9A44" w:rsidR="00220B30" w:rsidRPr="006E300B" w:rsidRDefault="005650C7" w:rsidP="00220B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20B30" w:rsidRPr="006E3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E49DE" w14:textId="77777777" w:rsidR="00220B30" w:rsidRPr="006E300B" w:rsidRDefault="00220B30" w:rsidP="00220B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6BE40C" w14:textId="628D1CDC" w:rsidR="006E300B" w:rsidRPr="006E300B" w:rsidRDefault="006E300B" w:rsidP="006E300B">
            <w:pPr>
              <w:pStyle w:val="NormalWeb"/>
              <w:shd w:val="clear" w:color="auto" w:fill="FFFFFF"/>
              <w:rPr>
                <w:color w:val="000000" w:themeColor="text1"/>
              </w:rPr>
            </w:pPr>
            <w:r w:rsidRPr="00750CA2">
              <w:rPr>
                <w:color w:val="000000" w:themeColor="text1"/>
                <w:lang w:val="pt-BR"/>
              </w:rPr>
              <w:t>Turi b</w:t>
            </w:r>
            <w:proofErr w:type="spellStart"/>
            <w:r>
              <w:rPr>
                <w:color w:val="000000" w:themeColor="text1"/>
              </w:rPr>
              <w:t>ūti</w:t>
            </w:r>
            <w:proofErr w:type="spellEnd"/>
            <w:r w:rsidRPr="006E300B">
              <w:rPr>
                <w:color w:val="000000" w:themeColor="text1"/>
              </w:rPr>
              <w:t xml:space="preserve"> vandens filtr</w:t>
            </w:r>
            <w:r>
              <w:rPr>
                <w:color w:val="000000" w:themeColor="text1"/>
              </w:rPr>
              <w:t>as</w:t>
            </w:r>
            <w:r w:rsidRPr="006E300B">
              <w:rPr>
                <w:color w:val="000000" w:themeColor="text1"/>
              </w:rPr>
              <w:t xml:space="preserve"> ir </w:t>
            </w:r>
            <w:proofErr w:type="spellStart"/>
            <w:r w:rsidRPr="006E300B">
              <w:rPr>
                <w:color w:val="000000" w:themeColor="text1"/>
              </w:rPr>
              <w:t>išjungimo</w:t>
            </w:r>
            <w:proofErr w:type="spellEnd"/>
            <w:r w:rsidRPr="006E300B">
              <w:rPr>
                <w:color w:val="000000" w:themeColor="text1"/>
              </w:rPr>
              <w:t xml:space="preserve"> </w:t>
            </w:r>
            <w:proofErr w:type="spellStart"/>
            <w:r w:rsidRPr="006E300B">
              <w:rPr>
                <w:color w:val="000000" w:themeColor="text1"/>
              </w:rPr>
              <w:t>vožtuv</w:t>
            </w:r>
            <w:r>
              <w:rPr>
                <w:color w:val="000000" w:themeColor="text1"/>
              </w:rPr>
              <w:t>as</w:t>
            </w:r>
            <w:proofErr w:type="spellEnd"/>
            <w:r w:rsidRPr="006E300B">
              <w:rPr>
                <w:color w:val="000000" w:themeColor="text1"/>
              </w:rPr>
              <w:t xml:space="preserve">.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18532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0B4E5FF8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3A4E2" w14:textId="1255A31D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93CF5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Operacinis  LED šviestuvas su stovu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04481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B30" w:rsidRPr="00422D3F" w14:paraId="68EA9A68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456C1" w14:textId="16239DE2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103A6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5F9D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Šviesos intensyvumas turi būti reguliuojamas nuo 3000 iki max 35.000 Lux</w:t>
            </w:r>
          </w:p>
          <w:p w14:paraId="3DBE240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Šviesos t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5000 K</w:t>
            </w:r>
          </w:p>
          <w:p w14:paraId="42796E5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Šviesos srauto reguliavimas turi būti be spalvinės temperatūros pokyčio.</w:t>
            </w:r>
          </w:p>
          <w:p w14:paraId="478C0B1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Apšvietimo plotas ne mažesnis nei 85x170mm. </w:t>
            </w:r>
          </w:p>
          <w:p w14:paraId="6291CC9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Šviesos intensyvumas turi būti reguliuojamas gydytojo elemento valdymo panelėje, taip pat šviestuvo jungtyje.</w:t>
            </w:r>
          </w:p>
          <w:p w14:paraId="0E61A966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tylus darbas (be ventiliatoriaus).</w:t>
            </w:r>
          </w:p>
          <w:p w14:paraId="53AC75E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nuimamos, sterilizuojamos 2 rankenos</w:t>
            </w:r>
          </w:p>
          <w:p w14:paraId="1A344CE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Šviestuvas automatiškai turi išsijungti kėdei judant į pradinę ar skalavimo padėtį.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70AE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B30" w:rsidRPr="00422D3F" w14:paraId="35D4E0A6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27B19" w14:textId="3697F8BD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9367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Turbina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B388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B30" w:rsidRPr="00422D3F" w14:paraId="0301E523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B03F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93F565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39F54B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Kompaktiškas antgalio galvutės korpusas: aukštis 13,1 mm, Ø 12,5 mm</w:t>
            </w:r>
          </w:p>
          <w:p w14:paraId="4883EA4E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Įdiegta tiesioginio grąžto sustojimo technologija</w:t>
            </w:r>
          </w:p>
          <w:p w14:paraId="07C084B0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Ergonomiškas antgalio išlenkimas: 19º ±1º ir 100º±1º</w:t>
            </w:r>
          </w:p>
          <w:p w14:paraId="7FAEF8F3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Tylus, be vibracijos darbas, triukšmas ne didesnis nei 57 dB (A)</w:t>
            </w:r>
          </w:p>
          <w:p w14:paraId="76917823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Galingumas ne mažesnis nei 23 W</w:t>
            </w:r>
          </w:p>
          <w:p w14:paraId="45BACC47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Grąžto griebtuvo laikymo galia ne mažesnė nei 30 N</w:t>
            </w:r>
          </w:p>
          <w:p w14:paraId="2A3B997C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Apsisukimų skaičiaus amplitudė: ne mažiau nei 340000 aps./min. - ne daugiau nei 400000 aps./min</w:t>
            </w:r>
          </w:p>
          <w:p w14:paraId="4B7BEDC8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Integruotas šviesolaidis</w:t>
            </w:r>
          </w:p>
          <w:p w14:paraId="6C5DF349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Keramikiniai guoliai</w:t>
            </w:r>
          </w:p>
          <w:p w14:paraId="6B4B2B5B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Keičiamas vandens mikrofiltras</w:t>
            </w:r>
          </w:p>
          <w:p w14:paraId="3DCB3B5E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Grąžto fiksavimas mygtuku </w:t>
            </w:r>
          </w:p>
          <w:p w14:paraId="38B161FC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Vandens padavimas – aušinimas keturių taškų</w:t>
            </w:r>
          </w:p>
          <w:p w14:paraId="0808DC6A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Plaunamas dezinfekuojančiais tirpalais termodezinfektoriuje ir sterilizuojamas ne mažesnėje nei 135 laipsnių temperatūroje</w:t>
            </w:r>
          </w:p>
          <w:p w14:paraId="56FC7625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Jungiama per greitąją jungtį</w:t>
            </w:r>
          </w:p>
          <w:p w14:paraId="2E4D46A7" w14:textId="77777777" w:rsidR="00220B30" w:rsidRPr="00422D3F" w:rsidRDefault="00220B30" w:rsidP="00220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suderinta su perkama odontologine įranga</w:t>
            </w:r>
          </w:p>
          <w:p w14:paraId="659C4D02" w14:textId="0B2AA5DE" w:rsidR="00220B30" w:rsidRPr="00422D3F" w:rsidRDefault="00220B30" w:rsidP="00684F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Gamintojo ne trumpesnė nei 24 mėn. </w:t>
            </w:r>
            <w:r w:rsidR="00CD4F37" w:rsidRPr="00422D3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arantija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43257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B30" w:rsidRPr="00422D3F" w14:paraId="5F3DC826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01015" w14:textId="29FE9717" w:rsidR="00220B30" w:rsidRPr="00422D3F" w:rsidRDefault="00220B30" w:rsidP="005650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5E17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Universali jungtis Nr. 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6F83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B30" w:rsidRPr="00422D3F" w14:paraId="756C30B9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4360A" w14:textId="729BFB5A" w:rsidR="00220B30" w:rsidRPr="00422D3F" w:rsidRDefault="00220B30" w:rsidP="005650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0A0E7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DA26E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 4-skylių standartine jungtimi</w:t>
            </w:r>
          </w:p>
          <w:p w14:paraId="36142C5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būti sukamasis žiedas su purškimo reguliavimu ir padėčių fiksavimu, turi turėti  galimybę  prijungti turbiną ir kitus instrumentus. </w:t>
            </w:r>
          </w:p>
          <w:p w14:paraId="3EF4C73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atgalinio siurbimo vožtuvas;</w:t>
            </w:r>
          </w:p>
          <w:p w14:paraId="4F8B4DC4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LED šviesos šaltinis turi būti  jungtyje. </w:t>
            </w:r>
          </w:p>
          <w:p w14:paraId="2E33284E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suderinta su perkama odontologine įranga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DF27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7C3C0155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61388" w14:textId="48A4CED7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7818A7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USB jungtis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56AD1D" w14:textId="77777777" w:rsidR="00220B30" w:rsidRPr="00182FEB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20B30" w:rsidRPr="00422D3F" w14:paraId="2F05F76B" w14:textId="77777777" w:rsidTr="00D75338">
        <w:trPr>
          <w:trHeight w:val="929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C04E1" w14:textId="139D5490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3EDE6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6A794E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USB jungtis turi būti gydytojo elemente.</w:t>
            </w:r>
            <w:r w:rsidRPr="00D748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Jungtis išorinių įrenginių prijungimui ir duomenų įrašymui.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C7CA0" w14:textId="77777777" w:rsidR="00220B30" w:rsidRPr="00182FEB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0B30" w:rsidRPr="00422D3F" w14:paraId="1E43DAD9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F18FED" w14:textId="46B3D60E" w:rsidR="00220B30" w:rsidRPr="00422D3F" w:rsidRDefault="00220B30" w:rsidP="005650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B3895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Integruota  atminties kortelė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26A2E5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10915917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F7E64" w14:textId="19AA068C" w:rsidR="00220B30" w:rsidRPr="00422D3F" w:rsidRDefault="00220B30" w:rsidP="005650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1087B6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333299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Integruota SD kortelė skirta greitam programinės įrangos atnaujinimui. 1Gb arba lygiavertė atminties kortelė.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8FD7D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30" w:rsidRPr="00422D3F" w14:paraId="4096A383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D5BB43" w14:textId="58752F63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DBEF3" w14:textId="77777777" w:rsidR="00220B30" w:rsidRPr="00D748C2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8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Polimerizacijos lempa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3404E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B30" w:rsidRPr="00422D3F" w14:paraId="20FF6A4B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BB4C0" w14:textId="1B2DD063" w:rsidR="00220B30" w:rsidRPr="00422D3F" w:rsidRDefault="005650C7" w:rsidP="00220B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2139F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7ADEE" w14:textId="54EC7580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Galingumas turi būti ne mažesnis nei </w:t>
            </w:r>
            <w:r w:rsidR="0048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  <w:r w:rsidR="00CD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mW/cm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3EB83DE8" w14:textId="435170A1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Bangos ilgis būti ne mažesnis nei 4</w:t>
            </w:r>
            <w:r w:rsidR="0048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D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nm.</w:t>
            </w:r>
          </w:p>
          <w:p w14:paraId="3D2BBAD6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ne mažiau 3 programų</w:t>
            </w:r>
          </w:p>
          <w:p w14:paraId="51AB658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sterilizuojamas stiklinis šviesolaidis ne mažesnėje nei 360ºC temperatūroje.</w:t>
            </w:r>
          </w:p>
          <w:p w14:paraId="3762D851" w14:textId="7CB33EAB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Svoris  su šviesolaidžiu ir kabeliu turi būti ne didesnis nei 160</w:t>
            </w:r>
            <w:r w:rsidR="00CD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</w:t>
            </w:r>
          </w:p>
          <w:p w14:paraId="661160F5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Korpusas turi būti dengtas metalu.</w:t>
            </w:r>
          </w:p>
          <w:p w14:paraId="43C1866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ventiliatoriaus</w:t>
            </w:r>
          </w:p>
          <w:p w14:paraId="3ED5F24B" w14:textId="77777777" w:rsidR="00220B30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instaliuota į asistento elementą. Be baterijos</w:t>
            </w:r>
            <w:r w:rsidR="00CD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4EBAE4" w14:textId="23B4968C" w:rsidR="00CD2AE0" w:rsidRPr="00422D3F" w:rsidRDefault="00CD2AE0" w:rsidP="00CD2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Garantija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trumpesnė nei 12 mėnesių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4BEFA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B30" w:rsidRPr="00422D3F" w14:paraId="16E483DA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9D8130" w14:textId="65A64295" w:rsidR="00220B30" w:rsidRPr="00422D3F" w:rsidRDefault="005650C7" w:rsidP="00CD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71BBEC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Ultragarsinis skaleris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30A07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0B30" w:rsidRPr="00422D3F" w14:paraId="66529E66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A30119" w14:textId="7C6F60D0" w:rsidR="00220B30" w:rsidRPr="00422D3F" w:rsidRDefault="005650C7" w:rsidP="00CD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0B30" w:rsidRPr="00422D3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6DF570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6D8149" w14:textId="17EE114D" w:rsidR="00220B30" w:rsidRPr="00422D3F" w:rsidRDefault="00182FEB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Piezo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elektrinis.</w:t>
            </w:r>
            <w:r w:rsidR="00220B30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Virpesių</w:t>
            </w:r>
            <w:proofErr w:type="spellEnd"/>
            <w:r w:rsidR="00220B30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dažnis turi būti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nuo </w:t>
            </w:r>
            <w:r w:rsidRPr="0018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20B30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iki 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220B30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kHz</w:t>
            </w:r>
            <w:proofErr w:type="spellEnd"/>
          </w:p>
          <w:p w14:paraId="20059ED2" w14:textId="0A703511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Antgalio diametras maks. 1</w:t>
            </w:r>
            <w:r w:rsidR="0018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 (±0,5mm)</w:t>
            </w:r>
          </w:p>
          <w:p w14:paraId="12AA94D7" w14:textId="75876D4B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Antgalio ilgis ne didesnis nei (be </w:t>
            </w:r>
            <w:proofErr w:type="spellStart"/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antgaliukų</w:t>
            </w:r>
            <w:proofErr w:type="spellEnd"/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18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18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mm 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2FEB"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2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mm)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1CB893" w14:textId="1517F84D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Svoris turi būti ne didesnis nei </w:t>
            </w:r>
            <w:r w:rsidR="0018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  <w:p w14:paraId="29E1A94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 apšvietimas, intensyvumas turi būti  ne mažesnis nei 25.000 Lux</w:t>
            </w:r>
          </w:p>
          <w:p w14:paraId="087DA9D9" w14:textId="77777777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visiškai integruotas į odontologinę įrangą.</w:t>
            </w:r>
          </w:p>
          <w:p w14:paraId="6200419D" w14:textId="3DEC6A7D" w:rsidR="00220B30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suderinta su perkama odontologine įranga</w:t>
            </w:r>
            <w:r w:rsidR="00D74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to pačio gamintojo.</w:t>
            </w:r>
          </w:p>
          <w:p w14:paraId="23B8A091" w14:textId="1E44DBFC" w:rsidR="00182FEB" w:rsidRDefault="00182FEB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tikti klinikoje turimi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Piezo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antgaliukai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114AB8" w14:textId="1F2F836E" w:rsidR="00CD2AE0" w:rsidRPr="00422D3F" w:rsidRDefault="00CD2AE0" w:rsidP="00CD2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Garantija ne trumpesnė nei 12 mėnesių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C5055" w14:textId="0A583756" w:rsidR="00220B30" w:rsidRPr="00422D3F" w:rsidRDefault="00220B30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4D1" w:rsidRPr="00422D3F" w14:paraId="6FB4C00D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79D0" w14:textId="40AD3A91" w:rsidR="008A34D1" w:rsidRPr="008A34D1" w:rsidRDefault="008A34D1" w:rsidP="00CD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FE5DF" w14:textId="087139BE" w:rsidR="008A34D1" w:rsidRPr="00422D3F" w:rsidRDefault="008A34D1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Elektrinis </w:t>
            </w:r>
            <w:proofErr w:type="spellStart"/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mikrovariklis</w:t>
            </w:r>
            <w:proofErr w:type="spellEnd"/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 šviesa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27687" w14:textId="77777777" w:rsidR="008A34D1" w:rsidRDefault="008A34D1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9DCB3" w14:textId="77777777" w:rsidR="008A34D1" w:rsidRPr="00422D3F" w:rsidRDefault="008A34D1" w:rsidP="00220B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4D1" w:rsidRPr="00422D3F" w14:paraId="57EEFE3B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D318A" w14:textId="77777777" w:rsidR="008A34D1" w:rsidRDefault="008A34D1" w:rsidP="008A3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243E4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5CD5F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Elektrinis </w:t>
            </w:r>
            <w:proofErr w:type="spellStart"/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mikrovariklis</w:t>
            </w:r>
            <w:proofErr w:type="spellEnd"/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A49917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Reguliuojamas apsisukimų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kaičius turi būti  nuo 100 iki 4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 aps./min</w:t>
            </w:r>
          </w:p>
          <w:p w14:paraId="1A91F08F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Sukimo moment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turi būti ne mažesnis nei 2.7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Ncm</w:t>
            </w:r>
            <w:proofErr w:type="spellEnd"/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6BC65252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integruotas LED šviesos šaltinis.</w:t>
            </w:r>
          </w:p>
          <w:p w14:paraId="325112B8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atskiras vandens ir oro padavimas.</w:t>
            </w:r>
          </w:p>
          <w:p w14:paraId="6B47EB4B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atgalinio siurbimo vožtuvas.</w:t>
            </w:r>
          </w:p>
          <w:p w14:paraId="411A7CE7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lankstus besisukantis vamzdis</w:t>
            </w:r>
          </w:p>
          <w:p w14:paraId="3036900C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Variklio srovė turi būti ne mažesnė nei 4A</w:t>
            </w:r>
          </w:p>
          <w:p w14:paraId="5383439D" w14:textId="3840E5F1" w:rsidR="008A34D1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suderinta su perkama odontologine įranga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5CA4E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4D1" w:rsidRPr="00422D3F" w14:paraId="42A6490E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16DEE" w14:textId="2BF6BFA5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F32458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Odontologo kėdutė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6187D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4D1" w:rsidRPr="00422D3F" w14:paraId="29B382C7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D692B" w14:textId="39F54443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22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C84A3F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D53280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anatominė kėdutės paviršiaus forma;</w:t>
            </w:r>
          </w:p>
          <w:p w14:paraId="47FF11AC" w14:textId="443D7061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Pakėlimo aukščio reguliavimas turi būti ne siauresnis nei nuo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,5 cm iki 66 cm, matuojant nuo grindų </w:t>
            </w:r>
          </w:p>
          <w:p w14:paraId="1F55BDAB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reguliuojamas nugaros atlošas atsilenkimo funkcija ne mažiau kaip  30laipsnių;</w:t>
            </w:r>
          </w:p>
          <w:p w14:paraId="375A0CDB" w14:textId="5D7B3E9C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reguliuojama sėdynės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bei atlošo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dalis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nemažiau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laipsnių;</w:t>
            </w:r>
          </w:p>
          <w:p w14:paraId="14AC0F31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užrakinimo pozicija  kiekvienoje padėtyje;</w:t>
            </w:r>
          </w:p>
          <w:p w14:paraId="27CF9847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stumdoma ant ratukų (5 ratukai);</w:t>
            </w:r>
          </w:p>
          <w:p w14:paraId="6211AE96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neribotas sukimasis apie ašį;</w:t>
            </w:r>
          </w:p>
          <w:p w14:paraId="5B63A5AE" w14:textId="77777777" w:rsidR="008A34D1" w:rsidRPr="00422D3F" w:rsidRDefault="008A34D1" w:rsidP="008A34D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Kėdutės pagrindas turi būti metalinis;</w:t>
            </w:r>
          </w:p>
          <w:p w14:paraId="18D7E159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Danga turi būti besiūlė</w:t>
            </w:r>
          </w:p>
          <w:p w14:paraId="2CECE4B5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suderinta su perkama odontologine įranga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0EB146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4D1" w:rsidRPr="00422D3F" w14:paraId="035D2018" w14:textId="77777777" w:rsidTr="00D75338">
        <w:trPr>
          <w:trHeight w:val="42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ACD68B" w14:textId="2A1CA1B6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F92ED" w14:textId="2D6BCCDD" w:rsidR="008A34D1" w:rsidRPr="00D748C2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Garantija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įrenginiams ne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trumpesnė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mėn.,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turbinoms </w:t>
            </w:r>
            <w:r w:rsidRPr="004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</w:t>
            </w:r>
            <w:r w:rsidRPr="0042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trumpesnė nei 24 mėn.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Komplektas turi būti suderintas, vieno gamintojo.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44E4F" w14:textId="77777777" w:rsidR="008A34D1" w:rsidRPr="00422D3F" w:rsidRDefault="008A34D1" w:rsidP="008A34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4E1B5" w14:textId="77777777" w:rsidR="00220B30" w:rsidRPr="00422D3F" w:rsidRDefault="00220B30" w:rsidP="00220B30">
      <w:pPr>
        <w:tabs>
          <w:tab w:val="left" w:pos="210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D059D3" w14:textId="77777777" w:rsidR="00F11FC4" w:rsidRPr="00422D3F" w:rsidRDefault="00F11FC4" w:rsidP="00220B30">
      <w:pPr>
        <w:tabs>
          <w:tab w:val="left" w:pos="210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F11FC4" w:rsidRPr="00422D3F" w:rsidSect="00DD1A7A">
      <w:footerReference w:type="default" r:id="rId8"/>
      <w:pgSz w:w="11900" w:h="16840"/>
      <w:pgMar w:top="993" w:right="1268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5DC8" w14:textId="77777777" w:rsidR="00C124B1" w:rsidRDefault="00C124B1" w:rsidP="00DD1A7A">
      <w:pPr>
        <w:spacing w:after="0" w:line="240" w:lineRule="auto"/>
      </w:pPr>
      <w:r>
        <w:separator/>
      </w:r>
    </w:p>
  </w:endnote>
  <w:endnote w:type="continuationSeparator" w:id="0">
    <w:p w14:paraId="454CCDB5" w14:textId="77777777" w:rsidR="00C124B1" w:rsidRDefault="00C124B1" w:rsidP="00D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 Com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232383"/>
      <w:docPartObj>
        <w:docPartGallery w:val="Page Numbers (Bottom of Page)"/>
        <w:docPartUnique/>
      </w:docPartObj>
    </w:sdtPr>
    <w:sdtContent>
      <w:p w14:paraId="11F87859" w14:textId="6E25D60B" w:rsidR="00DD1A7A" w:rsidRDefault="00DD1A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D356B" w14:textId="77777777" w:rsidR="00DD1A7A" w:rsidRDefault="00DD1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B0D3" w14:textId="77777777" w:rsidR="00C124B1" w:rsidRDefault="00C124B1" w:rsidP="00DD1A7A">
      <w:pPr>
        <w:spacing w:after="0" w:line="240" w:lineRule="auto"/>
      </w:pPr>
      <w:r>
        <w:separator/>
      </w:r>
    </w:p>
  </w:footnote>
  <w:footnote w:type="continuationSeparator" w:id="0">
    <w:p w14:paraId="2508CC51" w14:textId="77777777" w:rsidR="00C124B1" w:rsidRDefault="00C124B1" w:rsidP="00DD1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 w15:restartNumberingAfterBreak="0">
    <w:nsid w:val="0208104A"/>
    <w:multiLevelType w:val="hybridMultilevel"/>
    <w:tmpl w:val="377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FA8"/>
    <w:multiLevelType w:val="hybridMultilevel"/>
    <w:tmpl w:val="94A89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049"/>
    <w:multiLevelType w:val="hybridMultilevel"/>
    <w:tmpl w:val="3F1C7486"/>
    <w:lvl w:ilvl="0" w:tplc="68A62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9B2DA7"/>
    <w:multiLevelType w:val="hybridMultilevel"/>
    <w:tmpl w:val="175A1E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7E89"/>
    <w:multiLevelType w:val="hybridMultilevel"/>
    <w:tmpl w:val="FD10D77C"/>
    <w:lvl w:ilvl="0" w:tplc="0360F1C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0C3FF4"/>
    <w:multiLevelType w:val="hybridMultilevel"/>
    <w:tmpl w:val="650E6B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77943"/>
    <w:multiLevelType w:val="hybridMultilevel"/>
    <w:tmpl w:val="98A2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86E40"/>
    <w:multiLevelType w:val="hybridMultilevel"/>
    <w:tmpl w:val="B8147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82CAF"/>
    <w:multiLevelType w:val="hybridMultilevel"/>
    <w:tmpl w:val="FD6A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C10E6"/>
    <w:multiLevelType w:val="hybridMultilevel"/>
    <w:tmpl w:val="2D8CB8F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E068A"/>
    <w:multiLevelType w:val="hybridMultilevel"/>
    <w:tmpl w:val="6D92E116"/>
    <w:lvl w:ilvl="0" w:tplc="6AACA28C">
      <w:start w:val="3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A03"/>
    <w:multiLevelType w:val="hybridMultilevel"/>
    <w:tmpl w:val="6E90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242"/>
    <w:multiLevelType w:val="hybridMultilevel"/>
    <w:tmpl w:val="37C29C38"/>
    <w:lvl w:ilvl="0" w:tplc="09A2046C">
      <w:start w:val="1"/>
      <w:numFmt w:val="decimal"/>
      <w:lvlRestart w:val="0"/>
      <w:lvlText w:val="%1."/>
      <w:lvlJc w:val="left"/>
      <w:pPr>
        <w:tabs>
          <w:tab w:val="num" w:pos="930"/>
        </w:tabs>
        <w:ind w:left="930" w:hanging="36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4" w15:restartNumberingAfterBreak="0">
    <w:nsid w:val="31927A2B"/>
    <w:multiLevelType w:val="hybridMultilevel"/>
    <w:tmpl w:val="1A3CB1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4CC"/>
    <w:multiLevelType w:val="hybridMultilevel"/>
    <w:tmpl w:val="AB44BD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2167B0C"/>
    <w:multiLevelType w:val="hybridMultilevel"/>
    <w:tmpl w:val="DAB4DF96"/>
    <w:lvl w:ilvl="0" w:tplc="DD4C25B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11484C"/>
    <w:multiLevelType w:val="hybridMultilevel"/>
    <w:tmpl w:val="8A401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076A9"/>
    <w:multiLevelType w:val="hybridMultilevel"/>
    <w:tmpl w:val="10ACE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B64BE"/>
    <w:multiLevelType w:val="hybridMultilevel"/>
    <w:tmpl w:val="CBDEB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3873">
    <w:abstractNumId w:val="0"/>
  </w:num>
  <w:num w:numId="2" w16cid:durableId="281806089">
    <w:abstractNumId w:val="4"/>
  </w:num>
  <w:num w:numId="3" w16cid:durableId="1190797227">
    <w:abstractNumId w:val="12"/>
  </w:num>
  <w:num w:numId="4" w16cid:durableId="617419506">
    <w:abstractNumId w:val="1"/>
  </w:num>
  <w:num w:numId="5" w16cid:durableId="310524177">
    <w:abstractNumId w:val="7"/>
  </w:num>
  <w:num w:numId="6" w16cid:durableId="244071582">
    <w:abstractNumId w:val="9"/>
  </w:num>
  <w:num w:numId="7" w16cid:durableId="452868655">
    <w:abstractNumId w:val="6"/>
  </w:num>
  <w:num w:numId="8" w16cid:durableId="1921981837">
    <w:abstractNumId w:val="15"/>
  </w:num>
  <w:num w:numId="9" w16cid:durableId="784422219">
    <w:abstractNumId w:val="2"/>
  </w:num>
  <w:num w:numId="10" w16cid:durableId="521624433">
    <w:abstractNumId w:val="18"/>
  </w:num>
  <w:num w:numId="11" w16cid:durableId="1143229737">
    <w:abstractNumId w:val="19"/>
  </w:num>
  <w:num w:numId="12" w16cid:durableId="1183009149">
    <w:abstractNumId w:val="8"/>
  </w:num>
  <w:num w:numId="13" w16cid:durableId="141889152">
    <w:abstractNumId w:val="20"/>
  </w:num>
  <w:num w:numId="14" w16cid:durableId="644629035">
    <w:abstractNumId w:val="3"/>
  </w:num>
  <w:num w:numId="15" w16cid:durableId="1966546048">
    <w:abstractNumId w:val="13"/>
  </w:num>
  <w:num w:numId="16" w16cid:durableId="1910993244">
    <w:abstractNumId w:val="17"/>
  </w:num>
  <w:num w:numId="17" w16cid:durableId="37169200">
    <w:abstractNumId w:val="5"/>
  </w:num>
  <w:num w:numId="18" w16cid:durableId="517429112">
    <w:abstractNumId w:val="10"/>
  </w:num>
  <w:num w:numId="19" w16cid:durableId="1159540780">
    <w:abstractNumId w:val="14"/>
  </w:num>
  <w:num w:numId="20" w16cid:durableId="1452824572">
    <w:abstractNumId w:val="16"/>
  </w:num>
  <w:num w:numId="21" w16cid:durableId="46150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0"/>
    <w:rsid w:val="00005B6F"/>
    <w:rsid w:val="00036ACC"/>
    <w:rsid w:val="00046E99"/>
    <w:rsid w:val="00090AF7"/>
    <w:rsid w:val="000C23AB"/>
    <w:rsid w:val="000E0A6F"/>
    <w:rsid w:val="000F2911"/>
    <w:rsid w:val="000F2DC2"/>
    <w:rsid w:val="0015089B"/>
    <w:rsid w:val="00182FEB"/>
    <w:rsid w:val="001B16E2"/>
    <w:rsid w:val="001C37C6"/>
    <w:rsid w:val="001D178F"/>
    <w:rsid w:val="001D4F44"/>
    <w:rsid w:val="00204895"/>
    <w:rsid w:val="00220B30"/>
    <w:rsid w:val="00235984"/>
    <w:rsid w:val="00282AA9"/>
    <w:rsid w:val="002B77E8"/>
    <w:rsid w:val="002C0333"/>
    <w:rsid w:val="002C46EC"/>
    <w:rsid w:val="002F532B"/>
    <w:rsid w:val="00327156"/>
    <w:rsid w:val="00333504"/>
    <w:rsid w:val="003419D6"/>
    <w:rsid w:val="003915E0"/>
    <w:rsid w:val="003D0DFA"/>
    <w:rsid w:val="00421E35"/>
    <w:rsid w:val="00422D3F"/>
    <w:rsid w:val="0042425C"/>
    <w:rsid w:val="004457EB"/>
    <w:rsid w:val="004541A5"/>
    <w:rsid w:val="00486854"/>
    <w:rsid w:val="004B1762"/>
    <w:rsid w:val="004E7E06"/>
    <w:rsid w:val="00503152"/>
    <w:rsid w:val="00516B81"/>
    <w:rsid w:val="005303B4"/>
    <w:rsid w:val="005650C7"/>
    <w:rsid w:val="00576B82"/>
    <w:rsid w:val="005D342F"/>
    <w:rsid w:val="005E3C30"/>
    <w:rsid w:val="005F1743"/>
    <w:rsid w:val="005F2429"/>
    <w:rsid w:val="005F3DF8"/>
    <w:rsid w:val="006374B9"/>
    <w:rsid w:val="0064193E"/>
    <w:rsid w:val="00684FEB"/>
    <w:rsid w:val="006A38DA"/>
    <w:rsid w:val="006B0638"/>
    <w:rsid w:val="006D3F63"/>
    <w:rsid w:val="006D669C"/>
    <w:rsid w:val="006E300B"/>
    <w:rsid w:val="006F0DDD"/>
    <w:rsid w:val="00747BBD"/>
    <w:rsid w:val="00750CA2"/>
    <w:rsid w:val="007630C5"/>
    <w:rsid w:val="00765A36"/>
    <w:rsid w:val="00790718"/>
    <w:rsid w:val="00794D83"/>
    <w:rsid w:val="00796AB8"/>
    <w:rsid w:val="007A2B77"/>
    <w:rsid w:val="007F58D4"/>
    <w:rsid w:val="00805518"/>
    <w:rsid w:val="0080728F"/>
    <w:rsid w:val="00826E5D"/>
    <w:rsid w:val="00835350"/>
    <w:rsid w:val="00837FEB"/>
    <w:rsid w:val="008568FB"/>
    <w:rsid w:val="008576FB"/>
    <w:rsid w:val="008679E1"/>
    <w:rsid w:val="00870A9F"/>
    <w:rsid w:val="008A34D1"/>
    <w:rsid w:val="008B3134"/>
    <w:rsid w:val="008C47C7"/>
    <w:rsid w:val="008F5F2A"/>
    <w:rsid w:val="00906FBD"/>
    <w:rsid w:val="00915FBF"/>
    <w:rsid w:val="00922CD2"/>
    <w:rsid w:val="00925092"/>
    <w:rsid w:val="00944D8A"/>
    <w:rsid w:val="0096365B"/>
    <w:rsid w:val="00993301"/>
    <w:rsid w:val="009E4608"/>
    <w:rsid w:val="00A4340F"/>
    <w:rsid w:val="00A724B3"/>
    <w:rsid w:val="00A97397"/>
    <w:rsid w:val="00AA699D"/>
    <w:rsid w:val="00AB599E"/>
    <w:rsid w:val="00AC4583"/>
    <w:rsid w:val="00B16DDE"/>
    <w:rsid w:val="00B601F6"/>
    <w:rsid w:val="00B6036A"/>
    <w:rsid w:val="00B73290"/>
    <w:rsid w:val="00B927D2"/>
    <w:rsid w:val="00BD0FF3"/>
    <w:rsid w:val="00C124B1"/>
    <w:rsid w:val="00C40CE7"/>
    <w:rsid w:val="00C416B3"/>
    <w:rsid w:val="00C90B04"/>
    <w:rsid w:val="00C97E28"/>
    <w:rsid w:val="00CD2AE0"/>
    <w:rsid w:val="00CD45C1"/>
    <w:rsid w:val="00CD4F37"/>
    <w:rsid w:val="00CE4325"/>
    <w:rsid w:val="00CE692D"/>
    <w:rsid w:val="00CE7985"/>
    <w:rsid w:val="00D07144"/>
    <w:rsid w:val="00D56E02"/>
    <w:rsid w:val="00D748C2"/>
    <w:rsid w:val="00D75338"/>
    <w:rsid w:val="00DB0F02"/>
    <w:rsid w:val="00DB5899"/>
    <w:rsid w:val="00DD1A7A"/>
    <w:rsid w:val="00DD5C81"/>
    <w:rsid w:val="00DF3AF6"/>
    <w:rsid w:val="00E040D1"/>
    <w:rsid w:val="00E12E9D"/>
    <w:rsid w:val="00E353F7"/>
    <w:rsid w:val="00E6246A"/>
    <w:rsid w:val="00E6321A"/>
    <w:rsid w:val="00E854A3"/>
    <w:rsid w:val="00E95F76"/>
    <w:rsid w:val="00EA4024"/>
    <w:rsid w:val="00EE62A7"/>
    <w:rsid w:val="00F11FC4"/>
    <w:rsid w:val="00F45C22"/>
    <w:rsid w:val="00F54B1E"/>
    <w:rsid w:val="00F55590"/>
    <w:rsid w:val="00F60CE5"/>
    <w:rsid w:val="00F93E70"/>
    <w:rsid w:val="00FA6913"/>
    <w:rsid w:val="00FD587E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70C31"/>
  <w14:defaultImageDpi w14:val="300"/>
  <w15:docId w15:val="{84C45A9D-7DD3-D241-BFDA-3C75576D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38"/>
    <w:pPr>
      <w:spacing w:after="200" w:line="276" w:lineRule="auto"/>
    </w:pPr>
    <w:rPr>
      <w:rFonts w:eastAsiaTheme="minorHAnsi"/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rsid w:val="008B3134"/>
    <w:pPr>
      <w:keepNext/>
      <w:spacing w:after="0" w:line="240" w:lineRule="auto"/>
      <w:ind w:left="46" w:right="57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0AF7"/>
    <w:pPr>
      <w:ind w:left="720"/>
      <w:contextualSpacing/>
    </w:pPr>
  </w:style>
  <w:style w:type="paragraph" w:styleId="Caption">
    <w:name w:val="caption"/>
    <w:basedOn w:val="Normal"/>
    <w:qFormat/>
    <w:rsid w:val="002F532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Pa29">
    <w:name w:val="Pa29"/>
    <w:basedOn w:val="Normal"/>
    <w:next w:val="Normal"/>
    <w:rsid w:val="00FE7058"/>
    <w:pPr>
      <w:autoSpaceDE w:val="0"/>
      <w:autoSpaceDN w:val="0"/>
      <w:adjustRightInd w:val="0"/>
      <w:spacing w:after="0" w:line="241" w:lineRule="atLeast"/>
    </w:pPr>
    <w:rPr>
      <w:rFonts w:ascii="Univers Com" w:eastAsia="Calibri" w:hAnsi="Univers Com" w:cs="Times New Roman"/>
      <w:sz w:val="24"/>
      <w:szCs w:val="24"/>
      <w:lang w:eastAsia="lt-LT"/>
    </w:rPr>
  </w:style>
  <w:style w:type="character" w:customStyle="1" w:styleId="A13">
    <w:name w:val="A13"/>
    <w:rsid w:val="00FE7058"/>
    <w:rPr>
      <w:color w:val="000000"/>
      <w:sz w:val="14"/>
    </w:rPr>
  </w:style>
  <w:style w:type="paragraph" w:customStyle="1" w:styleId="TableContents">
    <w:name w:val="Table Contents"/>
    <w:basedOn w:val="Normal"/>
    <w:rsid w:val="009E46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8B313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yperlink">
    <w:name w:val="Hyperlink"/>
    <w:aliases w:val="Alna"/>
    <w:rsid w:val="00E040D1"/>
    <w:rPr>
      <w:color w:val="0000FF"/>
      <w:u w:val="single"/>
    </w:rPr>
  </w:style>
  <w:style w:type="paragraph" w:customStyle="1" w:styleId="TXT">
    <w:name w:val="TXT"/>
    <w:basedOn w:val="Normal"/>
    <w:rsid w:val="00E040D1"/>
    <w:pPr>
      <w:numPr>
        <w:numId w:val="20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040D1"/>
    <w:rPr>
      <w:rFonts w:eastAsiaTheme="minorHAnsi"/>
      <w:sz w:val="22"/>
      <w:szCs w:val="2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9F"/>
    <w:rPr>
      <w:rFonts w:ascii="Segoe UI" w:eastAsiaTheme="minorHAns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6E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1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7A"/>
    <w:rPr>
      <w:rFonts w:eastAsiaTheme="minorHAns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D1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7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26247B-CECD-0240-B4AC-6A0BADB1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6807</Words>
  <Characters>3880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Inga Šimonė</cp:lastModifiedBy>
  <cp:revision>4</cp:revision>
  <cp:lastPrinted>2017-04-24T11:11:00Z</cp:lastPrinted>
  <dcterms:created xsi:type="dcterms:W3CDTF">2025-07-08T09:08:00Z</dcterms:created>
  <dcterms:modified xsi:type="dcterms:W3CDTF">2025-07-08T09:09:00Z</dcterms:modified>
  <cp:category/>
</cp:coreProperties>
</file>