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8847" w14:textId="616C5F9F" w:rsidR="00E05013" w:rsidRPr="00E05013" w:rsidRDefault="00E05013" w:rsidP="00E05013">
      <w:pPr>
        <w:autoSpaceDE w:val="0"/>
        <w:autoSpaceDN w:val="0"/>
        <w:adjustRightInd w:val="0"/>
        <w:jc w:val="right"/>
      </w:pPr>
      <w:r w:rsidRPr="00E05013">
        <w:t>Kvietimo 2 priedas</w:t>
      </w:r>
    </w:p>
    <w:p w14:paraId="0B1E7723" w14:textId="77777777" w:rsidR="00E05013" w:rsidRDefault="00E05013" w:rsidP="00E61020">
      <w:pPr>
        <w:autoSpaceDE w:val="0"/>
        <w:autoSpaceDN w:val="0"/>
        <w:adjustRightInd w:val="0"/>
        <w:jc w:val="center"/>
        <w:rPr>
          <w:b/>
          <w:bCs/>
        </w:rPr>
      </w:pPr>
    </w:p>
    <w:p w14:paraId="593CF888" w14:textId="30DC365E" w:rsidR="00E61020" w:rsidRPr="00E05013" w:rsidRDefault="00E61020" w:rsidP="00E61020">
      <w:pPr>
        <w:autoSpaceDE w:val="0"/>
        <w:autoSpaceDN w:val="0"/>
        <w:adjustRightInd w:val="0"/>
        <w:jc w:val="center"/>
        <w:rPr>
          <w:b/>
          <w:bCs/>
          <w:sz w:val="28"/>
          <w:szCs w:val="28"/>
        </w:rPr>
      </w:pPr>
      <w:r w:rsidRPr="00E05013">
        <w:rPr>
          <w:b/>
          <w:bCs/>
          <w:sz w:val="28"/>
          <w:szCs w:val="28"/>
        </w:rPr>
        <w:t>Kvalifikacijos reikalavimai</w:t>
      </w:r>
      <w:r w:rsidR="00E0409F" w:rsidRPr="00E05013">
        <w:rPr>
          <w:b/>
          <w:bCs/>
          <w:sz w:val="28"/>
          <w:szCs w:val="28"/>
        </w:rPr>
        <w:t xml:space="preserve"> tiekėjams</w:t>
      </w:r>
    </w:p>
    <w:p w14:paraId="240BD77B" w14:textId="77777777" w:rsidR="00E05013" w:rsidRDefault="00E05013" w:rsidP="00E61020">
      <w:pPr>
        <w:autoSpaceDE w:val="0"/>
        <w:autoSpaceDN w:val="0"/>
        <w:adjustRightInd w:val="0"/>
        <w:jc w:val="center"/>
        <w:rPr>
          <w:b/>
          <w:bCs/>
        </w:rPr>
      </w:pPr>
    </w:p>
    <w:p w14:paraId="74305F28" w14:textId="22EE269E" w:rsidR="009D160D" w:rsidRDefault="009D160D" w:rsidP="009D160D">
      <w:pPr>
        <w:jc w:val="center"/>
      </w:pPr>
      <w:bookmarkStart w:id="0" w:name="_Hlk129850877"/>
      <w:r w:rsidRPr="002A741D">
        <w:rPr>
          <w:b/>
          <w:lang w:eastAsia="en-GB"/>
        </w:rPr>
        <w:t>Tilt</w:t>
      </w:r>
      <w:r>
        <w:rPr>
          <w:b/>
          <w:lang w:eastAsia="en-GB"/>
        </w:rPr>
        <w:t>o</w:t>
      </w:r>
      <w:r w:rsidRPr="002A741D">
        <w:rPr>
          <w:b/>
          <w:lang w:eastAsia="en-GB"/>
        </w:rPr>
        <w:t xml:space="preserve"> per Nevėžio upę </w:t>
      </w:r>
      <w:r>
        <w:rPr>
          <w:b/>
          <w:lang w:eastAsia="en-GB"/>
        </w:rPr>
        <w:t>J.</w:t>
      </w:r>
      <w:r w:rsidR="00E05013">
        <w:rPr>
          <w:b/>
          <w:lang w:eastAsia="en-GB"/>
        </w:rPr>
        <w:t xml:space="preserve"> </w:t>
      </w:r>
      <w:r>
        <w:rPr>
          <w:b/>
          <w:lang w:eastAsia="en-GB"/>
        </w:rPr>
        <w:t>Biliūno</w:t>
      </w:r>
      <w:r w:rsidRPr="002A741D">
        <w:rPr>
          <w:b/>
          <w:lang w:eastAsia="en-GB"/>
        </w:rPr>
        <w:t xml:space="preserve"> gatvėje</w:t>
      </w:r>
      <w:r>
        <w:rPr>
          <w:b/>
          <w:lang w:eastAsia="en-GB"/>
        </w:rPr>
        <w:t>,</w:t>
      </w:r>
      <w:r w:rsidRPr="002A741D">
        <w:rPr>
          <w:b/>
          <w:lang w:eastAsia="en-GB"/>
        </w:rPr>
        <w:t xml:space="preserve"> Panevėžio mieste</w:t>
      </w:r>
      <w:r>
        <w:rPr>
          <w:b/>
          <w:lang w:eastAsia="en-GB"/>
        </w:rPr>
        <w:t>,</w:t>
      </w:r>
      <w:r w:rsidRPr="002A741D">
        <w:rPr>
          <w:b/>
          <w:lang w:eastAsia="en-GB"/>
        </w:rPr>
        <w:t xml:space="preserve"> dalinės</w:t>
      </w:r>
      <w:r>
        <w:rPr>
          <w:b/>
          <w:lang w:eastAsia="en-GB"/>
        </w:rPr>
        <w:t xml:space="preserve"> </w:t>
      </w:r>
      <w:r w:rsidRPr="00BE7CBE">
        <w:rPr>
          <w:b/>
          <w:lang w:eastAsia="en-GB"/>
        </w:rPr>
        <w:t>ekspertizės paslaugos</w:t>
      </w:r>
      <w:r w:rsidRPr="00BE7CBE">
        <w:t xml:space="preserve"> </w:t>
      </w:r>
    </w:p>
    <w:p w14:paraId="3D054019" w14:textId="77777777" w:rsidR="00E05013" w:rsidRPr="00BE7CBE" w:rsidRDefault="00E05013" w:rsidP="009D160D">
      <w:pPr>
        <w:jc w:val="center"/>
      </w:pPr>
    </w:p>
    <w:bookmarkEnd w:id="0"/>
    <w:p w14:paraId="593CF889" w14:textId="2130F5DC" w:rsidR="00E0409F" w:rsidRPr="00D73EDF" w:rsidRDefault="00E0409F" w:rsidP="000C15D6">
      <w:pPr>
        <w:jc w:val="center"/>
        <w:rPr>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78"/>
      </w:tblGrid>
      <w:tr w:rsidR="00E05013" w:rsidRPr="002E55CD" w14:paraId="593CF88E" w14:textId="77777777" w:rsidTr="00E05013">
        <w:tc>
          <w:tcPr>
            <w:tcW w:w="5245" w:type="dxa"/>
            <w:shd w:val="clear" w:color="auto" w:fill="E7E6E6" w:themeFill="background2"/>
            <w:vAlign w:val="center"/>
          </w:tcPr>
          <w:p w14:paraId="593CF88C" w14:textId="77777777" w:rsidR="00E05013" w:rsidRPr="00754B4E" w:rsidRDefault="00E05013" w:rsidP="00E05013">
            <w:pPr>
              <w:autoSpaceDE w:val="0"/>
              <w:autoSpaceDN w:val="0"/>
              <w:adjustRightInd w:val="0"/>
              <w:spacing w:before="120" w:after="120" w:line="276" w:lineRule="auto"/>
              <w:jc w:val="center"/>
              <w:rPr>
                <w:b/>
                <w:bCs/>
              </w:rPr>
            </w:pPr>
            <w:r w:rsidRPr="00754B4E">
              <w:rPr>
                <w:b/>
                <w:bCs/>
              </w:rPr>
              <w:t>Kvalifikacijos reikalavimai</w:t>
            </w:r>
          </w:p>
        </w:tc>
        <w:tc>
          <w:tcPr>
            <w:tcW w:w="4678" w:type="dxa"/>
            <w:shd w:val="clear" w:color="auto" w:fill="E7E6E6" w:themeFill="background2"/>
            <w:vAlign w:val="center"/>
          </w:tcPr>
          <w:p w14:paraId="593CF88D" w14:textId="77777777" w:rsidR="00E05013" w:rsidRPr="002E55CD" w:rsidRDefault="00E05013" w:rsidP="00E05013">
            <w:pPr>
              <w:autoSpaceDE w:val="0"/>
              <w:autoSpaceDN w:val="0"/>
              <w:adjustRightInd w:val="0"/>
              <w:spacing w:before="120" w:after="120" w:line="276" w:lineRule="auto"/>
              <w:jc w:val="center"/>
              <w:rPr>
                <w:b/>
                <w:bCs/>
              </w:rPr>
            </w:pPr>
            <w:r w:rsidRPr="00754B4E">
              <w:rPr>
                <w:b/>
                <w:bCs/>
              </w:rPr>
              <w:t>Kvalifikacijos reikalavimus įrodantys dokumentai</w:t>
            </w:r>
          </w:p>
        </w:tc>
      </w:tr>
      <w:tr w:rsidR="00E05013" w:rsidRPr="001046B4" w14:paraId="2A6BA143" w14:textId="77777777" w:rsidTr="00E05013">
        <w:tc>
          <w:tcPr>
            <w:tcW w:w="5245" w:type="dxa"/>
            <w:tcBorders>
              <w:top w:val="single" w:sz="4" w:space="0" w:color="auto"/>
              <w:left w:val="single" w:sz="4" w:space="0" w:color="auto"/>
              <w:bottom w:val="single" w:sz="4" w:space="0" w:color="auto"/>
              <w:right w:val="single" w:sz="4" w:space="0" w:color="auto"/>
            </w:tcBorders>
          </w:tcPr>
          <w:p w14:paraId="3C171A7C" w14:textId="7AD292A9" w:rsidR="00E05013" w:rsidRDefault="00E05013" w:rsidP="00E05013">
            <w:pPr>
              <w:spacing w:before="120" w:after="120" w:line="276" w:lineRule="auto"/>
              <w:jc w:val="both"/>
            </w:pPr>
            <w:r w:rsidRPr="00BB2CFA">
              <w:t>Tiekėjas, ūkio subjektų grupės narys (-</w:t>
            </w:r>
            <w:proofErr w:type="spellStart"/>
            <w:r w:rsidRPr="00BB2CFA">
              <w:t>iai</w:t>
            </w:r>
            <w:proofErr w:type="spellEnd"/>
            <w:r w:rsidRPr="00BB2CFA">
              <w:t>), ūkio subjektas (-ai), kurio (-</w:t>
            </w:r>
            <w:proofErr w:type="spellStart"/>
            <w:r w:rsidRPr="00BB2CFA">
              <w:t>ių</w:t>
            </w:r>
            <w:proofErr w:type="spellEnd"/>
            <w:r w:rsidRPr="00BB2CFA">
              <w:t xml:space="preserve">) pajėgumais tiekėjas remiasi, </w:t>
            </w:r>
            <w:r w:rsidRPr="001046B4">
              <w:t>privalo turėti bent 1 (vieną) kvalifikuotą specialistą, turintį teisę eiti ypatingojo statinio (</w:t>
            </w:r>
            <w:r>
              <w:t>inžinerinių statinių</w:t>
            </w:r>
            <w:r w:rsidRPr="001046B4">
              <w:t xml:space="preserve"> grupė – </w:t>
            </w:r>
            <w:r w:rsidRPr="00242D7C">
              <w:t>kiti inžineriniai statiniai</w:t>
            </w:r>
            <w:r w:rsidRPr="001046B4">
              <w:t>, pogrupis</w:t>
            </w:r>
            <w:r>
              <w:t xml:space="preserve"> (paskirtis)</w:t>
            </w:r>
            <w:r w:rsidRPr="001046B4">
              <w:t xml:space="preserve"> – </w:t>
            </w:r>
            <w:r>
              <w:t>k</w:t>
            </w:r>
            <w:r w:rsidRPr="00242D7C">
              <w:t>itų transporto statinių)</w:t>
            </w:r>
            <w:r>
              <w:t xml:space="preserve"> </w:t>
            </w:r>
            <w:r w:rsidRPr="00BB4F14">
              <w:rPr>
                <w:i/>
                <w:iCs/>
              </w:rPr>
              <w:t>(teisinis pagrindas: Statybos techninis reglamentas STR 1.01.03:2017 „Statinių klasif</w:t>
            </w:r>
            <w:r>
              <w:rPr>
                <w:i/>
                <w:iCs/>
              </w:rPr>
              <w:t>ikavimas“</w:t>
            </w:r>
            <w:r w:rsidRPr="00242D7C">
              <w:t>,</w:t>
            </w:r>
            <w:r w:rsidRPr="001046B4">
              <w:t xml:space="preserve"> </w:t>
            </w:r>
            <w:r w:rsidRPr="00F54B95">
              <w:t xml:space="preserve">dalies </w:t>
            </w:r>
            <w:r>
              <w:rPr>
                <w:bCs/>
              </w:rPr>
              <w:t>(s</w:t>
            </w:r>
            <w:r w:rsidRPr="00F54B95">
              <w:t>tatinio  dalies ekspertizės darbo sritis: konstrukcijų</w:t>
            </w:r>
            <w:r>
              <w:t xml:space="preserve">) </w:t>
            </w:r>
            <w:r w:rsidRPr="00F54B95">
              <w:t xml:space="preserve">ekspertizės </w:t>
            </w:r>
            <w:r w:rsidRPr="001046B4">
              <w:t>vadovo pareigas</w:t>
            </w:r>
            <w:r w:rsidRPr="0002429E">
              <w:t xml:space="preserve">. </w:t>
            </w:r>
          </w:p>
          <w:p w14:paraId="4E734CF3" w14:textId="77777777" w:rsidR="00E05013" w:rsidRPr="00BB2CFA" w:rsidRDefault="00E05013" w:rsidP="00E05013">
            <w:pPr>
              <w:spacing w:before="120" w:after="120" w:line="276" w:lineRule="auto"/>
              <w:jc w:val="both"/>
              <w:rPr>
                <w:i/>
              </w:rPr>
            </w:pPr>
            <w:r w:rsidRPr="00BB2CFA">
              <w:rPr>
                <w:i/>
              </w:rPr>
              <w:t>Pastaba:</w:t>
            </w:r>
          </w:p>
          <w:p w14:paraId="385BE237" w14:textId="74471BA4" w:rsidR="00E05013" w:rsidRPr="00BB2CFA" w:rsidRDefault="00E05013" w:rsidP="00E05013">
            <w:pPr>
              <w:spacing w:before="120" w:after="120" w:line="276" w:lineRule="auto"/>
              <w:jc w:val="both"/>
              <w:rPr>
                <w:iCs/>
              </w:rPr>
            </w:pPr>
            <w:r w:rsidRPr="00A625B0">
              <w:rPr>
                <w:iCs/>
              </w:rPr>
              <w:t>S</w:t>
            </w:r>
            <w:r w:rsidRPr="00BB2CFA">
              <w:rPr>
                <w:iCs/>
              </w:rPr>
              <w:t xml:space="preserve">pecialistų atestatai atitiks reikalavimus, jei jie apims daugiau statinių grupių ar pogrupių. Jei atestate yra nurodyta </w:t>
            </w:r>
            <w:r w:rsidRPr="00A625B0">
              <w:rPr>
                <w:iCs/>
              </w:rPr>
              <w:t xml:space="preserve">statinių grupė – susisiekimo komunikacijos, pogrupis – kiti transporto statiniai arba susiekimo komunikacijos neišskiriant pogrupių (pagal ankstesnį </w:t>
            </w:r>
            <w:r>
              <w:rPr>
                <w:iCs/>
              </w:rPr>
              <w:t>S</w:t>
            </w:r>
            <w:r w:rsidRPr="00A625B0">
              <w:rPr>
                <w:bCs/>
                <w:iCs/>
              </w:rPr>
              <w:t>tatybos techninį reglamento STR 1.01.03:2017 „</w:t>
            </w:r>
            <w:r w:rsidRPr="00A625B0">
              <w:rPr>
                <w:iCs/>
              </w:rPr>
              <w:t>Statinių</w:t>
            </w:r>
            <w:r w:rsidRPr="00A625B0">
              <w:rPr>
                <w:bCs/>
                <w:iCs/>
              </w:rPr>
              <w:t xml:space="preserve"> klasifikavimas“ klasifikavimą)</w:t>
            </w:r>
            <w:r>
              <w:rPr>
                <w:bCs/>
                <w:iCs/>
              </w:rPr>
              <w:t>,</w:t>
            </w:r>
            <w:r w:rsidRPr="00BB2CFA">
              <w:rPr>
                <w:iCs/>
              </w:rPr>
              <w:t xml:space="preserve"> tokie atestatai yra tinkami.</w:t>
            </w:r>
          </w:p>
          <w:p w14:paraId="0FAA88D7" w14:textId="7398AC52" w:rsidR="00E05013" w:rsidRPr="00BB2CFA" w:rsidRDefault="00E05013" w:rsidP="00E05013">
            <w:pPr>
              <w:spacing w:before="120" w:after="120" w:line="276" w:lineRule="auto"/>
              <w:jc w:val="both"/>
            </w:pPr>
            <w:r w:rsidRPr="00BB2CFA">
              <w:t>· jeigu pasiūlymą teikia ūkio subjektų grupė – reikalavimą turi atitikti ūkio subjektų grupės nario (-</w:t>
            </w:r>
            <w:proofErr w:type="spellStart"/>
            <w:r w:rsidRPr="00BB2CFA">
              <w:t>ių</w:t>
            </w:r>
            <w:proofErr w:type="spellEnd"/>
            <w:r w:rsidRPr="00BB2CFA">
              <w:t>) specialistai, atsižvelgiant į jų prisiimamus įsipareigojimus pirkimo sutarčiai vykdyti;</w:t>
            </w:r>
          </w:p>
          <w:p w14:paraId="1C504BA4" w14:textId="77777777" w:rsidR="00E05013" w:rsidRPr="00BB2CFA" w:rsidRDefault="00E05013" w:rsidP="00E05013">
            <w:pPr>
              <w:spacing w:before="120" w:after="120" w:line="276" w:lineRule="auto"/>
              <w:jc w:val="both"/>
            </w:pPr>
            <w:r w:rsidRPr="00BB2CFA">
              <w:t>· tiekėjas gali remtis kitų ūkio subjektų pajėgumais tik tuo atveju, jeigu tie subjektai (jų darbuotojai) patys vykdys tą pirkimo sutarties dalį, kuriai reikia jų turimų pajėgumų;</w:t>
            </w:r>
          </w:p>
          <w:p w14:paraId="410CC41B" w14:textId="2D35CB9B" w:rsidR="00E05013" w:rsidRPr="001046B4" w:rsidRDefault="00E05013" w:rsidP="00E05013">
            <w:pPr>
              <w:spacing w:before="120" w:after="120" w:line="276" w:lineRule="auto"/>
              <w:jc w:val="both"/>
            </w:pPr>
            <w:r w:rsidRPr="00BB2CFA">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8" w:type="dxa"/>
            <w:tcBorders>
              <w:top w:val="single" w:sz="4" w:space="0" w:color="auto"/>
              <w:left w:val="single" w:sz="4" w:space="0" w:color="auto"/>
              <w:bottom w:val="single" w:sz="4" w:space="0" w:color="auto"/>
              <w:right w:val="single" w:sz="4" w:space="0" w:color="auto"/>
            </w:tcBorders>
          </w:tcPr>
          <w:p w14:paraId="21CC09EA" w14:textId="77777777" w:rsidR="00E05013" w:rsidRPr="00F54B95" w:rsidRDefault="00E05013" w:rsidP="00E05013">
            <w:pPr>
              <w:spacing w:before="120" w:after="120" w:line="276" w:lineRule="auto"/>
              <w:jc w:val="both"/>
              <w:rPr>
                <w:bCs/>
              </w:rPr>
            </w:pPr>
            <w:r w:rsidRPr="00F54B95">
              <w:rPr>
                <w:bCs/>
              </w:rPr>
              <w:t>Pateikiama:</w:t>
            </w:r>
          </w:p>
          <w:p w14:paraId="2BA52223" w14:textId="518C23DB" w:rsidR="00E05013" w:rsidRPr="00F54B95" w:rsidRDefault="00E05013" w:rsidP="00E05013">
            <w:pPr>
              <w:spacing w:before="120" w:after="120" w:line="276" w:lineRule="auto"/>
              <w:jc w:val="both"/>
              <w:rPr>
                <w:bCs/>
              </w:rPr>
            </w:pPr>
            <w:r w:rsidRPr="001046B4">
              <w:rPr>
                <w:bCs/>
              </w:rPr>
              <w:t>Lietuvos Respublikos ir trečiųjų valstybių piliečiui</w:t>
            </w:r>
            <w:r w:rsidRPr="00F54B95">
              <w:rPr>
                <w:bCs/>
              </w:rPr>
              <w:t>, kuris bus skiriamas statinio</w:t>
            </w:r>
            <w:r w:rsidRPr="00F54B95">
              <w:t xml:space="preserve"> dalies </w:t>
            </w:r>
            <w:r>
              <w:rPr>
                <w:bCs/>
              </w:rPr>
              <w:t>(s</w:t>
            </w:r>
            <w:r w:rsidRPr="00F54B95">
              <w:t>tatinio  dalies ekspertizės darbo sritis: konstrukcijų</w:t>
            </w:r>
            <w:r>
              <w:t xml:space="preserve">) </w:t>
            </w:r>
            <w:r w:rsidRPr="00F54B95">
              <w:t xml:space="preserve">ekspertizės </w:t>
            </w:r>
            <w:r w:rsidRPr="001046B4">
              <w:t>vadov</w:t>
            </w:r>
            <w:r>
              <w:t>u</w:t>
            </w:r>
            <w:r w:rsidRPr="00F54B95">
              <w:rPr>
                <w:bCs/>
              </w:rPr>
              <w:t xml:space="preserve">, </w:t>
            </w:r>
            <w:r w:rsidRPr="001046B4">
              <w:rPr>
                <w:bCs/>
              </w:rPr>
              <w:t xml:space="preserve">Lietuvos Respublikos aplinkos ministerijos arba jos įgaliotos institucijos </w:t>
            </w:r>
            <w:r w:rsidRPr="00F54B95">
              <w:rPr>
                <w:bCs/>
              </w:rPr>
              <w:t xml:space="preserve">išduoto kvalifikacijos </w:t>
            </w:r>
            <w:r w:rsidRPr="001046B4">
              <w:rPr>
                <w:bCs/>
              </w:rPr>
              <w:t xml:space="preserve">atestato,  suteikiančio teisę </w:t>
            </w:r>
            <w:r w:rsidRPr="00F54B95">
              <w:rPr>
                <w:bCs/>
              </w:rPr>
              <w:t xml:space="preserve">eiti ypatingojo statinio (inžinerinių statinių grupė – kiti inžineriniai statiniai, pogrupis (paskirtis) – kitų transporto statinių), dalies </w:t>
            </w:r>
            <w:r>
              <w:rPr>
                <w:bCs/>
              </w:rPr>
              <w:t>(s</w:t>
            </w:r>
            <w:r w:rsidRPr="00F54B95">
              <w:t>tatinio  dalies ekspertizės darbo sritis: konstrukcijų</w:t>
            </w:r>
            <w:r>
              <w:t xml:space="preserve">) </w:t>
            </w:r>
            <w:r w:rsidRPr="00F54B95">
              <w:rPr>
                <w:bCs/>
              </w:rPr>
              <w:t>ekspertizės vadovo pareigas,</w:t>
            </w:r>
            <w:r w:rsidRPr="001046B4">
              <w:rPr>
                <w:bCs/>
              </w:rPr>
              <w:t xml:space="preserve"> </w:t>
            </w:r>
            <w:r w:rsidRPr="00F54B95">
              <w:rPr>
                <w:bCs/>
              </w:rPr>
              <w:t>arba kito lygiaverčio dokumento skaitmeninės kopijos, arba nuorodos į SSVA ir (ar) kitus oficialius registrus prie kurių Perkančioji organizacija turės galimybę tiesiogiai ir neatlygintinai prisijungusi susipažinti su reikalaujamais dokumentais ir (ar) informacija.</w:t>
            </w:r>
          </w:p>
          <w:p w14:paraId="791B612B" w14:textId="77777777" w:rsidR="00E05013" w:rsidRPr="00F54B95" w:rsidRDefault="00E05013" w:rsidP="00E05013">
            <w:pPr>
              <w:spacing w:before="120" w:after="120" w:line="276" w:lineRule="auto"/>
              <w:jc w:val="both"/>
              <w:rPr>
                <w:bCs/>
              </w:rPr>
            </w:pPr>
            <w:r w:rsidRPr="00F54B95">
              <w:rPr>
                <w:bCs/>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Statybos sektoriaus vystymo agentūrą (prašymo formą galima rasti  </w:t>
            </w:r>
            <w:hyperlink r:id="rId7" w:history="1">
              <w:r w:rsidRPr="00F54B95">
                <w:rPr>
                  <w:rStyle w:val="Hipersaitas"/>
                  <w:bCs/>
                </w:rPr>
                <w:t>http://www.ssva.lt</w:t>
              </w:r>
            </w:hyperlink>
            <w:r w:rsidRPr="00F54B95">
              <w:rPr>
                <w:bCs/>
              </w:rPr>
              <w:t>.) dėl teisės pripažinimo dokumento išdavimo, kurį turi įgyti prieš pasirašant sutartį (Perkančioji organizacija pasitikrins LT registruose).</w:t>
            </w:r>
          </w:p>
        </w:tc>
      </w:tr>
    </w:tbl>
    <w:p w14:paraId="5D41BBCA" w14:textId="6F377D41" w:rsidR="00F54B95" w:rsidRPr="001046B4" w:rsidRDefault="00F54B95" w:rsidP="00E05013">
      <w:pPr>
        <w:pStyle w:val="BodyTextIndent33"/>
        <w:tabs>
          <w:tab w:val="clear" w:pos="4536"/>
          <w:tab w:val="left" w:pos="0"/>
          <w:tab w:val="left" w:pos="720"/>
        </w:tabs>
        <w:spacing w:before="120" w:line="276" w:lineRule="auto"/>
        <w:ind w:firstLine="0"/>
        <w:rPr>
          <w:rStyle w:val="apple-style-span"/>
          <w:b/>
          <w:i/>
          <w:szCs w:val="22"/>
          <w:u w:val="single"/>
        </w:rPr>
      </w:pPr>
      <w:r w:rsidRPr="001046B4">
        <w:rPr>
          <w:rStyle w:val="apple-style-span"/>
          <w:b/>
          <w:i/>
          <w:szCs w:val="22"/>
          <w:u w:val="single"/>
        </w:rPr>
        <w:t>Jeigu tiekėjo kvalifikacija nebuvo tikrinama visa apimtimi, tiekėjas perkančiajai organizacijai įsipareigoja, kad pirkimo sutartį vykdys tik tokią teisę turintys asmenys.</w:t>
      </w:r>
    </w:p>
    <w:p w14:paraId="6CBB01D2" w14:textId="77777777" w:rsidR="00F54B95" w:rsidRDefault="00F54B95"/>
    <w:sectPr w:rsidR="00F54B95" w:rsidSect="00E05013">
      <w:pgSz w:w="11906" w:h="16838" w:code="9"/>
      <w:pgMar w:top="709" w:right="567" w:bottom="567" w:left="1418"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D59D" w14:textId="77777777" w:rsidR="00730397" w:rsidRDefault="00730397" w:rsidP="00AC2807">
      <w:r>
        <w:separator/>
      </w:r>
    </w:p>
  </w:endnote>
  <w:endnote w:type="continuationSeparator" w:id="0">
    <w:p w14:paraId="6F1FA97C" w14:textId="77777777" w:rsidR="00730397" w:rsidRDefault="00730397" w:rsidP="00AC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A59D" w14:textId="77777777" w:rsidR="00730397" w:rsidRDefault="00730397" w:rsidP="00AC2807">
      <w:r>
        <w:separator/>
      </w:r>
    </w:p>
  </w:footnote>
  <w:footnote w:type="continuationSeparator" w:id="0">
    <w:p w14:paraId="5035ED34" w14:textId="77777777" w:rsidR="00730397" w:rsidRDefault="00730397" w:rsidP="00AC2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5EF"/>
    <w:multiLevelType w:val="multilevel"/>
    <w:tmpl w:val="FC1EAE76"/>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9AF7B70"/>
    <w:multiLevelType w:val="hybridMultilevel"/>
    <w:tmpl w:val="F6CA56F6"/>
    <w:lvl w:ilvl="0" w:tplc="00425E9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5BD735F"/>
    <w:multiLevelType w:val="hybridMultilevel"/>
    <w:tmpl w:val="52B42D88"/>
    <w:lvl w:ilvl="0" w:tplc="6D92EC8C">
      <w:start w:val="1"/>
      <w:numFmt w:val="decimal"/>
      <w:lvlText w:val="%1."/>
      <w:lvlJc w:val="left"/>
      <w:pPr>
        <w:ind w:left="389" w:hanging="360"/>
      </w:pPr>
      <w:rPr>
        <w:rFonts w:hint="default"/>
        <w:color w:val="000000"/>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3631B4"/>
    <w:multiLevelType w:val="hybridMultilevel"/>
    <w:tmpl w:val="96407A60"/>
    <w:lvl w:ilvl="0" w:tplc="5E9047E0">
      <w:start w:val="1"/>
      <w:numFmt w:val="bullet"/>
      <w:suff w:val="space"/>
      <w:lvlText w:val=""/>
      <w:lvlJc w:val="left"/>
      <w:pPr>
        <w:ind w:left="720" w:hanging="360"/>
      </w:pPr>
      <w:rPr>
        <w:rFonts w:ascii="Symbol" w:hAnsi="Symbol" w:hint="default"/>
      </w:rPr>
    </w:lvl>
    <w:lvl w:ilvl="1" w:tplc="B3A8AB40" w:tentative="1">
      <w:start w:val="1"/>
      <w:numFmt w:val="bullet"/>
      <w:lvlText w:val="o"/>
      <w:lvlJc w:val="left"/>
      <w:pPr>
        <w:ind w:left="1440" w:hanging="360"/>
      </w:pPr>
      <w:rPr>
        <w:rFonts w:ascii="Courier New" w:hAnsi="Courier New" w:cs="Courier New" w:hint="default"/>
      </w:rPr>
    </w:lvl>
    <w:lvl w:ilvl="2" w:tplc="36D4E716" w:tentative="1">
      <w:start w:val="1"/>
      <w:numFmt w:val="bullet"/>
      <w:lvlText w:val=""/>
      <w:lvlJc w:val="left"/>
      <w:pPr>
        <w:ind w:left="2160" w:hanging="360"/>
      </w:pPr>
      <w:rPr>
        <w:rFonts w:ascii="Wingdings" w:hAnsi="Wingdings" w:hint="default"/>
      </w:rPr>
    </w:lvl>
    <w:lvl w:ilvl="3" w:tplc="F8C0637A" w:tentative="1">
      <w:start w:val="1"/>
      <w:numFmt w:val="bullet"/>
      <w:lvlText w:val=""/>
      <w:lvlJc w:val="left"/>
      <w:pPr>
        <w:ind w:left="2880" w:hanging="360"/>
      </w:pPr>
      <w:rPr>
        <w:rFonts w:ascii="Symbol" w:hAnsi="Symbol" w:hint="default"/>
      </w:rPr>
    </w:lvl>
    <w:lvl w:ilvl="4" w:tplc="9FFE479A" w:tentative="1">
      <w:start w:val="1"/>
      <w:numFmt w:val="bullet"/>
      <w:lvlText w:val="o"/>
      <w:lvlJc w:val="left"/>
      <w:pPr>
        <w:ind w:left="3600" w:hanging="360"/>
      </w:pPr>
      <w:rPr>
        <w:rFonts w:ascii="Courier New" w:hAnsi="Courier New" w:cs="Courier New" w:hint="default"/>
      </w:rPr>
    </w:lvl>
    <w:lvl w:ilvl="5" w:tplc="760E53C4" w:tentative="1">
      <w:start w:val="1"/>
      <w:numFmt w:val="bullet"/>
      <w:lvlText w:val=""/>
      <w:lvlJc w:val="left"/>
      <w:pPr>
        <w:ind w:left="4320" w:hanging="360"/>
      </w:pPr>
      <w:rPr>
        <w:rFonts w:ascii="Wingdings" w:hAnsi="Wingdings" w:hint="default"/>
      </w:rPr>
    </w:lvl>
    <w:lvl w:ilvl="6" w:tplc="FA86994E" w:tentative="1">
      <w:start w:val="1"/>
      <w:numFmt w:val="bullet"/>
      <w:lvlText w:val=""/>
      <w:lvlJc w:val="left"/>
      <w:pPr>
        <w:ind w:left="5040" w:hanging="360"/>
      </w:pPr>
      <w:rPr>
        <w:rFonts w:ascii="Symbol" w:hAnsi="Symbol" w:hint="default"/>
      </w:rPr>
    </w:lvl>
    <w:lvl w:ilvl="7" w:tplc="ED58F4F2" w:tentative="1">
      <w:start w:val="1"/>
      <w:numFmt w:val="bullet"/>
      <w:lvlText w:val="o"/>
      <w:lvlJc w:val="left"/>
      <w:pPr>
        <w:ind w:left="5760" w:hanging="360"/>
      </w:pPr>
      <w:rPr>
        <w:rFonts w:ascii="Courier New" w:hAnsi="Courier New" w:cs="Courier New" w:hint="default"/>
      </w:rPr>
    </w:lvl>
    <w:lvl w:ilvl="8" w:tplc="B3902280" w:tentative="1">
      <w:start w:val="1"/>
      <w:numFmt w:val="bullet"/>
      <w:lvlText w:val=""/>
      <w:lvlJc w:val="left"/>
      <w:pPr>
        <w:ind w:left="6480" w:hanging="360"/>
      </w:pPr>
      <w:rPr>
        <w:rFonts w:ascii="Wingdings" w:hAnsi="Wingdings" w:hint="default"/>
      </w:rPr>
    </w:lvl>
  </w:abstractNum>
  <w:abstractNum w:abstractNumId="7"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0D336B"/>
    <w:multiLevelType w:val="hybridMultilevel"/>
    <w:tmpl w:val="738070F4"/>
    <w:lvl w:ilvl="0" w:tplc="7B5281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31636B"/>
    <w:multiLevelType w:val="hybridMultilevel"/>
    <w:tmpl w:val="79AE6A06"/>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7979146">
    <w:abstractNumId w:val="10"/>
  </w:num>
  <w:num w:numId="2" w16cid:durableId="1446269667">
    <w:abstractNumId w:val="6"/>
  </w:num>
  <w:num w:numId="3" w16cid:durableId="758796745">
    <w:abstractNumId w:val="4"/>
  </w:num>
  <w:num w:numId="4" w16cid:durableId="564532745">
    <w:abstractNumId w:val="8"/>
  </w:num>
  <w:num w:numId="5" w16cid:durableId="598686207">
    <w:abstractNumId w:val="5"/>
  </w:num>
  <w:num w:numId="6" w16cid:durableId="1746684054">
    <w:abstractNumId w:val="1"/>
  </w:num>
  <w:num w:numId="7" w16cid:durableId="1567760742">
    <w:abstractNumId w:val="3"/>
  </w:num>
  <w:num w:numId="8" w16cid:durableId="69935732">
    <w:abstractNumId w:val="9"/>
  </w:num>
  <w:num w:numId="9" w16cid:durableId="880357982">
    <w:abstractNumId w:val="7"/>
  </w:num>
  <w:num w:numId="10" w16cid:durableId="181043674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8624558">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20"/>
    <w:rsid w:val="0001298E"/>
    <w:rsid w:val="0001387B"/>
    <w:rsid w:val="000356CB"/>
    <w:rsid w:val="00036452"/>
    <w:rsid w:val="00036D95"/>
    <w:rsid w:val="00047567"/>
    <w:rsid w:val="00050EBC"/>
    <w:rsid w:val="000531FC"/>
    <w:rsid w:val="000573FB"/>
    <w:rsid w:val="00063FA8"/>
    <w:rsid w:val="00070714"/>
    <w:rsid w:val="00072405"/>
    <w:rsid w:val="00073F37"/>
    <w:rsid w:val="00074B1C"/>
    <w:rsid w:val="000803C4"/>
    <w:rsid w:val="000813D4"/>
    <w:rsid w:val="00085682"/>
    <w:rsid w:val="00096983"/>
    <w:rsid w:val="000A03B2"/>
    <w:rsid w:val="000A090D"/>
    <w:rsid w:val="000A49C4"/>
    <w:rsid w:val="000A6D4B"/>
    <w:rsid w:val="000A7703"/>
    <w:rsid w:val="000B3FEC"/>
    <w:rsid w:val="000B45E8"/>
    <w:rsid w:val="000C15D6"/>
    <w:rsid w:val="000D0122"/>
    <w:rsid w:val="000D2D59"/>
    <w:rsid w:val="000E0BEF"/>
    <w:rsid w:val="000E3A5E"/>
    <w:rsid w:val="000E4905"/>
    <w:rsid w:val="00101FFA"/>
    <w:rsid w:val="001350C2"/>
    <w:rsid w:val="001410F3"/>
    <w:rsid w:val="0015012F"/>
    <w:rsid w:val="00156134"/>
    <w:rsid w:val="001700FD"/>
    <w:rsid w:val="00174B3C"/>
    <w:rsid w:val="00181A73"/>
    <w:rsid w:val="00181E2F"/>
    <w:rsid w:val="00185444"/>
    <w:rsid w:val="001962F6"/>
    <w:rsid w:val="001A7D1D"/>
    <w:rsid w:val="001B093B"/>
    <w:rsid w:val="001B2672"/>
    <w:rsid w:val="001B36D4"/>
    <w:rsid w:val="001C1230"/>
    <w:rsid w:val="001D05C4"/>
    <w:rsid w:val="001D2E88"/>
    <w:rsid w:val="001D6605"/>
    <w:rsid w:val="001D6946"/>
    <w:rsid w:val="001D73C6"/>
    <w:rsid w:val="001E5561"/>
    <w:rsid w:val="001E5F58"/>
    <w:rsid w:val="00200C28"/>
    <w:rsid w:val="00202695"/>
    <w:rsid w:val="00212586"/>
    <w:rsid w:val="002167F6"/>
    <w:rsid w:val="00222806"/>
    <w:rsid w:val="00223C3D"/>
    <w:rsid w:val="002279CD"/>
    <w:rsid w:val="00233BA2"/>
    <w:rsid w:val="00241039"/>
    <w:rsid w:val="00241B5F"/>
    <w:rsid w:val="0024270C"/>
    <w:rsid w:val="00246F72"/>
    <w:rsid w:val="00251D3D"/>
    <w:rsid w:val="00262DBB"/>
    <w:rsid w:val="00267094"/>
    <w:rsid w:val="00273EAC"/>
    <w:rsid w:val="0027651B"/>
    <w:rsid w:val="002811D6"/>
    <w:rsid w:val="0028655B"/>
    <w:rsid w:val="002A1F63"/>
    <w:rsid w:val="002A7048"/>
    <w:rsid w:val="002B10CA"/>
    <w:rsid w:val="002B721B"/>
    <w:rsid w:val="002C3973"/>
    <w:rsid w:val="002C3E40"/>
    <w:rsid w:val="002D1742"/>
    <w:rsid w:val="002E5066"/>
    <w:rsid w:val="002E6067"/>
    <w:rsid w:val="002F24B8"/>
    <w:rsid w:val="002F5A77"/>
    <w:rsid w:val="003303B4"/>
    <w:rsid w:val="003613B8"/>
    <w:rsid w:val="00361ADF"/>
    <w:rsid w:val="00363F39"/>
    <w:rsid w:val="00364BF1"/>
    <w:rsid w:val="0036655F"/>
    <w:rsid w:val="00366910"/>
    <w:rsid w:val="00366CE9"/>
    <w:rsid w:val="00367E8D"/>
    <w:rsid w:val="00371012"/>
    <w:rsid w:val="00380842"/>
    <w:rsid w:val="00386A7E"/>
    <w:rsid w:val="0038762C"/>
    <w:rsid w:val="0039261A"/>
    <w:rsid w:val="00393A8B"/>
    <w:rsid w:val="003A2A2E"/>
    <w:rsid w:val="003A73BB"/>
    <w:rsid w:val="003B7CC1"/>
    <w:rsid w:val="003C4C4A"/>
    <w:rsid w:val="003C63B1"/>
    <w:rsid w:val="003D04A2"/>
    <w:rsid w:val="003D2219"/>
    <w:rsid w:val="003D69F8"/>
    <w:rsid w:val="003E222F"/>
    <w:rsid w:val="003E5CCA"/>
    <w:rsid w:val="003F32C1"/>
    <w:rsid w:val="003F7178"/>
    <w:rsid w:val="00411D2E"/>
    <w:rsid w:val="00413F90"/>
    <w:rsid w:val="004202F1"/>
    <w:rsid w:val="004225D6"/>
    <w:rsid w:val="004278FD"/>
    <w:rsid w:val="0043097D"/>
    <w:rsid w:val="00432A4A"/>
    <w:rsid w:val="0043642F"/>
    <w:rsid w:val="00440413"/>
    <w:rsid w:val="0044796B"/>
    <w:rsid w:val="00447FED"/>
    <w:rsid w:val="00466E5C"/>
    <w:rsid w:val="00467932"/>
    <w:rsid w:val="004709F6"/>
    <w:rsid w:val="004764E8"/>
    <w:rsid w:val="0048596F"/>
    <w:rsid w:val="004A2AA7"/>
    <w:rsid w:val="004C13CA"/>
    <w:rsid w:val="004C3BB4"/>
    <w:rsid w:val="004D5BB3"/>
    <w:rsid w:val="004E03C4"/>
    <w:rsid w:val="004E3494"/>
    <w:rsid w:val="004F0DED"/>
    <w:rsid w:val="004F0FEB"/>
    <w:rsid w:val="004F33B1"/>
    <w:rsid w:val="004F3651"/>
    <w:rsid w:val="004F3A7F"/>
    <w:rsid w:val="004F3C1E"/>
    <w:rsid w:val="004F4CC8"/>
    <w:rsid w:val="005049A1"/>
    <w:rsid w:val="0050505C"/>
    <w:rsid w:val="00505181"/>
    <w:rsid w:val="0050784E"/>
    <w:rsid w:val="00507B72"/>
    <w:rsid w:val="0051167B"/>
    <w:rsid w:val="00521B66"/>
    <w:rsid w:val="00525FA9"/>
    <w:rsid w:val="005377B2"/>
    <w:rsid w:val="00546E19"/>
    <w:rsid w:val="005531D6"/>
    <w:rsid w:val="005636E8"/>
    <w:rsid w:val="005655CA"/>
    <w:rsid w:val="00565815"/>
    <w:rsid w:val="00566758"/>
    <w:rsid w:val="00566F6D"/>
    <w:rsid w:val="00573147"/>
    <w:rsid w:val="00580D30"/>
    <w:rsid w:val="0058476F"/>
    <w:rsid w:val="00584AE3"/>
    <w:rsid w:val="005859FD"/>
    <w:rsid w:val="005A0C10"/>
    <w:rsid w:val="005B00E6"/>
    <w:rsid w:val="005B54B7"/>
    <w:rsid w:val="005D054C"/>
    <w:rsid w:val="005D72CF"/>
    <w:rsid w:val="005E29CB"/>
    <w:rsid w:val="00607055"/>
    <w:rsid w:val="00613258"/>
    <w:rsid w:val="00617F1E"/>
    <w:rsid w:val="0062633A"/>
    <w:rsid w:val="006340FE"/>
    <w:rsid w:val="00636DBC"/>
    <w:rsid w:val="00641E32"/>
    <w:rsid w:val="0064505B"/>
    <w:rsid w:val="00650BED"/>
    <w:rsid w:val="006578EA"/>
    <w:rsid w:val="00662154"/>
    <w:rsid w:val="00674220"/>
    <w:rsid w:val="00674CF3"/>
    <w:rsid w:val="00687543"/>
    <w:rsid w:val="0069087A"/>
    <w:rsid w:val="0069545A"/>
    <w:rsid w:val="006A1D79"/>
    <w:rsid w:val="006A788D"/>
    <w:rsid w:val="006B0988"/>
    <w:rsid w:val="006C4EE1"/>
    <w:rsid w:val="006C56CA"/>
    <w:rsid w:val="006D0B0C"/>
    <w:rsid w:val="006D0C69"/>
    <w:rsid w:val="006D1F7A"/>
    <w:rsid w:val="006D6991"/>
    <w:rsid w:val="006E0E15"/>
    <w:rsid w:val="006E5349"/>
    <w:rsid w:val="006F2586"/>
    <w:rsid w:val="006F59A3"/>
    <w:rsid w:val="006F642C"/>
    <w:rsid w:val="00703E57"/>
    <w:rsid w:val="00706319"/>
    <w:rsid w:val="00707AE0"/>
    <w:rsid w:val="0071337E"/>
    <w:rsid w:val="00725335"/>
    <w:rsid w:val="00730397"/>
    <w:rsid w:val="00734149"/>
    <w:rsid w:val="00750246"/>
    <w:rsid w:val="0075197C"/>
    <w:rsid w:val="00757E75"/>
    <w:rsid w:val="00762995"/>
    <w:rsid w:val="007632B3"/>
    <w:rsid w:val="00764418"/>
    <w:rsid w:val="007665CC"/>
    <w:rsid w:val="00770A92"/>
    <w:rsid w:val="00776B60"/>
    <w:rsid w:val="00783085"/>
    <w:rsid w:val="0078333F"/>
    <w:rsid w:val="00785CC0"/>
    <w:rsid w:val="00790EFE"/>
    <w:rsid w:val="007969A2"/>
    <w:rsid w:val="007A2AAA"/>
    <w:rsid w:val="007A32DF"/>
    <w:rsid w:val="007B1FF3"/>
    <w:rsid w:val="007B4A08"/>
    <w:rsid w:val="007B7390"/>
    <w:rsid w:val="007C3B6D"/>
    <w:rsid w:val="007C72B2"/>
    <w:rsid w:val="007D017B"/>
    <w:rsid w:val="007D138E"/>
    <w:rsid w:val="007D356C"/>
    <w:rsid w:val="007D35BC"/>
    <w:rsid w:val="007D478E"/>
    <w:rsid w:val="00800552"/>
    <w:rsid w:val="00801D48"/>
    <w:rsid w:val="00805224"/>
    <w:rsid w:val="0080532B"/>
    <w:rsid w:val="00805EE6"/>
    <w:rsid w:val="00813155"/>
    <w:rsid w:val="008215D7"/>
    <w:rsid w:val="008261A8"/>
    <w:rsid w:val="00827DA0"/>
    <w:rsid w:val="0083211A"/>
    <w:rsid w:val="00841DCD"/>
    <w:rsid w:val="00843F88"/>
    <w:rsid w:val="00851AF7"/>
    <w:rsid w:val="00861F63"/>
    <w:rsid w:val="00867ECC"/>
    <w:rsid w:val="008763AF"/>
    <w:rsid w:val="00880CD9"/>
    <w:rsid w:val="008865CC"/>
    <w:rsid w:val="00887A66"/>
    <w:rsid w:val="00894167"/>
    <w:rsid w:val="008945E5"/>
    <w:rsid w:val="008C5205"/>
    <w:rsid w:val="008C663B"/>
    <w:rsid w:val="008D1B1A"/>
    <w:rsid w:val="008D2585"/>
    <w:rsid w:val="008D3773"/>
    <w:rsid w:val="008D468D"/>
    <w:rsid w:val="008F40FB"/>
    <w:rsid w:val="008F449E"/>
    <w:rsid w:val="008F5B2A"/>
    <w:rsid w:val="008F79D4"/>
    <w:rsid w:val="00900803"/>
    <w:rsid w:val="009102FB"/>
    <w:rsid w:val="00915614"/>
    <w:rsid w:val="00916157"/>
    <w:rsid w:val="009163EE"/>
    <w:rsid w:val="0093086D"/>
    <w:rsid w:val="00946D21"/>
    <w:rsid w:val="00947D28"/>
    <w:rsid w:val="00952596"/>
    <w:rsid w:val="00971626"/>
    <w:rsid w:val="00984F24"/>
    <w:rsid w:val="009A2783"/>
    <w:rsid w:val="009B434B"/>
    <w:rsid w:val="009C1E9E"/>
    <w:rsid w:val="009D160D"/>
    <w:rsid w:val="009E502B"/>
    <w:rsid w:val="009E6548"/>
    <w:rsid w:val="009F176F"/>
    <w:rsid w:val="009F6886"/>
    <w:rsid w:val="00A05DD4"/>
    <w:rsid w:val="00A12BDB"/>
    <w:rsid w:val="00A1659D"/>
    <w:rsid w:val="00A23661"/>
    <w:rsid w:val="00A41C82"/>
    <w:rsid w:val="00A431CA"/>
    <w:rsid w:val="00A46953"/>
    <w:rsid w:val="00A51AE8"/>
    <w:rsid w:val="00A625B0"/>
    <w:rsid w:val="00A66578"/>
    <w:rsid w:val="00A66FDE"/>
    <w:rsid w:val="00A84395"/>
    <w:rsid w:val="00A85E30"/>
    <w:rsid w:val="00A8616C"/>
    <w:rsid w:val="00A942B1"/>
    <w:rsid w:val="00A97607"/>
    <w:rsid w:val="00AA1506"/>
    <w:rsid w:val="00AA2FBB"/>
    <w:rsid w:val="00AA6134"/>
    <w:rsid w:val="00AA77F5"/>
    <w:rsid w:val="00AB769A"/>
    <w:rsid w:val="00AC1ED2"/>
    <w:rsid w:val="00AC2807"/>
    <w:rsid w:val="00AC6DB6"/>
    <w:rsid w:val="00AD5118"/>
    <w:rsid w:val="00AE3AAC"/>
    <w:rsid w:val="00AF5AB9"/>
    <w:rsid w:val="00B04FFA"/>
    <w:rsid w:val="00B06653"/>
    <w:rsid w:val="00B21F0C"/>
    <w:rsid w:val="00B24F10"/>
    <w:rsid w:val="00B27D16"/>
    <w:rsid w:val="00B36494"/>
    <w:rsid w:val="00B51D96"/>
    <w:rsid w:val="00B544A1"/>
    <w:rsid w:val="00B6197D"/>
    <w:rsid w:val="00B63177"/>
    <w:rsid w:val="00B65921"/>
    <w:rsid w:val="00B74598"/>
    <w:rsid w:val="00B75EDB"/>
    <w:rsid w:val="00B80C35"/>
    <w:rsid w:val="00B841A3"/>
    <w:rsid w:val="00BA65A9"/>
    <w:rsid w:val="00BB2CFA"/>
    <w:rsid w:val="00BB5C46"/>
    <w:rsid w:val="00BD7277"/>
    <w:rsid w:val="00BE1C4D"/>
    <w:rsid w:val="00BE6D5C"/>
    <w:rsid w:val="00BF272C"/>
    <w:rsid w:val="00BF7511"/>
    <w:rsid w:val="00BF7D0A"/>
    <w:rsid w:val="00C01B2F"/>
    <w:rsid w:val="00C025E4"/>
    <w:rsid w:val="00C04813"/>
    <w:rsid w:val="00C060DC"/>
    <w:rsid w:val="00C14EA1"/>
    <w:rsid w:val="00C20D5B"/>
    <w:rsid w:val="00C30AF9"/>
    <w:rsid w:val="00C34F8D"/>
    <w:rsid w:val="00C36AC9"/>
    <w:rsid w:val="00C36C27"/>
    <w:rsid w:val="00C56124"/>
    <w:rsid w:val="00C64DE2"/>
    <w:rsid w:val="00C71995"/>
    <w:rsid w:val="00C85CF9"/>
    <w:rsid w:val="00C92F7A"/>
    <w:rsid w:val="00C92F86"/>
    <w:rsid w:val="00C9463E"/>
    <w:rsid w:val="00CA1AEA"/>
    <w:rsid w:val="00CA2E9A"/>
    <w:rsid w:val="00CA5470"/>
    <w:rsid w:val="00CC0E66"/>
    <w:rsid w:val="00CC59B0"/>
    <w:rsid w:val="00CD2D16"/>
    <w:rsid w:val="00CE04B9"/>
    <w:rsid w:val="00CE5282"/>
    <w:rsid w:val="00CE52B4"/>
    <w:rsid w:val="00CE71EF"/>
    <w:rsid w:val="00CF0D2C"/>
    <w:rsid w:val="00CF289E"/>
    <w:rsid w:val="00D00BFA"/>
    <w:rsid w:val="00D07B3A"/>
    <w:rsid w:val="00D17C6E"/>
    <w:rsid w:val="00D27B8B"/>
    <w:rsid w:val="00D37F76"/>
    <w:rsid w:val="00D43406"/>
    <w:rsid w:val="00D538CC"/>
    <w:rsid w:val="00D65A20"/>
    <w:rsid w:val="00D73EDF"/>
    <w:rsid w:val="00D81605"/>
    <w:rsid w:val="00D81CB3"/>
    <w:rsid w:val="00D9665D"/>
    <w:rsid w:val="00D97BEF"/>
    <w:rsid w:val="00DB1C2D"/>
    <w:rsid w:val="00DB1ED5"/>
    <w:rsid w:val="00DC5856"/>
    <w:rsid w:val="00DD10CB"/>
    <w:rsid w:val="00DD31EE"/>
    <w:rsid w:val="00DD52C5"/>
    <w:rsid w:val="00DE5752"/>
    <w:rsid w:val="00DF115D"/>
    <w:rsid w:val="00E0409F"/>
    <w:rsid w:val="00E05013"/>
    <w:rsid w:val="00E1081D"/>
    <w:rsid w:val="00E1221E"/>
    <w:rsid w:val="00E16A85"/>
    <w:rsid w:val="00E20669"/>
    <w:rsid w:val="00E376BE"/>
    <w:rsid w:val="00E41854"/>
    <w:rsid w:val="00E4461C"/>
    <w:rsid w:val="00E45DE8"/>
    <w:rsid w:val="00E57009"/>
    <w:rsid w:val="00E601D4"/>
    <w:rsid w:val="00E60D95"/>
    <w:rsid w:val="00E61020"/>
    <w:rsid w:val="00E674D8"/>
    <w:rsid w:val="00E70825"/>
    <w:rsid w:val="00E71795"/>
    <w:rsid w:val="00E72224"/>
    <w:rsid w:val="00E75010"/>
    <w:rsid w:val="00E76424"/>
    <w:rsid w:val="00E774D7"/>
    <w:rsid w:val="00E823E8"/>
    <w:rsid w:val="00E87D5A"/>
    <w:rsid w:val="00E91986"/>
    <w:rsid w:val="00E9757E"/>
    <w:rsid w:val="00EA1879"/>
    <w:rsid w:val="00EA315E"/>
    <w:rsid w:val="00EA65CC"/>
    <w:rsid w:val="00EB6EA3"/>
    <w:rsid w:val="00EB775A"/>
    <w:rsid w:val="00EC0E6B"/>
    <w:rsid w:val="00EC481E"/>
    <w:rsid w:val="00ED0270"/>
    <w:rsid w:val="00ED1CA2"/>
    <w:rsid w:val="00ED349E"/>
    <w:rsid w:val="00ED593F"/>
    <w:rsid w:val="00EE3C9F"/>
    <w:rsid w:val="00EE5B9A"/>
    <w:rsid w:val="00EF31DA"/>
    <w:rsid w:val="00EF464C"/>
    <w:rsid w:val="00F01F00"/>
    <w:rsid w:val="00F0411D"/>
    <w:rsid w:val="00F055E1"/>
    <w:rsid w:val="00F21EAF"/>
    <w:rsid w:val="00F2367B"/>
    <w:rsid w:val="00F238C8"/>
    <w:rsid w:val="00F25459"/>
    <w:rsid w:val="00F27B21"/>
    <w:rsid w:val="00F471C6"/>
    <w:rsid w:val="00F50E28"/>
    <w:rsid w:val="00F519C3"/>
    <w:rsid w:val="00F54B95"/>
    <w:rsid w:val="00F74A6D"/>
    <w:rsid w:val="00F77991"/>
    <w:rsid w:val="00F8254C"/>
    <w:rsid w:val="00F859AE"/>
    <w:rsid w:val="00F87CC7"/>
    <w:rsid w:val="00F9492B"/>
    <w:rsid w:val="00F96D27"/>
    <w:rsid w:val="00FB443E"/>
    <w:rsid w:val="00FB6351"/>
    <w:rsid w:val="00FB6DE9"/>
    <w:rsid w:val="00FC1CD7"/>
    <w:rsid w:val="00FC3204"/>
    <w:rsid w:val="00FC36E7"/>
    <w:rsid w:val="00FC3B72"/>
    <w:rsid w:val="00FD52A3"/>
    <w:rsid w:val="00FE5571"/>
    <w:rsid w:val="00FE7D31"/>
    <w:rsid w:val="00FF0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F888"/>
  <w15:docId w15:val="{06E5657E-A1AD-4667-8034-B99EF58C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020"/>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body tes"/>
    <w:basedOn w:val="prastasis"/>
    <w:link w:val="PagrindinistekstasDiagrama"/>
    <w:qFormat/>
    <w:rsid w:val="00E61020"/>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E61020"/>
    <w:rPr>
      <w:rFonts w:eastAsia="Times New Roman" w:cs="Times New Roman"/>
      <w:szCs w:val="20"/>
      <w:lang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15614"/>
    <w:pPr>
      <w:ind w:left="720"/>
      <w:contextualSpacing/>
      <w:jc w:val="both"/>
    </w:pPr>
    <w:rPr>
      <w:szCs w:val="2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15614"/>
    <w:rPr>
      <w:rFonts w:eastAsia="Times New Roman" w:cs="Times New Roman"/>
      <w:szCs w:val="20"/>
    </w:rPr>
  </w:style>
  <w:style w:type="paragraph" w:customStyle="1" w:styleId="Standard">
    <w:name w:val="Standard"/>
    <w:uiPriority w:val="99"/>
    <w:rsid w:val="00E0409F"/>
    <w:pPr>
      <w:suppressAutoHyphens/>
      <w:autoSpaceDN w:val="0"/>
    </w:pPr>
    <w:rPr>
      <w:rFonts w:eastAsia="Times New Roman" w:cs="Times New Roman"/>
      <w:kern w:val="3"/>
      <w:szCs w:val="24"/>
    </w:rPr>
  </w:style>
  <w:style w:type="character" w:styleId="Hipersaitas">
    <w:name w:val="Hyperlink"/>
    <w:aliases w:val="IVPK Hyperlink"/>
    <w:basedOn w:val="Numatytasispastraiposriftas"/>
    <w:uiPriority w:val="99"/>
    <w:rsid w:val="00AC2807"/>
    <w:rPr>
      <w:rFonts w:cs="Times New Roman"/>
      <w:color w:val="0000FF"/>
      <w:u w:val="single"/>
    </w:rPr>
  </w:style>
  <w:style w:type="table" w:styleId="Lentelstinklelis">
    <w:name w:val="Table Grid"/>
    <w:basedOn w:val="prastojilentel"/>
    <w:rsid w:val="00AC2807"/>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AC2807"/>
    <w:rPr>
      <w:rFonts w:cs="Times New Roman"/>
      <w:vertAlign w:val="superscript"/>
    </w:rPr>
  </w:style>
  <w:style w:type="paragraph" w:styleId="Puslapioinaostekstas">
    <w:name w:val="footnote text"/>
    <w:aliases w:val=" Diagrama1,Diagrama1"/>
    <w:basedOn w:val="prastasis"/>
    <w:link w:val="PuslapioinaostekstasDiagrama"/>
    <w:uiPriority w:val="99"/>
    <w:rsid w:val="00AC2807"/>
    <w:pPr>
      <w:jc w:val="both"/>
    </w:pPr>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2807"/>
    <w:rPr>
      <w:rFonts w:ascii="Calibri" w:eastAsia="Times New Roman" w:hAnsi="Calibri" w:cs="Times New Roman"/>
      <w:sz w:val="20"/>
      <w:szCs w:val="20"/>
    </w:rPr>
  </w:style>
  <w:style w:type="character" w:styleId="Neapdorotaspaminjimas">
    <w:name w:val="Unresolved Mention"/>
    <w:basedOn w:val="Numatytasispastraiposriftas"/>
    <w:uiPriority w:val="99"/>
    <w:semiHidden/>
    <w:unhideWhenUsed/>
    <w:rsid w:val="00F54B95"/>
    <w:rPr>
      <w:color w:val="605E5C"/>
      <w:shd w:val="clear" w:color="auto" w:fill="E1DFDD"/>
    </w:rPr>
  </w:style>
  <w:style w:type="character" w:customStyle="1" w:styleId="apple-style-span">
    <w:name w:val="apple-style-span"/>
    <w:rsid w:val="00F54B95"/>
  </w:style>
  <w:style w:type="paragraph" w:customStyle="1" w:styleId="BodyTextIndent33">
    <w:name w:val="Body Text Indent 33"/>
    <w:basedOn w:val="prastasis"/>
    <w:rsid w:val="00F54B95"/>
    <w:pPr>
      <w:tabs>
        <w:tab w:val="left" w:pos="4536"/>
      </w:tabs>
      <w:suppressAutoHyphens/>
      <w:ind w:firstLine="2268"/>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8899">
      <w:bodyDiv w:val="1"/>
      <w:marLeft w:val="0"/>
      <w:marRight w:val="0"/>
      <w:marTop w:val="0"/>
      <w:marBottom w:val="0"/>
      <w:divBdr>
        <w:top w:val="none" w:sz="0" w:space="0" w:color="auto"/>
        <w:left w:val="none" w:sz="0" w:space="0" w:color="auto"/>
        <w:bottom w:val="none" w:sz="0" w:space="0" w:color="auto"/>
        <w:right w:val="none" w:sz="0" w:space="0" w:color="auto"/>
      </w:divBdr>
      <w:divsChild>
        <w:div w:id="373386768">
          <w:marLeft w:val="0"/>
          <w:marRight w:val="0"/>
          <w:marTop w:val="0"/>
          <w:marBottom w:val="0"/>
          <w:divBdr>
            <w:top w:val="none" w:sz="0" w:space="0" w:color="auto"/>
            <w:left w:val="none" w:sz="0" w:space="0" w:color="auto"/>
            <w:bottom w:val="none" w:sz="0" w:space="0" w:color="auto"/>
            <w:right w:val="none" w:sz="0" w:space="0" w:color="auto"/>
          </w:divBdr>
          <w:divsChild>
            <w:div w:id="1838034247">
              <w:marLeft w:val="0"/>
              <w:marRight w:val="0"/>
              <w:marTop w:val="0"/>
              <w:marBottom w:val="0"/>
              <w:divBdr>
                <w:top w:val="none" w:sz="0" w:space="0" w:color="auto"/>
                <w:left w:val="none" w:sz="0" w:space="0" w:color="auto"/>
                <w:bottom w:val="none" w:sz="0" w:space="0" w:color="auto"/>
                <w:right w:val="none" w:sz="0" w:space="0" w:color="auto"/>
              </w:divBdr>
            </w:div>
            <w:div w:id="351686989">
              <w:marLeft w:val="0"/>
              <w:marRight w:val="0"/>
              <w:marTop w:val="0"/>
              <w:marBottom w:val="0"/>
              <w:divBdr>
                <w:top w:val="none" w:sz="0" w:space="0" w:color="auto"/>
                <w:left w:val="none" w:sz="0" w:space="0" w:color="auto"/>
                <w:bottom w:val="none" w:sz="0" w:space="0" w:color="auto"/>
                <w:right w:val="none" w:sz="0" w:space="0" w:color="auto"/>
              </w:divBdr>
            </w:div>
            <w:div w:id="114375289">
              <w:marLeft w:val="0"/>
              <w:marRight w:val="0"/>
              <w:marTop w:val="0"/>
              <w:marBottom w:val="0"/>
              <w:divBdr>
                <w:top w:val="none" w:sz="0" w:space="0" w:color="auto"/>
                <w:left w:val="none" w:sz="0" w:space="0" w:color="auto"/>
                <w:bottom w:val="none" w:sz="0" w:space="0" w:color="auto"/>
                <w:right w:val="none" w:sz="0" w:space="0" w:color="auto"/>
              </w:divBdr>
            </w:div>
            <w:div w:id="13746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2067">
      <w:bodyDiv w:val="1"/>
      <w:marLeft w:val="0"/>
      <w:marRight w:val="0"/>
      <w:marTop w:val="0"/>
      <w:marBottom w:val="0"/>
      <w:divBdr>
        <w:top w:val="none" w:sz="0" w:space="0" w:color="auto"/>
        <w:left w:val="none" w:sz="0" w:space="0" w:color="auto"/>
        <w:bottom w:val="none" w:sz="0" w:space="0" w:color="auto"/>
        <w:right w:val="none" w:sz="0" w:space="0" w:color="auto"/>
      </w:divBdr>
      <w:divsChild>
        <w:div w:id="1861889565">
          <w:marLeft w:val="0"/>
          <w:marRight w:val="0"/>
          <w:marTop w:val="0"/>
          <w:marBottom w:val="0"/>
          <w:divBdr>
            <w:top w:val="none" w:sz="0" w:space="0" w:color="auto"/>
            <w:left w:val="none" w:sz="0" w:space="0" w:color="auto"/>
            <w:bottom w:val="none" w:sz="0" w:space="0" w:color="auto"/>
            <w:right w:val="none" w:sz="0" w:space="0" w:color="auto"/>
          </w:divBdr>
          <w:divsChild>
            <w:div w:id="1189414164">
              <w:marLeft w:val="0"/>
              <w:marRight w:val="0"/>
              <w:marTop w:val="0"/>
              <w:marBottom w:val="0"/>
              <w:divBdr>
                <w:top w:val="none" w:sz="0" w:space="0" w:color="auto"/>
                <w:left w:val="none" w:sz="0" w:space="0" w:color="auto"/>
                <w:bottom w:val="none" w:sz="0" w:space="0" w:color="auto"/>
                <w:right w:val="none" w:sz="0" w:space="0" w:color="auto"/>
              </w:divBdr>
            </w:div>
            <w:div w:id="1820994867">
              <w:marLeft w:val="0"/>
              <w:marRight w:val="0"/>
              <w:marTop w:val="0"/>
              <w:marBottom w:val="0"/>
              <w:divBdr>
                <w:top w:val="none" w:sz="0" w:space="0" w:color="auto"/>
                <w:left w:val="none" w:sz="0" w:space="0" w:color="auto"/>
                <w:bottom w:val="none" w:sz="0" w:space="0" w:color="auto"/>
                <w:right w:val="none" w:sz="0" w:space="0" w:color="auto"/>
              </w:divBdr>
            </w:div>
            <w:div w:id="380792826">
              <w:marLeft w:val="0"/>
              <w:marRight w:val="0"/>
              <w:marTop w:val="0"/>
              <w:marBottom w:val="0"/>
              <w:divBdr>
                <w:top w:val="none" w:sz="0" w:space="0" w:color="auto"/>
                <w:left w:val="none" w:sz="0" w:space="0" w:color="auto"/>
                <w:bottom w:val="none" w:sz="0" w:space="0" w:color="auto"/>
                <w:right w:val="none" w:sz="0" w:space="0" w:color="auto"/>
              </w:divBdr>
            </w:div>
            <w:div w:id="2104913878">
              <w:marLeft w:val="0"/>
              <w:marRight w:val="0"/>
              <w:marTop w:val="0"/>
              <w:marBottom w:val="0"/>
              <w:divBdr>
                <w:top w:val="none" w:sz="0" w:space="0" w:color="auto"/>
                <w:left w:val="none" w:sz="0" w:space="0" w:color="auto"/>
                <w:bottom w:val="none" w:sz="0" w:space="0" w:color="auto"/>
                <w:right w:val="none" w:sz="0" w:space="0" w:color="auto"/>
              </w:divBdr>
            </w:div>
            <w:div w:id="306597378">
              <w:marLeft w:val="0"/>
              <w:marRight w:val="0"/>
              <w:marTop w:val="0"/>
              <w:marBottom w:val="0"/>
              <w:divBdr>
                <w:top w:val="none" w:sz="0" w:space="0" w:color="auto"/>
                <w:left w:val="none" w:sz="0" w:space="0" w:color="auto"/>
                <w:bottom w:val="none" w:sz="0" w:space="0" w:color="auto"/>
                <w:right w:val="none" w:sz="0" w:space="0" w:color="auto"/>
              </w:divBdr>
            </w:div>
            <w:div w:id="8568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4451">
      <w:bodyDiv w:val="1"/>
      <w:marLeft w:val="0"/>
      <w:marRight w:val="0"/>
      <w:marTop w:val="0"/>
      <w:marBottom w:val="0"/>
      <w:divBdr>
        <w:top w:val="none" w:sz="0" w:space="0" w:color="auto"/>
        <w:left w:val="none" w:sz="0" w:space="0" w:color="auto"/>
        <w:bottom w:val="none" w:sz="0" w:space="0" w:color="auto"/>
        <w:right w:val="none" w:sz="0" w:space="0" w:color="auto"/>
      </w:divBdr>
    </w:div>
    <w:div w:id="671878674">
      <w:bodyDiv w:val="1"/>
      <w:marLeft w:val="0"/>
      <w:marRight w:val="0"/>
      <w:marTop w:val="0"/>
      <w:marBottom w:val="0"/>
      <w:divBdr>
        <w:top w:val="none" w:sz="0" w:space="0" w:color="auto"/>
        <w:left w:val="none" w:sz="0" w:space="0" w:color="auto"/>
        <w:bottom w:val="none" w:sz="0" w:space="0" w:color="auto"/>
        <w:right w:val="none" w:sz="0" w:space="0" w:color="auto"/>
      </w:divBdr>
    </w:div>
    <w:div w:id="816846780">
      <w:bodyDiv w:val="1"/>
      <w:marLeft w:val="0"/>
      <w:marRight w:val="0"/>
      <w:marTop w:val="0"/>
      <w:marBottom w:val="0"/>
      <w:divBdr>
        <w:top w:val="none" w:sz="0" w:space="0" w:color="auto"/>
        <w:left w:val="none" w:sz="0" w:space="0" w:color="auto"/>
        <w:bottom w:val="none" w:sz="0" w:space="0" w:color="auto"/>
        <w:right w:val="none" w:sz="0" w:space="0" w:color="auto"/>
      </w:divBdr>
    </w:div>
    <w:div w:id="1162936399">
      <w:bodyDiv w:val="1"/>
      <w:marLeft w:val="0"/>
      <w:marRight w:val="0"/>
      <w:marTop w:val="0"/>
      <w:marBottom w:val="0"/>
      <w:divBdr>
        <w:top w:val="none" w:sz="0" w:space="0" w:color="auto"/>
        <w:left w:val="none" w:sz="0" w:space="0" w:color="auto"/>
        <w:bottom w:val="none" w:sz="0" w:space="0" w:color="auto"/>
        <w:right w:val="none" w:sz="0" w:space="0" w:color="auto"/>
      </w:divBdr>
    </w:div>
    <w:div w:id="1356811754">
      <w:bodyDiv w:val="1"/>
      <w:marLeft w:val="0"/>
      <w:marRight w:val="0"/>
      <w:marTop w:val="0"/>
      <w:marBottom w:val="0"/>
      <w:divBdr>
        <w:top w:val="none" w:sz="0" w:space="0" w:color="auto"/>
        <w:left w:val="none" w:sz="0" w:space="0" w:color="auto"/>
        <w:bottom w:val="none" w:sz="0" w:space="0" w:color="auto"/>
        <w:right w:val="none" w:sz="0" w:space="0" w:color="auto"/>
      </w:divBdr>
      <w:divsChild>
        <w:div w:id="1420059998">
          <w:marLeft w:val="0"/>
          <w:marRight w:val="0"/>
          <w:marTop w:val="0"/>
          <w:marBottom w:val="0"/>
          <w:divBdr>
            <w:top w:val="none" w:sz="0" w:space="0" w:color="auto"/>
            <w:left w:val="none" w:sz="0" w:space="0" w:color="auto"/>
            <w:bottom w:val="none" w:sz="0" w:space="0" w:color="auto"/>
            <w:right w:val="none" w:sz="0" w:space="0" w:color="auto"/>
          </w:divBdr>
          <w:divsChild>
            <w:div w:id="217785002">
              <w:marLeft w:val="0"/>
              <w:marRight w:val="0"/>
              <w:marTop w:val="0"/>
              <w:marBottom w:val="0"/>
              <w:divBdr>
                <w:top w:val="none" w:sz="0" w:space="0" w:color="auto"/>
                <w:left w:val="none" w:sz="0" w:space="0" w:color="auto"/>
                <w:bottom w:val="none" w:sz="0" w:space="0" w:color="auto"/>
                <w:right w:val="none" w:sz="0" w:space="0" w:color="auto"/>
              </w:divBdr>
            </w:div>
            <w:div w:id="1963150437">
              <w:marLeft w:val="0"/>
              <w:marRight w:val="0"/>
              <w:marTop w:val="0"/>
              <w:marBottom w:val="0"/>
              <w:divBdr>
                <w:top w:val="none" w:sz="0" w:space="0" w:color="auto"/>
                <w:left w:val="none" w:sz="0" w:space="0" w:color="auto"/>
                <w:bottom w:val="none" w:sz="0" w:space="0" w:color="auto"/>
                <w:right w:val="none" w:sz="0" w:space="0" w:color="auto"/>
              </w:divBdr>
            </w:div>
          </w:divsChild>
        </w:div>
        <w:div w:id="1100680642">
          <w:marLeft w:val="0"/>
          <w:marRight w:val="0"/>
          <w:marTop w:val="0"/>
          <w:marBottom w:val="0"/>
          <w:divBdr>
            <w:top w:val="none" w:sz="0" w:space="0" w:color="auto"/>
            <w:left w:val="none" w:sz="0" w:space="0" w:color="auto"/>
            <w:bottom w:val="none" w:sz="0" w:space="0" w:color="auto"/>
            <w:right w:val="none" w:sz="0" w:space="0" w:color="auto"/>
          </w:divBdr>
          <w:divsChild>
            <w:div w:id="1634628464">
              <w:marLeft w:val="0"/>
              <w:marRight w:val="0"/>
              <w:marTop w:val="0"/>
              <w:marBottom w:val="0"/>
              <w:divBdr>
                <w:top w:val="none" w:sz="0" w:space="0" w:color="auto"/>
                <w:left w:val="none" w:sz="0" w:space="0" w:color="auto"/>
                <w:bottom w:val="none" w:sz="0" w:space="0" w:color="auto"/>
                <w:right w:val="none" w:sz="0" w:space="0" w:color="auto"/>
              </w:divBdr>
            </w:div>
            <w:div w:id="1019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9338">
      <w:bodyDiv w:val="1"/>
      <w:marLeft w:val="0"/>
      <w:marRight w:val="0"/>
      <w:marTop w:val="0"/>
      <w:marBottom w:val="0"/>
      <w:divBdr>
        <w:top w:val="none" w:sz="0" w:space="0" w:color="auto"/>
        <w:left w:val="none" w:sz="0" w:space="0" w:color="auto"/>
        <w:bottom w:val="none" w:sz="0" w:space="0" w:color="auto"/>
        <w:right w:val="none" w:sz="0" w:space="0" w:color="auto"/>
      </w:divBdr>
      <w:divsChild>
        <w:div w:id="1415056386">
          <w:marLeft w:val="0"/>
          <w:marRight w:val="0"/>
          <w:marTop w:val="0"/>
          <w:marBottom w:val="0"/>
          <w:divBdr>
            <w:top w:val="none" w:sz="0" w:space="0" w:color="auto"/>
            <w:left w:val="none" w:sz="0" w:space="0" w:color="auto"/>
            <w:bottom w:val="none" w:sz="0" w:space="0" w:color="auto"/>
            <w:right w:val="none" w:sz="0" w:space="0" w:color="auto"/>
          </w:divBdr>
          <w:divsChild>
            <w:div w:id="1594824922">
              <w:marLeft w:val="0"/>
              <w:marRight w:val="0"/>
              <w:marTop w:val="0"/>
              <w:marBottom w:val="0"/>
              <w:divBdr>
                <w:top w:val="none" w:sz="0" w:space="0" w:color="auto"/>
                <w:left w:val="none" w:sz="0" w:space="0" w:color="auto"/>
                <w:bottom w:val="none" w:sz="0" w:space="0" w:color="auto"/>
                <w:right w:val="none" w:sz="0" w:space="0" w:color="auto"/>
              </w:divBdr>
            </w:div>
            <w:div w:id="2121564114">
              <w:marLeft w:val="0"/>
              <w:marRight w:val="0"/>
              <w:marTop w:val="0"/>
              <w:marBottom w:val="0"/>
              <w:divBdr>
                <w:top w:val="none" w:sz="0" w:space="0" w:color="auto"/>
                <w:left w:val="none" w:sz="0" w:space="0" w:color="auto"/>
                <w:bottom w:val="none" w:sz="0" w:space="0" w:color="auto"/>
                <w:right w:val="none" w:sz="0" w:space="0" w:color="auto"/>
              </w:divBdr>
            </w:div>
          </w:divsChild>
        </w:div>
        <w:div w:id="711921777">
          <w:marLeft w:val="0"/>
          <w:marRight w:val="0"/>
          <w:marTop w:val="0"/>
          <w:marBottom w:val="0"/>
          <w:divBdr>
            <w:top w:val="none" w:sz="0" w:space="0" w:color="auto"/>
            <w:left w:val="none" w:sz="0" w:space="0" w:color="auto"/>
            <w:bottom w:val="none" w:sz="0" w:space="0" w:color="auto"/>
            <w:right w:val="none" w:sz="0" w:space="0" w:color="auto"/>
          </w:divBdr>
          <w:divsChild>
            <w:div w:id="814836878">
              <w:marLeft w:val="0"/>
              <w:marRight w:val="0"/>
              <w:marTop w:val="0"/>
              <w:marBottom w:val="0"/>
              <w:divBdr>
                <w:top w:val="none" w:sz="0" w:space="0" w:color="auto"/>
                <w:left w:val="none" w:sz="0" w:space="0" w:color="auto"/>
                <w:bottom w:val="none" w:sz="0" w:space="0" w:color="auto"/>
                <w:right w:val="none" w:sz="0" w:space="0" w:color="auto"/>
              </w:divBdr>
            </w:div>
            <w:div w:id="7945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4563">
      <w:bodyDiv w:val="1"/>
      <w:marLeft w:val="0"/>
      <w:marRight w:val="0"/>
      <w:marTop w:val="0"/>
      <w:marBottom w:val="0"/>
      <w:divBdr>
        <w:top w:val="none" w:sz="0" w:space="0" w:color="auto"/>
        <w:left w:val="none" w:sz="0" w:space="0" w:color="auto"/>
        <w:bottom w:val="none" w:sz="0" w:space="0" w:color="auto"/>
        <w:right w:val="none" w:sz="0" w:space="0" w:color="auto"/>
      </w:divBdr>
      <w:divsChild>
        <w:div w:id="2021272347">
          <w:marLeft w:val="0"/>
          <w:marRight w:val="0"/>
          <w:marTop w:val="0"/>
          <w:marBottom w:val="0"/>
          <w:divBdr>
            <w:top w:val="none" w:sz="0" w:space="0" w:color="auto"/>
            <w:left w:val="none" w:sz="0" w:space="0" w:color="auto"/>
            <w:bottom w:val="none" w:sz="0" w:space="0" w:color="auto"/>
            <w:right w:val="none" w:sz="0" w:space="0" w:color="auto"/>
          </w:divBdr>
          <w:divsChild>
            <w:div w:id="359744840">
              <w:marLeft w:val="0"/>
              <w:marRight w:val="0"/>
              <w:marTop w:val="0"/>
              <w:marBottom w:val="0"/>
              <w:divBdr>
                <w:top w:val="none" w:sz="0" w:space="0" w:color="auto"/>
                <w:left w:val="none" w:sz="0" w:space="0" w:color="auto"/>
                <w:bottom w:val="none" w:sz="0" w:space="0" w:color="auto"/>
                <w:right w:val="none" w:sz="0" w:space="0" w:color="auto"/>
              </w:divBdr>
              <w:divsChild>
                <w:div w:id="2035766674">
                  <w:marLeft w:val="0"/>
                  <w:marRight w:val="0"/>
                  <w:marTop w:val="0"/>
                  <w:marBottom w:val="0"/>
                  <w:divBdr>
                    <w:top w:val="none" w:sz="0" w:space="0" w:color="auto"/>
                    <w:left w:val="none" w:sz="0" w:space="0" w:color="auto"/>
                    <w:bottom w:val="none" w:sz="0" w:space="0" w:color="auto"/>
                    <w:right w:val="none" w:sz="0" w:space="0" w:color="auto"/>
                  </w:divBdr>
                </w:div>
                <w:div w:id="1623612406">
                  <w:marLeft w:val="0"/>
                  <w:marRight w:val="0"/>
                  <w:marTop w:val="0"/>
                  <w:marBottom w:val="0"/>
                  <w:divBdr>
                    <w:top w:val="none" w:sz="0" w:space="0" w:color="auto"/>
                    <w:left w:val="none" w:sz="0" w:space="0" w:color="auto"/>
                    <w:bottom w:val="none" w:sz="0" w:space="0" w:color="auto"/>
                    <w:right w:val="none" w:sz="0" w:space="0" w:color="auto"/>
                  </w:divBdr>
                </w:div>
              </w:divsChild>
            </w:div>
            <w:div w:id="1578901136">
              <w:marLeft w:val="0"/>
              <w:marRight w:val="0"/>
              <w:marTop w:val="0"/>
              <w:marBottom w:val="0"/>
              <w:divBdr>
                <w:top w:val="none" w:sz="0" w:space="0" w:color="auto"/>
                <w:left w:val="none" w:sz="0" w:space="0" w:color="auto"/>
                <w:bottom w:val="none" w:sz="0" w:space="0" w:color="auto"/>
                <w:right w:val="none" w:sz="0" w:space="0" w:color="auto"/>
              </w:divBdr>
              <w:divsChild>
                <w:div w:id="1733314476">
                  <w:marLeft w:val="0"/>
                  <w:marRight w:val="0"/>
                  <w:marTop w:val="0"/>
                  <w:marBottom w:val="0"/>
                  <w:divBdr>
                    <w:top w:val="none" w:sz="0" w:space="0" w:color="auto"/>
                    <w:left w:val="none" w:sz="0" w:space="0" w:color="auto"/>
                    <w:bottom w:val="none" w:sz="0" w:space="0" w:color="auto"/>
                    <w:right w:val="none" w:sz="0" w:space="0" w:color="auto"/>
                  </w:divBdr>
                </w:div>
                <w:div w:id="7462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483">
          <w:marLeft w:val="0"/>
          <w:marRight w:val="0"/>
          <w:marTop w:val="0"/>
          <w:marBottom w:val="0"/>
          <w:divBdr>
            <w:top w:val="none" w:sz="0" w:space="0" w:color="auto"/>
            <w:left w:val="none" w:sz="0" w:space="0" w:color="auto"/>
            <w:bottom w:val="none" w:sz="0" w:space="0" w:color="auto"/>
            <w:right w:val="none" w:sz="0" w:space="0" w:color="auto"/>
          </w:divBdr>
        </w:div>
      </w:divsChild>
    </w:div>
    <w:div w:id="1660426583">
      <w:bodyDiv w:val="1"/>
      <w:marLeft w:val="0"/>
      <w:marRight w:val="0"/>
      <w:marTop w:val="0"/>
      <w:marBottom w:val="0"/>
      <w:divBdr>
        <w:top w:val="none" w:sz="0" w:space="0" w:color="auto"/>
        <w:left w:val="none" w:sz="0" w:space="0" w:color="auto"/>
        <w:bottom w:val="none" w:sz="0" w:space="0" w:color="auto"/>
        <w:right w:val="none" w:sz="0" w:space="0" w:color="auto"/>
      </w:divBdr>
      <w:divsChild>
        <w:div w:id="939870265">
          <w:marLeft w:val="0"/>
          <w:marRight w:val="0"/>
          <w:marTop w:val="0"/>
          <w:marBottom w:val="0"/>
          <w:divBdr>
            <w:top w:val="none" w:sz="0" w:space="0" w:color="auto"/>
            <w:left w:val="none" w:sz="0" w:space="0" w:color="auto"/>
            <w:bottom w:val="none" w:sz="0" w:space="0" w:color="auto"/>
            <w:right w:val="none" w:sz="0" w:space="0" w:color="auto"/>
          </w:divBdr>
          <w:divsChild>
            <w:div w:id="19411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3185">
      <w:bodyDiv w:val="1"/>
      <w:marLeft w:val="0"/>
      <w:marRight w:val="0"/>
      <w:marTop w:val="0"/>
      <w:marBottom w:val="0"/>
      <w:divBdr>
        <w:top w:val="none" w:sz="0" w:space="0" w:color="auto"/>
        <w:left w:val="none" w:sz="0" w:space="0" w:color="auto"/>
        <w:bottom w:val="none" w:sz="0" w:space="0" w:color="auto"/>
        <w:right w:val="none" w:sz="0" w:space="0" w:color="auto"/>
      </w:divBdr>
    </w:div>
    <w:div w:id="1817410274">
      <w:bodyDiv w:val="1"/>
      <w:marLeft w:val="0"/>
      <w:marRight w:val="0"/>
      <w:marTop w:val="0"/>
      <w:marBottom w:val="0"/>
      <w:divBdr>
        <w:top w:val="none" w:sz="0" w:space="0" w:color="auto"/>
        <w:left w:val="none" w:sz="0" w:space="0" w:color="auto"/>
        <w:bottom w:val="none" w:sz="0" w:space="0" w:color="auto"/>
        <w:right w:val="none" w:sz="0" w:space="0" w:color="auto"/>
      </w:divBdr>
    </w:div>
    <w:div w:id="1899391356">
      <w:bodyDiv w:val="1"/>
      <w:marLeft w:val="0"/>
      <w:marRight w:val="0"/>
      <w:marTop w:val="0"/>
      <w:marBottom w:val="0"/>
      <w:divBdr>
        <w:top w:val="none" w:sz="0" w:space="0" w:color="auto"/>
        <w:left w:val="none" w:sz="0" w:space="0" w:color="auto"/>
        <w:bottom w:val="none" w:sz="0" w:space="0" w:color="auto"/>
        <w:right w:val="none" w:sz="0" w:space="0" w:color="auto"/>
      </w:divBdr>
    </w:div>
    <w:div w:id="1922444392">
      <w:bodyDiv w:val="1"/>
      <w:marLeft w:val="0"/>
      <w:marRight w:val="0"/>
      <w:marTop w:val="0"/>
      <w:marBottom w:val="0"/>
      <w:divBdr>
        <w:top w:val="none" w:sz="0" w:space="0" w:color="auto"/>
        <w:left w:val="none" w:sz="0" w:space="0" w:color="auto"/>
        <w:bottom w:val="none" w:sz="0" w:space="0" w:color="auto"/>
        <w:right w:val="none" w:sz="0" w:space="0" w:color="auto"/>
      </w:divBdr>
    </w:div>
    <w:div w:id="2020814530">
      <w:bodyDiv w:val="1"/>
      <w:marLeft w:val="0"/>
      <w:marRight w:val="0"/>
      <w:marTop w:val="0"/>
      <w:marBottom w:val="0"/>
      <w:divBdr>
        <w:top w:val="none" w:sz="0" w:space="0" w:color="auto"/>
        <w:left w:val="none" w:sz="0" w:space="0" w:color="auto"/>
        <w:bottom w:val="none" w:sz="0" w:space="0" w:color="auto"/>
        <w:right w:val="none" w:sz="0" w:space="0" w:color="auto"/>
      </w:divBdr>
      <w:divsChild>
        <w:div w:id="1699358592">
          <w:marLeft w:val="0"/>
          <w:marRight w:val="0"/>
          <w:marTop w:val="0"/>
          <w:marBottom w:val="0"/>
          <w:divBdr>
            <w:top w:val="none" w:sz="0" w:space="0" w:color="auto"/>
            <w:left w:val="none" w:sz="0" w:space="0" w:color="auto"/>
            <w:bottom w:val="none" w:sz="0" w:space="0" w:color="auto"/>
            <w:right w:val="none" w:sz="0" w:space="0" w:color="auto"/>
          </w:divBdr>
          <w:divsChild>
            <w:div w:id="18244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2212</Words>
  <Characters>1261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Augustinaitė</dc:creator>
  <cp:lastModifiedBy>Jurgita Plesnevičienė</cp:lastModifiedBy>
  <cp:revision>3</cp:revision>
  <cp:lastPrinted>2024-08-27T06:22:00Z</cp:lastPrinted>
  <dcterms:created xsi:type="dcterms:W3CDTF">2025-07-08T07:18:00Z</dcterms:created>
  <dcterms:modified xsi:type="dcterms:W3CDTF">2025-07-08T07:21:00Z</dcterms:modified>
</cp:coreProperties>
</file>