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0F6DF5" w:rsidP="007A2978">
      <w:pPr>
        <w:jc w:val="center"/>
        <w:rPr>
          <w:b/>
          <w:caps/>
        </w:rPr>
      </w:pPr>
      <w:r w:rsidRPr="000F6DF5">
        <w:rPr>
          <w:b/>
          <w:caps/>
        </w:rPr>
        <w:t>Nepertraukiamo maitinimo šaltin</w:t>
      </w:r>
      <w:r>
        <w:rPr>
          <w:b/>
          <w:caps/>
        </w:rPr>
        <w:t>ių</w:t>
      </w:r>
      <w:r w:rsidRPr="000F6DF5">
        <w:rPr>
          <w:b/>
          <w:caps/>
        </w:rPr>
        <w:t xml:space="preserve"> (UPS</w:t>
      </w:r>
      <w:r>
        <w:rPr>
          <w:b/>
          <w:caps/>
        </w:rPr>
        <w:t>)</w:t>
      </w:r>
      <w:r w:rsidR="00013CC7" w:rsidRPr="00013CC7">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B05854">
      <w:pPr>
        <w:pStyle w:val="BodyTextIndent"/>
        <w:numPr>
          <w:ilvl w:val="0"/>
          <w:numId w:val="35"/>
        </w:numPr>
        <w:spacing w:after="0"/>
        <w:jc w:val="both"/>
      </w:pPr>
      <w:r w:rsidRPr="00780600">
        <w:t>BENDROSIOS NUOSTATOS</w:t>
      </w:r>
    </w:p>
    <w:p w:rsidR="00126AE7" w:rsidRPr="00780600" w:rsidRDefault="00DA3F02" w:rsidP="00B05854">
      <w:pPr>
        <w:pStyle w:val="BodyTextIndent"/>
        <w:numPr>
          <w:ilvl w:val="0"/>
          <w:numId w:val="35"/>
        </w:numPr>
        <w:spacing w:after="0"/>
        <w:jc w:val="both"/>
      </w:pPr>
      <w:r w:rsidRPr="00780600">
        <w:rPr>
          <w:bCs/>
        </w:rPr>
        <w:t>PIRKIMO OBJEKTAS</w:t>
      </w:r>
    </w:p>
    <w:p w:rsidR="00126AE7" w:rsidRPr="00B05854" w:rsidRDefault="00126AE7" w:rsidP="00126AE7">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B05854">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DA3F02" w:rsidP="00B05854">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DA3F02" w:rsidP="00B05854">
      <w:pPr>
        <w:pStyle w:val="BodyTextIndent"/>
        <w:numPr>
          <w:ilvl w:val="0"/>
          <w:numId w:val="35"/>
        </w:numPr>
        <w:spacing w:after="0"/>
        <w:jc w:val="both"/>
      </w:pPr>
      <w:r w:rsidRPr="00780600">
        <w:t>PASIŪLYMŲ GALIOJIMAS</w:t>
      </w:r>
    </w:p>
    <w:p w:rsidR="00126AE7" w:rsidRPr="00780600" w:rsidRDefault="00DA3F02" w:rsidP="00B05854">
      <w:pPr>
        <w:pStyle w:val="BodyTextIndent"/>
        <w:numPr>
          <w:ilvl w:val="0"/>
          <w:numId w:val="35"/>
        </w:numPr>
        <w:spacing w:after="0"/>
        <w:jc w:val="both"/>
      </w:pPr>
      <w:r w:rsidRPr="00780600">
        <w:rPr>
          <w:bCs/>
        </w:rPr>
        <w:t>PASIŪLYMŲ PATEIKIMO TERMINAI IR TVARKA</w:t>
      </w:r>
    </w:p>
    <w:p w:rsidR="00126AE7" w:rsidRPr="00780600" w:rsidRDefault="00DA3F02" w:rsidP="00B05854">
      <w:pPr>
        <w:pStyle w:val="BodyTextIndent"/>
        <w:numPr>
          <w:ilvl w:val="0"/>
          <w:numId w:val="35"/>
        </w:numPr>
        <w:spacing w:after="0"/>
        <w:jc w:val="both"/>
      </w:pPr>
      <w:r w:rsidRPr="00780600">
        <w:rPr>
          <w:bCs/>
        </w:rPr>
        <w:t>PASIŪLYMŲ ŠIFRAVIMAS</w:t>
      </w:r>
    </w:p>
    <w:p w:rsidR="00126AE7" w:rsidRPr="00780600" w:rsidRDefault="00DA3F02" w:rsidP="00B05854">
      <w:pPr>
        <w:pStyle w:val="BodyTextIndent"/>
        <w:numPr>
          <w:ilvl w:val="0"/>
          <w:numId w:val="35"/>
        </w:numPr>
        <w:spacing w:after="0"/>
        <w:jc w:val="both"/>
      </w:pPr>
      <w:r w:rsidRPr="00780600">
        <w:rPr>
          <w:rStyle w:val="Hyperlink"/>
          <w:color w:val="auto"/>
          <w:u w:val="none"/>
        </w:rPr>
        <w:t>PIRKIMO SĄLYGŲ PAAIŠKINIMAS IR PATIKSLINIMAS</w:t>
      </w:r>
    </w:p>
    <w:p w:rsidR="00DA3F02" w:rsidRPr="00B05854" w:rsidRDefault="00126AE7" w:rsidP="00B05854">
      <w:pPr>
        <w:pStyle w:val="BodyTextIndent"/>
        <w:numPr>
          <w:ilvl w:val="0"/>
          <w:numId w:val="35"/>
        </w:numPr>
        <w:spacing w:after="0"/>
        <w:jc w:val="both"/>
        <w:rPr>
          <w:rStyle w:val="Hyperlink"/>
          <w:color w:val="auto"/>
          <w:u w:val="none"/>
        </w:rPr>
      </w:pPr>
      <w:r w:rsidRPr="00126AE7">
        <w:t>SUSIPAŽINIMO SU GAUTAIS PASIŪLYMAIS IR JŲ NAGRINĖJIMO PROCEDŪROS</w:t>
      </w:r>
    </w:p>
    <w:p w:rsidR="00126AE7" w:rsidRPr="00B05854" w:rsidRDefault="00DA3F02" w:rsidP="00B05854">
      <w:pPr>
        <w:pStyle w:val="BodyTextIndent"/>
        <w:numPr>
          <w:ilvl w:val="0"/>
          <w:numId w:val="35"/>
        </w:numPr>
        <w:spacing w:after="0"/>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B05854">
      <w:pPr>
        <w:pStyle w:val="BodyTextIndent"/>
        <w:numPr>
          <w:ilvl w:val="0"/>
          <w:numId w:val="35"/>
        </w:numPr>
        <w:spacing w:after="0"/>
        <w:jc w:val="both"/>
      </w:pPr>
      <w:r w:rsidRPr="00780600">
        <w:t>PIRKIMO SUTARTIES SUDARYMAS IR JOS SĄLYGOS</w:t>
      </w:r>
    </w:p>
    <w:p w:rsidR="00512F68" w:rsidRPr="00780600" w:rsidRDefault="00DA3F02" w:rsidP="00B05854">
      <w:pPr>
        <w:pStyle w:val="BodyTextIndent"/>
        <w:numPr>
          <w:ilvl w:val="0"/>
          <w:numId w:val="35"/>
        </w:numPr>
        <w:spacing w:after="0"/>
        <w:jc w:val="both"/>
      </w:pPr>
      <w:r w:rsidRPr="00780600">
        <w:t>PRETENZIJŲ IR SKUNDŲ NAGRINĖJIMO TVARKA</w:t>
      </w: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B05854">
      <w:pPr>
        <w:pStyle w:val="BodyTextIndent"/>
        <w:numPr>
          <w:ilvl w:val="0"/>
          <w:numId w:val="50"/>
        </w:numPr>
        <w:spacing w:after="0"/>
        <w:rPr>
          <w:rFonts w:eastAsia="Arial Unicode MS"/>
        </w:rPr>
      </w:pPr>
      <w:r w:rsidRPr="009D2C4F">
        <w:rPr>
          <w:rFonts w:eastAsia="Arial Unicode MS"/>
        </w:rPr>
        <w:t>Konkurso sąlygų 1 priedas. „Pasiūlymo forma</w:t>
      </w:r>
      <w:r w:rsidR="00B05854">
        <w:rPr>
          <w:rFonts w:eastAsia="Arial Unicode MS"/>
        </w:rPr>
        <w:t xml:space="preserve"> su</w:t>
      </w:r>
      <w:r w:rsidR="00B05854" w:rsidRPr="00B05854">
        <w:t xml:space="preserve"> </w:t>
      </w:r>
      <w:r w:rsidR="00B05854" w:rsidRPr="00B05854">
        <w:rPr>
          <w:rFonts w:eastAsia="Arial Unicode MS"/>
        </w:rPr>
        <w:t>Techninė specifikacija</w:t>
      </w:r>
      <w:r w:rsidR="00B05854">
        <w:rPr>
          <w:rFonts w:eastAsia="Arial Unicode MS"/>
        </w:rPr>
        <w:t>“ (toliau – Pasiūlymo forma)</w:t>
      </w:r>
      <w:r w:rsidRPr="009D2C4F">
        <w:rPr>
          <w:rFonts w:eastAsia="Arial Unicode MS"/>
        </w:rPr>
        <w:t xml:space="preserve">; </w:t>
      </w:r>
    </w:p>
    <w:p w:rsidR="009D2C4F" w:rsidRPr="009D2C4F" w:rsidRDefault="009D2C4F" w:rsidP="00B05854">
      <w:pPr>
        <w:pStyle w:val="BodyTextIndent"/>
        <w:numPr>
          <w:ilvl w:val="0"/>
          <w:numId w:val="50"/>
        </w:numPr>
        <w:spacing w:after="0"/>
        <w:rPr>
          <w:rFonts w:eastAsia="Arial Unicode MS"/>
        </w:rPr>
      </w:pPr>
      <w:r w:rsidRPr="009D2C4F">
        <w:rPr>
          <w:rFonts w:eastAsia="Arial Unicode MS"/>
        </w:rPr>
        <w:t>Konkurso sąlygų 2 priedas. „</w:t>
      </w:r>
      <w:r w:rsidR="00B05854" w:rsidRPr="00B05854">
        <w:rPr>
          <w:rFonts w:eastAsia="Arial Unicode MS"/>
        </w:rPr>
        <w:t>Prekių viešojo pirkimo–pardavimo sutartis (projektas) (toliau – Sutartis).</w:t>
      </w:r>
      <w:r w:rsidRPr="009D2C4F">
        <w:rPr>
          <w:rFonts w:eastAsia="Arial Unicode MS"/>
        </w:rPr>
        <w:t>“</w:t>
      </w:r>
      <w:r w:rsidR="00B05854">
        <w:rPr>
          <w:rFonts w:eastAsia="Arial Unicode MS"/>
        </w:rPr>
        <w:t>;</w:t>
      </w:r>
    </w:p>
    <w:p w:rsidR="00B05854" w:rsidRPr="00B05854" w:rsidRDefault="009D2C4F" w:rsidP="00B05854">
      <w:pPr>
        <w:pStyle w:val="ListParagraph"/>
        <w:numPr>
          <w:ilvl w:val="0"/>
          <w:numId w:val="50"/>
        </w:numPr>
        <w:rPr>
          <w:rFonts w:eastAsia="Arial Unicode MS"/>
          <w:lang w:eastAsia="en-US"/>
        </w:rPr>
      </w:pPr>
      <w:r w:rsidRPr="00B05854">
        <w:rPr>
          <w:rFonts w:eastAsia="Arial Unicode MS"/>
        </w:rPr>
        <w:t xml:space="preserve">Konkurso sąlygų 3 priedas. </w:t>
      </w:r>
      <w:r w:rsidR="00B05854" w:rsidRPr="00B05854">
        <w:rPr>
          <w:rFonts w:eastAsia="Arial Unicode MS"/>
          <w:lang w:eastAsia="en-US"/>
        </w:rPr>
        <w:t>Pirkimų, susijusių su nacionaliniu saugumu, inicijavimo ir organizavimo krašto apsaugos sistemoje tvarkos aprašo 2 priedas</w:t>
      </w:r>
    </w:p>
    <w:p w:rsidR="009D2C4F" w:rsidRPr="00B05854" w:rsidRDefault="00B05854" w:rsidP="00B05854">
      <w:pPr>
        <w:pStyle w:val="BodyTextIndent"/>
        <w:numPr>
          <w:ilvl w:val="0"/>
          <w:numId w:val="50"/>
        </w:numPr>
        <w:rPr>
          <w:rFonts w:eastAsia="Arial Unicode MS"/>
        </w:rPr>
      </w:pPr>
      <w:r w:rsidRPr="00B05854">
        <w:rPr>
          <w:rFonts w:eastAsia="Arial Unicode MS"/>
        </w:rPr>
        <w:t xml:space="preserve">Konkurso sąlygų </w:t>
      </w:r>
      <w:r>
        <w:rPr>
          <w:rFonts w:eastAsia="Arial Unicode MS"/>
        </w:rPr>
        <w:t>4</w:t>
      </w:r>
      <w:r w:rsidRPr="00B05854">
        <w:rPr>
          <w:rFonts w:eastAsia="Arial Unicode MS"/>
        </w:rPr>
        <w:t xml:space="preserve"> priedas Nacionalinio saugumo reikalavimų atitikties deklaracijos tipinė forma</w:t>
      </w:r>
    </w:p>
    <w:p w:rsidR="00512F68" w:rsidRDefault="00512F68"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Pr="00512F68" w:rsidRDefault="00B05854"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4F0237" w:rsidRPr="004F0237">
        <w:rPr>
          <w:rFonts w:eastAsia="Arial Unicode MS"/>
          <w:b/>
        </w:rPr>
        <w:t>Nepertraukiamo maitinimo šaltini</w:t>
      </w:r>
      <w:r w:rsidR="004F0237">
        <w:rPr>
          <w:rFonts w:eastAsia="Arial Unicode MS"/>
          <w:b/>
        </w:rPr>
        <w:t>us</w:t>
      </w:r>
      <w:r w:rsidR="004F0237" w:rsidRPr="004F0237">
        <w:rPr>
          <w:rFonts w:eastAsia="Arial Unicode MS"/>
          <w:b/>
        </w:rPr>
        <w:t xml:space="preserve"> (UPS)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B05854" w:rsidRDefault="00B05854" w:rsidP="00B05854">
      <w:pPr>
        <w:pStyle w:val="NormalWeb"/>
        <w:ind w:firstLine="480"/>
        <w:jc w:val="both"/>
      </w:pPr>
      <w:r>
        <w:t>1.</w:t>
      </w:r>
      <w:r>
        <w:tab/>
        <w:t xml:space="preserve">Konkurso sąlygų 1 priedas. „Pasiūlymo forma su Techninė specifikacija“ (toliau – Pasiūlymo forma); </w:t>
      </w:r>
    </w:p>
    <w:p w:rsidR="00B05854" w:rsidRDefault="00B05854" w:rsidP="00B05854">
      <w:pPr>
        <w:pStyle w:val="NormalWeb"/>
        <w:ind w:firstLine="480"/>
        <w:jc w:val="both"/>
      </w:pPr>
      <w:r>
        <w:t>2.</w:t>
      </w:r>
      <w:r>
        <w:tab/>
        <w:t>Konkurso sąlygų 2 priedas. „Prekių viešojo pirkimo–pardavimo sutartis (projektas) (toliau – Sutartis).“;</w:t>
      </w:r>
    </w:p>
    <w:p w:rsidR="00B05854" w:rsidRPr="008E726E" w:rsidRDefault="00B05854" w:rsidP="00B05854">
      <w:pPr>
        <w:pStyle w:val="NormalWeb"/>
        <w:ind w:firstLine="480"/>
        <w:jc w:val="both"/>
        <w:rPr>
          <w:lang w:val="en-US"/>
        </w:rPr>
      </w:pPr>
      <w:r>
        <w:t>3.</w:t>
      </w:r>
      <w:r>
        <w:tab/>
        <w:t>Konkurso sąlygų 3 priedas. Pirkimų, susijusių su nacionaliniu saugumu, inicijavimo ir organizavimo krašto apsaugos sistemoje tvarkos aprašo 2 priedas;</w:t>
      </w:r>
    </w:p>
    <w:p w:rsidR="003B0E72" w:rsidRDefault="00B05854" w:rsidP="00B05854">
      <w:pPr>
        <w:pStyle w:val="NormalWeb"/>
        <w:ind w:firstLine="480"/>
        <w:jc w:val="both"/>
      </w:pPr>
      <w:r>
        <w:t>4.</w:t>
      </w:r>
      <w:r>
        <w:tab/>
        <w:t>Konkurso sąlygų 4 priedas Nacionalinio saugumo reikalavimų atitikties deklaracijos tipinė forma.</w:t>
      </w: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205C23">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205C23" w:rsidRPr="00205C23">
        <w:rPr>
          <w:rFonts w:eastAsia="Calibri"/>
        </w:rPr>
        <w:t>kreiptis raštu per CVP IS</w:t>
      </w:r>
      <w:r w:rsidR="00205C23">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C372D5" w:rsidRDefault="00257FE9" w:rsidP="004F0237">
      <w:pPr>
        <w:numPr>
          <w:ilvl w:val="0"/>
          <w:numId w:val="18"/>
        </w:numPr>
        <w:autoSpaceDE w:val="0"/>
        <w:autoSpaceDN w:val="0"/>
        <w:adjustRightInd w:val="0"/>
        <w:ind w:right="-2"/>
        <w:jc w:val="both"/>
      </w:pPr>
      <w:r w:rsidRPr="00780600">
        <w:t xml:space="preserve">Pirkimo objektas – </w:t>
      </w:r>
      <w:r w:rsidR="00965528" w:rsidRPr="00965528">
        <w:rPr>
          <w:b/>
        </w:rPr>
        <w:t xml:space="preserve">Garsą slopinančios ausinės </w:t>
      </w:r>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4F0237" w:rsidRPr="004F0237">
        <w:rPr>
          <w:b/>
        </w:rPr>
        <w:t>31154000-0</w:t>
      </w:r>
      <w:r w:rsidR="009D2C4F" w:rsidRPr="00C372D5">
        <w:rPr>
          <w:b/>
        </w:rPr>
        <w:t xml:space="preserve">, </w:t>
      </w:r>
      <w:r w:rsidR="00B11924" w:rsidRPr="00B11924">
        <w:rPr>
          <w:b/>
        </w:rPr>
        <w:tab/>
      </w:r>
      <w:r w:rsidR="004F0237" w:rsidRPr="004F0237">
        <w:rPr>
          <w:b/>
        </w:rPr>
        <w:t>Nenutrūkstamojo maitinimo šaltiniai</w:t>
      </w:r>
      <w:r w:rsidR="00C372D5">
        <w:rPr>
          <w:b/>
        </w:rPr>
        <w:t>.</w:t>
      </w:r>
    </w:p>
    <w:p w:rsidR="00C372D5" w:rsidRDefault="00C372D5" w:rsidP="00C372D5">
      <w:pPr>
        <w:autoSpaceDE w:val="0"/>
        <w:autoSpaceDN w:val="0"/>
        <w:adjustRightInd w:val="0"/>
        <w:ind w:left="567" w:right="-2"/>
        <w:jc w:val="both"/>
      </w:pPr>
    </w:p>
    <w:p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AA470C" w:rsidRPr="00AA470C">
        <w:t>ir</w:t>
      </w:r>
      <w:r w:rsidRPr="00AA470C">
        <w:t xml:space="preserve"> </w:t>
      </w:r>
      <w:r w:rsidR="00651863" w:rsidRPr="00AA470C">
        <w:rPr>
          <w:b/>
        </w:rPr>
        <w:t>2</w:t>
      </w:r>
      <w:r w:rsidRPr="00AA470C">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4F0237">
        <w:t>20</w:t>
      </w:r>
      <w:r w:rsidR="00B024CF">
        <w:t xml:space="preserve"> </w:t>
      </w:r>
      <w:r w:rsidR="004F0237">
        <w:t>619</w:t>
      </w:r>
      <w:r w:rsidR="00B024CF" w:rsidRPr="00B024CF">
        <w:t>,</w:t>
      </w:r>
      <w:r w:rsidR="004F0237">
        <w:t>83</w:t>
      </w:r>
      <w:r w:rsidR="00B024CF" w:rsidRPr="00B024CF">
        <w:t xml:space="preserve"> </w:t>
      </w:r>
      <w:r w:rsidR="00B024CF" w:rsidRPr="00AA470C">
        <w:rPr>
          <w:color w:val="000000"/>
          <w:lang w:val="pt-BR"/>
        </w:rPr>
        <w:t xml:space="preserve">Eur </w:t>
      </w:r>
      <w:r w:rsidR="00B024CF">
        <w:rPr>
          <w:color w:val="000000"/>
          <w:lang w:val="pt-BR"/>
        </w:rPr>
        <w:t>be</w:t>
      </w:r>
      <w:r w:rsidR="00B024CF" w:rsidRPr="00AA470C">
        <w:rPr>
          <w:color w:val="000000"/>
          <w:lang w:val="pt-BR"/>
        </w:rPr>
        <w:t xml:space="preserve"> PVM</w:t>
      </w:r>
      <w:r w:rsidR="00B024CF" w:rsidRPr="00B024CF">
        <w:t xml:space="preserve"> </w:t>
      </w:r>
      <w:r w:rsidR="00B024CF">
        <w:t xml:space="preserve">arba </w:t>
      </w:r>
      <w:r w:rsidR="004F0237">
        <w:t>24 950</w:t>
      </w:r>
      <w:r w:rsidR="00B024CF" w:rsidRPr="00B024CF">
        <w:t xml:space="preserve">,00 </w:t>
      </w:r>
      <w:r w:rsidR="00F678D9" w:rsidRPr="00AA470C">
        <w:rPr>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w:t>
            </w:r>
            <w:r w:rsidRPr="00CD3B8F">
              <w:lastRenderedPageBreak/>
              <w:t>išduotas dokumentas (originalas arba tinkamai patvirtinta kopija) ar priesaikos deklaracija, liudijanti tiekėjo teisę verstis atitinkama veikla.</w:t>
            </w:r>
          </w:p>
        </w:tc>
        <w:tc>
          <w:tcPr>
            <w:tcW w:w="4956" w:type="dxa"/>
          </w:tcPr>
          <w:p w:rsidR="00DE1A1A" w:rsidRPr="00CD3B8F" w:rsidRDefault="009B5C75" w:rsidP="009B5C75">
            <w:pPr>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r w:rsidR="007E3697" w:rsidRPr="00596FC7" w:rsidTr="00860F41">
        <w:trPr>
          <w:trHeight w:val="558"/>
          <w:jc w:val="center"/>
        </w:trPr>
        <w:tc>
          <w:tcPr>
            <w:tcW w:w="918" w:type="dxa"/>
            <w:shd w:val="clear" w:color="auto" w:fill="auto"/>
          </w:tcPr>
          <w:p w:rsidR="007E3697" w:rsidRDefault="007E3697" w:rsidP="007E3697">
            <w:pPr>
              <w:ind w:left="-779" w:firstLine="851"/>
              <w:jc w:val="both"/>
              <w:rPr>
                <w:rFonts w:eastAsia="Calibri"/>
              </w:rPr>
            </w:pPr>
            <w:r>
              <w:rPr>
                <w:rFonts w:eastAsia="Calibri"/>
              </w:rPr>
              <w:t>3.2.2.</w:t>
            </w:r>
          </w:p>
        </w:tc>
        <w:tc>
          <w:tcPr>
            <w:tcW w:w="4469" w:type="dxa"/>
            <w:tcBorders>
              <w:top w:val="single" w:sz="4" w:space="0" w:color="auto"/>
              <w:left w:val="single" w:sz="4" w:space="0" w:color="auto"/>
              <w:bottom w:val="single" w:sz="4" w:space="0" w:color="auto"/>
              <w:right w:val="single" w:sz="4" w:space="0" w:color="auto"/>
            </w:tcBorders>
          </w:tcPr>
          <w:p w:rsidR="007E3697" w:rsidRDefault="007E3697" w:rsidP="007E3697">
            <w:pPr>
              <w:jc w:val="both"/>
            </w:pPr>
            <w:r>
              <w:t>Pirkimo objektas negali kelti grėsmės nacionaliniam saugumui:</w:t>
            </w:r>
          </w:p>
          <w:p w:rsidR="007E3697" w:rsidRDefault="007E3697" w:rsidP="007E3697">
            <w:pPr>
              <w:jc w:val="both"/>
            </w:pPr>
            <w:r>
              <w:t>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Perkančioji organizacija, veikianti gynybos srityje, turi teisę spręsti, ar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tc>
        <w:tc>
          <w:tcPr>
            <w:tcW w:w="4956" w:type="dxa"/>
          </w:tcPr>
          <w:p w:rsidR="00D41FAA" w:rsidRDefault="00D41FAA" w:rsidP="00D41FAA">
            <w:pPr>
              <w:jc w:val="both"/>
            </w:pPr>
            <w:r>
              <w:t xml:space="preserve">Teikėjas laimėtojas privalės užpildyti „Pirkimų, susijusių su nacionaliniu saugumu, inicijavimo ir organizavimo krašto apsaugos sistemoje tvarkos aprašo 2 priedą“ pirkimo dokumentų </w:t>
            </w:r>
            <w:r w:rsidR="00741C0B">
              <w:t>3</w:t>
            </w:r>
            <w:r>
              <w:t xml:space="preserve"> priedą ir pateikti reikalaujamus dokumentus.</w:t>
            </w:r>
          </w:p>
          <w:p w:rsidR="007E3697" w:rsidRPr="00CD3B8F" w:rsidRDefault="00D41FAA" w:rsidP="00D41FAA">
            <w:pPr>
              <w:jc w:val="both"/>
            </w:pPr>
            <w:r>
              <w:t>(Pateikiamos skaitmenin</w:t>
            </w:r>
            <w:bookmarkStart w:id="0" w:name="_GoBack"/>
            <w:bookmarkEnd w:id="0"/>
            <w:r>
              <w:t>ės dokumentų kopijos)</w:t>
            </w:r>
          </w:p>
        </w:tc>
      </w:tr>
      <w:tr w:rsidR="00D41FAA" w:rsidRPr="00596FC7" w:rsidTr="00860F41">
        <w:trPr>
          <w:trHeight w:val="558"/>
          <w:jc w:val="center"/>
        </w:trPr>
        <w:tc>
          <w:tcPr>
            <w:tcW w:w="918" w:type="dxa"/>
            <w:shd w:val="clear" w:color="auto" w:fill="auto"/>
          </w:tcPr>
          <w:p w:rsidR="00D41FAA" w:rsidRDefault="00D41FAA" w:rsidP="007E3697">
            <w:pPr>
              <w:ind w:left="-779" w:firstLine="851"/>
              <w:jc w:val="both"/>
              <w:rPr>
                <w:rFonts w:eastAsia="Calibri"/>
              </w:rPr>
            </w:pPr>
          </w:p>
        </w:tc>
        <w:tc>
          <w:tcPr>
            <w:tcW w:w="4469" w:type="dxa"/>
            <w:tcBorders>
              <w:top w:val="single" w:sz="4" w:space="0" w:color="auto"/>
              <w:left w:val="single" w:sz="4" w:space="0" w:color="auto"/>
              <w:bottom w:val="single" w:sz="4" w:space="0" w:color="auto"/>
              <w:right w:val="single" w:sz="4" w:space="0" w:color="auto"/>
            </w:tcBorders>
          </w:tcPr>
          <w:p w:rsidR="00D41FAA" w:rsidRDefault="00D41FAA" w:rsidP="00D41FAA">
            <w:pPr>
              <w:jc w:val="both"/>
            </w:pPr>
            <w:r>
              <w:t xml:space="preserve">Nacionalinio saugumo reikalavimų atitikties </w:t>
            </w:r>
          </w:p>
          <w:p w:rsidR="00D41FAA" w:rsidRDefault="00D41FAA" w:rsidP="00D41FAA">
            <w:pPr>
              <w:jc w:val="both"/>
            </w:pPr>
            <w:r>
              <w:t>deklaracijos tipinė forma,</w:t>
            </w:r>
          </w:p>
          <w:p w:rsidR="00D41FAA" w:rsidRDefault="00D41FAA" w:rsidP="00D41FAA">
            <w:pPr>
              <w:jc w:val="both"/>
            </w:pPr>
            <w:r>
              <w:t xml:space="preserve">patvirtinta Viešųjų pirkimų tarnybos </w:t>
            </w:r>
          </w:p>
          <w:p w:rsidR="00D41FAA" w:rsidRDefault="00D41FAA" w:rsidP="00D41FAA">
            <w:pPr>
              <w:jc w:val="both"/>
            </w:pPr>
            <w:r>
              <w:t>direktoriaus 2022 m. gruodžio 29 d.</w:t>
            </w:r>
          </w:p>
          <w:p w:rsidR="00D41FAA" w:rsidRDefault="00D41FAA" w:rsidP="00D41FAA">
            <w:pPr>
              <w:jc w:val="both"/>
            </w:pPr>
            <w:r>
              <w:t>įsakymu Nr. 1S-233</w:t>
            </w:r>
          </w:p>
        </w:tc>
        <w:tc>
          <w:tcPr>
            <w:tcW w:w="4956" w:type="dxa"/>
          </w:tcPr>
          <w:p w:rsidR="00D41FAA" w:rsidRDefault="00D41FAA" w:rsidP="00D41FAA">
            <w:pPr>
              <w:jc w:val="both"/>
            </w:pPr>
            <w:r>
              <w:t>Teikėjas pateikdamas pasiūlymą privalo užpildyti ir pateikti deklaraciją CVP IS priemonėmis</w:t>
            </w:r>
          </w:p>
          <w:p w:rsidR="00D41FAA" w:rsidRDefault="00D41FAA" w:rsidP="00D41FAA">
            <w:pPr>
              <w:jc w:val="both"/>
            </w:pPr>
            <w:r>
              <w:t>(Pateikiamos skaitmeninės dokumentų kopijos)</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Perkančioji organizacija </w:t>
      </w:r>
      <w:r w:rsidR="008E726E">
        <w:rPr>
          <w:i w:val="0"/>
          <w:color w:val="000000" w:themeColor="text1"/>
          <w:lang w:val="lt-LT"/>
        </w:rPr>
        <w:t>reikalaus</w:t>
      </w:r>
      <w:r w:rsidRPr="00E1218D">
        <w:rPr>
          <w:i w:val="0"/>
          <w:color w:val="000000" w:themeColor="text1"/>
          <w:lang w:val="lt-LT"/>
        </w:rPr>
        <w:t xml:space="preserve"> pateikti visus reikalingus dokumentus</w:t>
      </w:r>
      <w:r w:rsidR="007E3697">
        <w:rPr>
          <w:i w:val="0"/>
          <w:color w:val="000000" w:themeColor="text1"/>
          <w:lang w:val="lt-LT"/>
        </w:rPr>
        <w:t xml:space="preserve"> tik iš pirkimą galimai laimėjusio tiekėjo</w:t>
      </w:r>
      <w:r w:rsidRPr="00E1218D">
        <w:rPr>
          <w:i w:val="0"/>
          <w:color w:val="000000" w:themeColor="text1"/>
          <w:lang w:val="lt-LT"/>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lastRenderedPageBreak/>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 xml:space="preserve">Taip pat šia jungtinės veiklos sutartimi turi būti užtikrinta solidari visų jos šalių </w:t>
      </w:r>
      <w:r w:rsidR="00DA3F02" w:rsidRPr="00E1218D">
        <w:rPr>
          <w:b/>
          <w:spacing w:val="2"/>
        </w:rPr>
        <w:lastRenderedPageBreak/>
        <w:t>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tiekėjai, kurie yra užsiregistravę CVP IS</w:t>
      </w:r>
      <w:r w:rsidR="00B11924">
        <w:rPr>
          <w:rFonts w:eastAsia="Arial Unicode MS"/>
          <w:spacing w:val="-4"/>
          <w:sz w:val="24"/>
          <w:szCs w:val="24"/>
        </w:rPr>
        <w:t>.</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 xml:space="preserve">Jei atitinkami dokumentai yra išduoti kita, nei reikalaujama kalba, turi būti pateiktas tinkamai patvirtintas vertimas į lietuvių kalbą. Tinkamu vertimu yra laikomas vertimas, kuris yra patvirtintas </w:t>
      </w:r>
      <w:r w:rsidR="00AE4278" w:rsidRPr="00AE4278">
        <w:rPr>
          <w:rFonts w:eastAsia="Lucida Sans Unicode"/>
          <w:i w:val="0"/>
          <w:color w:val="000000"/>
          <w:spacing w:val="-4"/>
          <w:lang w:val="lt-LT"/>
        </w:rPr>
        <w:lastRenderedPageBreak/>
        <w:t>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B11924">
        <w:rPr>
          <w:color w:val="000000"/>
          <w:sz w:val="24"/>
          <w:szCs w:val="24"/>
        </w:rPr>
        <w:t>90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lastRenderedPageBreak/>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w:t>
      </w:r>
      <w:r w:rsidR="00B11924">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B66CCF" w:rsidRDefault="00B66CCF" w:rsidP="00C372D5">
      <w:pPr>
        <w:pStyle w:val="Default"/>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C372D5" w:rsidRPr="00C372D5" w:rsidRDefault="00C372D5" w:rsidP="00C372D5">
      <w:pPr>
        <w:pStyle w:val="ListParagraph"/>
        <w:rPr>
          <w:color w:val="000000"/>
        </w:rPr>
      </w:pPr>
    </w:p>
    <w:p w:rsidR="0021107A" w:rsidRPr="00B11924" w:rsidRDefault="0021107A" w:rsidP="00B11924">
      <w:pPr>
        <w:tabs>
          <w:tab w:val="left" w:pos="-142"/>
          <w:tab w:val="left" w:pos="1134"/>
          <w:tab w:val="num" w:pos="1418"/>
        </w:tabs>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F6B" w:rsidRDefault="00D75F6B">
      <w:r>
        <w:separator/>
      </w:r>
    </w:p>
  </w:endnote>
  <w:endnote w:type="continuationSeparator" w:id="0">
    <w:p w:rsidR="00D75F6B" w:rsidRDefault="00D7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F6B" w:rsidRDefault="00D75F6B">
      <w:r>
        <w:separator/>
      </w:r>
    </w:p>
  </w:footnote>
  <w:footnote w:type="continuationSeparator" w:id="0">
    <w:p w:rsidR="00D75F6B" w:rsidRDefault="00D7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C0B">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3CC7"/>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48FA"/>
    <w:rsid w:val="000C5A35"/>
    <w:rsid w:val="000C5B4A"/>
    <w:rsid w:val="000C7BE5"/>
    <w:rsid w:val="000D2DF5"/>
    <w:rsid w:val="000D3162"/>
    <w:rsid w:val="000D48E6"/>
    <w:rsid w:val="000D5A02"/>
    <w:rsid w:val="000E216B"/>
    <w:rsid w:val="000E71B2"/>
    <w:rsid w:val="000E7900"/>
    <w:rsid w:val="000F2D5F"/>
    <w:rsid w:val="000F464A"/>
    <w:rsid w:val="000F4801"/>
    <w:rsid w:val="000F6DF5"/>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7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C23"/>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3C3"/>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57D1"/>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0237"/>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1C0B"/>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3697"/>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E726E"/>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528"/>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562"/>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673C"/>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24CF"/>
    <w:rsid w:val="00B04E96"/>
    <w:rsid w:val="00B04FC2"/>
    <w:rsid w:val="00B05854"/>
    <w:rsid w:val="00B070D9"/>
    <w:rsid w:val="00B11371"/>
    <w:rsid w:val="00B1142F"/>
    <w:rsid w:val="00B11924"/>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27E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19EB"/>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FAA"/>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75F6B"/>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47FE"/>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2E5"/>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A94BB"/>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7A636-7320-427A-BC31-ADEC8BC2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20275</Words>
  <Characters>11557</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31769</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4</cp:revision>
  <cp:lastPrinted>2023-07-13T06:43:00Z</cp:lastPrinted>
  <dcterms:created xsi:type="dcterms:W3CDTF">2025-07-08T11:02:00Z</dcterms:created>
  <dcterms:modified xsi:type="dcterms:W3CDTF">2025-07-08T13:00:00Z</dcterms:modified>
</cp:coreProperties>
</file>