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Sąlygų priedas Nr. 1</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A430A0" w:rsidRDefault="00A430A0" w:rsidP="003F7745">
      <w:pPr>
        <w:ind w:firstLine="0"/>
        <w:jc w:val="center"/>
        <w:rPr>
          <w:b/>
          <w:caps/>
        </w:rPr>
      </w:pPr>
      <w:r w:rsidRPr="00A430A0">
        <w:rPr>
          <w:b/>
          <w:caps/>
        </w:rPr>
        <w:t xml:space="preserve">NEPERTRAUKIAMO MAITINIMO ŠALTINIŲ (UPS) </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D94AAA"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D94AAA" w:rsidRPr="003F7745" w:rsidRDefault="00D94AAA" w:rsidP="00D94AAA">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Pr>
                <w:b/>
                <w:szCs w:val="24"/>
                <w:lang w:eastAsia="lt-LT"/>
              </w:rPr>
              <w:t>Numatomas prekių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D94AAA" w:rsidP="00A03CED">
            <w:pPr>
              <w:tabs>
                <w:tab w:val="left" w:pos="6071"/>
              </w:tabs>
              <w:spacing w:line="259" w:lineRule="auto"/>
              <w:ind w:firstLine="0"/>
              <w:jc w:val="center"/>
              <w:rPr>
                <w:b/>
                <w:szCs w:val="24"/>
                <w:lang w:eastAsia="lt-LT"/>
              </w:rPr>
            </w:pPr>
            <w:r>
              <w:rPr>
                <w:b/>
                <w:szCs w:val="24"/>
                <w:lang w:eastAsia="lt-LT"/>
              </w:rPr>
              <w:t>K</w:t>
            </w:r>
            <w:r w:rsidR="00A03CED" w:rsidRPr="003F7745">
              <w:rPr>
                <w:b/>
                <w:szCs w:val="24"/>
                <w:lang w:eastAsia="lt-LT"/>
              </w:rPr>
              <w:t>aina</w:t>
            </w:r>
            <w:r w:rsidR="00A03CED">
              <w:rPr>
                <w:b/>
                <w:szCs w:val="24"/>
                <w:lang w:eastAsia="lt-LT"/>
              </w:rPr>
              <w:t xml:space="preserve"> Eur</w:t>
            </w:r>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rsidTr="00A03CED">
        <w:tc>
          <w:tcPr>
            <w:tcW w:w="570"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rsidR="00A03CED" w:rsidRPr="00D37CF9" w:rsidRDefault="00A430A0" w:rsidP="00A430A0">
            <w:pPr>
              <w:ind w:firstLine="0"/>
              <w:jc w:val="center"/>
              <w:rPr>
                <w:color w:val="000000"/>
                <w:szCs w:val="24"/>
              </w:rPr>
            </w:pPr>
            <w:r w:rsidRPr="00A430A0">
              <w:rPr>
                <w:b/>
                <w:color w:val="000000"/>
                <w:szCs w:val="24"/>
              </w:rPr>
              <w:t>Nepertraukiamo maitinimo šaltini</w:t>
            </w:r>
            <w:r>
              <w:rPr>
                <w:b/>
                <w:color w:val="000000"/>
                <w:szCs w:val="24"/>
              </w:rPr>
              <w:t>s</w:t>
            </w:r>
            <w:r w:rsidRPr="00A430A0">
              <w:rPr>
                <w:b/>
                <w:color w:val="000000"/>
                <w:szCs w:val="24"/>
              </w:rPr>
              <w:t xml:space="preserve"> (UPS) </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CED" w:rsidRPr="00D37CF9" w:rsidRDefault="00A430A0" w:rsidP="00755BF7">
            <w:pPr>
              <w:ind w:firstLine="0"/>
              <w:jc w:val="center"/>
              <w:rPr>
                <w:color w:val="000000"/>
                <w:szCs w:val="24"/>
              </w:rPr>
            </w:pPr>
            <w:r>
              <w:rPr>
                <w:color w:val="000000"/>
                <w:szCs w:val="24"/>
              </w:rPr>
              <w:t>50</w:t>
            </w:r>
          </w:p>
        </w:tc>
        <w:tc>
          <w:tcPr>
            <w:tcW w:w="2552"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693" w:type="dxa"/>
            <w:tcBorders>
              <w:top w:val="single" w:sz="4" w:space="0" w:color="auto"/>
              <w:left w:val="single" w:sz="4" w:space="0" w:color="auto"/>
              <w:bottom w:val="single" w:sz="4" w:space="0" w:color="auto"/>
              <w:right w:val="single" w:sz="4" w:space="0" w:color="auto"/>
            </w:tcBorders>
            <w:vAlign w:val="center"/>
          </w:tcPr>
          <w:p w:rsidR="00A03CED" w:rsidRPr="003F7745" w:rsidRDefault="00A03CED" w:rsidP="00755BF7">
            <w:pPr>
              <w:tabs>
                <w:tab w:val="left" w:pos="6071"/>
              </w:tabs>
              <w:spacing w:line="259" w:lineRule="auto"/>
              <w:ind w:firstLine="0"/>
              <w:jc w:val="center"/>
              <w:rPr>
                <w:szCs w:val="24"/>
                <w:lang w:eastAsia="lt-LT"/>
              </w:rPr>
            </w:pPr>
          </w:p>
        </w:tc>
      </w:tr>
      <w:tr w:rsidR="00A03CED" w:rsidRPr="003F7745"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3CED" w:rsidRPr="00AA29ED" w:rsidRDefault="00A03CED" w:rsidP="00755BF7">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rsidR="00BB4DE6" w:rsidRPr="00111DB2" w:rsidRDefault="00BB4DE6" w:rsidP="00F2307C">
            <w:pPr>
              <w:ind w:firstLine="0"/>
              <w:jc w:val="center"/>
              <w:rPr>
                <w:i/>
                <w:color w:val="000000"/>
                <w:sz w:val="20"/>
                <w:lang w:eastAsia="lt-LT"/>
              </w:rPr>
            </w:pPr>
            <w:r w:rsidRPr="00111DB2">
              <w:rPr>
                <w:i/>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rsidTr="00865AED">
        <w:trPr>
          <w:trHeight w:val="167"/>
        </w:trPr>
        <w:tc>
          <w:tcPr>
            <w:tcW w:w="7230" w:type="dxa"/>
            <w:shd w:val="clear" w:color="auto" w:fill="FFFFFF"/>
            <w:tcMar>
              <w:top w:w="0" w:type="dxa"/>
              <w:left w:w="98" w:type="dxa"/>
              <w:bottom w:w="0" w:type="dxa"/>
              <w:right w:w="108" w:type="dxa"/>
            </w:tcMar>
            <w:vAlign w:val="center"/>
          </w:tcPr>
          <w:p w:rsidR="00BB4DE6" w:rsidRPr="004C4851" w:rsidRDefault="000E662F" w:rsidP="002B1550">
            <w:pPr>
              <w:ind w:firstLine="0"/>
              <w:rPr>
                <w:b/>
                <w:bCs/>
                <w:color w:val="000000"/>
                <w:szCs w:val="24"/>
                <w:lang w:eastAsia="lt-LT"/>
              </w:rPr>
            </w:pPr>
            <w:r>
              <w:rPr>
                <w:b/>
                <w:color w:val="000000"/>
                <w:szCs w:val="24"/>
              </w:rPr>
              <w:t xml:space="preserve">1. </w:t>
            </w:r>
            <w:r w:rsidR="00AA783C" w:rsidRPr="00AA783C">
              <w:rPr>
                <w:b/>
                <w:color w:val="000000"/>
                <w:szCs w:val="24"/>
              </w:rPr>
              <w:t>Nepertraukiamo maitinimo šaltinis (UPS)</w:t>
            </w:r>
          </w:p>
        </w:tc>
        <w:tc>
          <w:tcPr>
            <w:tcW w:w="7087" w:type="dxa"/>
            <w:shd w:val="clear" w:color="auto" w:fill="FFFFFF"/>
          </w:tcPr>
          <w:p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D94AAA" w:rsidRPr="004C4851"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AA783C" w:rsidRPr="00111DB2" w:rsidRDefault="00AA783C" w:rsidP="00AA783C">
            <w:pPr>
              <w:pStyle w:val="ListParagraph"/>
              <w:numPr>
                <w:ilvl w:val="0"/>
                <w:numId w:val="17"/>
              </w:numPr>
              <w:rPr>
                <w:color w:val="000000" w:themeColor="text1"/>
                <w:sz w:val="22"/>
                <w:szCs w:val="22"/>
                <w:lang w:eastAsia="lt-LT"/>
              </w:rPr>
            </w:pPr>
            <w:r w:rsidRPr="00111DB2">
              <w:rPr>
                <w:color w:val="000000" w:themeColor="text1"/>
                <w:sz w:val="22"/>
                <w:szCs w:val="22"/>
                <w:lang w:eastAsia="lt-LT"/>
              </w:rPr>
              <w:t>Bendrieji reikalavimai:</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pateikiama techninė įranga privalo būti nauja (negali būti atnaujinta, restauruota (angl. </w:t>
            </w:r>
            <w:proofErr w:type="spellStart"/>
            <w:r w:rsidRPr="00111DB2">
              <w:rPr>
                <w:color w:val="000000" w:themeColor="text1"/>
                <w:sz w:val="22"/>
                <w:szCs w:val="22"/>
                <w:lang w:eastAsia="lt-LT"/>
              </w:rPr>
              <w:t>refurbished</w:t>
            </w:r>
            <w:proofErr w:type="spellEnd"/>
            <w:r w:rsidRPr="00111DB2">
              <w:rPr>
                <w:color w:val="000000" w:themeColor="text1"/>
                <w:sz w:val="22"/>
                <w:szCs w:val="22"/>
                <w:lang w:eastAsia="lt-LT"/>
              </w:rPr>
              <w:t>), nenaudota, pateikta nepažeistoje gamyklinėje pakuotėje.</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tiekėjas turi užtikrinti, kad gamintojas nėra paskelbęs žinios apie siūlomos įrangos gamybos arba tobulinimo nutraukimą (pvz., angl. </w:t>
            </w:r>
            <w:proofErr w:type="spellStart"/>
            <w:r w:rsidRPr="00111DB2">
              <w:rPr>
                <w:color w:val="000000" w:themeColor="text1"/>
                <w:sz w:val="22"/>
                <w:szCs w:val="22"/>
                <w:lang w:eastAsia="lt-LT"/>
              </w:rPr>
              <w:t>end</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of</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life</w:t>
            </w:r>
            <w:proofErr w:type="spellEnd"/>
            <w:r w:rsidRPr="00111DB2">
              <w:rPr>
                <w:color w:val="000000" w:themeColor="text1"/>
                <w:sz w:val="22"/>
                <w:szCs w:val="22"/>
                <w:lang w:eastAsia="lt-LT"/>
              </w:rPr>
              <w:t xml:space="preserve"> </w:t>
            </w:r>
            <w:proofErr w:type="spellStart"/>
            <w:r w:rsidRPr="00111DB2">
              <w:rPr>
                <w:color w:val="000000" w:themeColor="text1"/>
                <w:sz w:val="22"/>
                <w:szCs w:val="22"/>
                <w:lang w:eastAsia="lt-LT"/>
              </w:rPr>
              <w:t>time</w:t>
            </w:r>
            <w:proofErr w:type="spellEnd"/>
            <w:r w:rsidRPr="00111DB2">
              <w:rPr>
                <w:color w:val="000000" w:themeColor="text1"/>
                <w:sz w:val="22"/>
                <w:szCs w:val="22"/>
                <w:lang w:eastAsia="lt-LT"/>
              </w:rPr>
              <w:t xml:space="preserve"> ar </w:t>
            </w:r>
            <w:proofErr w:type="spellStart"/>
            <w:r w:rsidRPr="00111DB2">
              <w:rPr>
                <w:color w:val="000000" w:themeColor="text1"/>
                <w:sz w:val="22"/>
                <w:szCs w:val="22"/>
                <w:lang w:eastAsia="lt-LT"/>
              </w:rPr>
              <w:t>Discontinued</w:t>
            </w:r>
            <w:proofErr w:type="spellEnd"/>
            <w:r w:rsidRPr="00111DB2">
              <w:rPr>
                <w:color w:val="000000" w:themeColor="text1"/>
                <w:sz w:val="22"/>
                <w:szCs w:val="22"/>
                <w:lang w:eastAsia="lt-LT"/>
              </w:rPr>
              <w:t xml:space="preserve">).  </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garantinio remonto trukmė – ne ilgiau kaip 30 kalendorinių dienų. Jei sugedusios įrangos per šį laikotarpį pataisyti neįmanoma, ji pakeičiama ekvivalentiška nauja ne ilgiau kaip 30 kalendorinių dienų.</w:t>
            </w:r>
          </w:p>
          <w:p w:rsidR="00AA783C" w:rsidRPr="00111DB2" w:rsidRDefault="00AA783C" w:rsidP="00AA783C">
            <w:pPr>
              <w:pStyle w:val="ListParagraph"/>
              <w:numPr>
                <w:ilvl w:val="1"/>
                <w:numId w:val="17"/>
              </w:numPr>
              <w:rPr>
                <w:color w:val="000000" w:themeColor="text1"/>
                <w:sz w:val="22"/>
                <w:szCs w:val="22"/>
                <w:lang w:eastAsia="lt-LT"/>
              </w:rPr>
            </w:pPr>
            <w:r w:rsidRPr="00111DB2">
              <w:rPr>
                <w:color w:val="000000" w:themeColor="text1"/>
                <w:sz w:val="22"/>
                <w:szCs w:val="22"/>
                <w:lang w:eastAsia="lt-LT"/>
              </w:rPr>
              <w:t xml:space="preserve"> garantija: įrangai taikoma ne mažiau kaip 2 metų garantija.</w:t>
            </w:r>
          </w:p>
          <w:p w:rsidR="00955E88" w:rsidRPr="00111DB2" w:rsidRDefault="00AA783C" w:rsidP="00AA783C">
            <w:pPr>
              <w:pStyle w:val="ListParagraph"/>
              <w:numPr>
                <w:ilvl w:val="1"/>
                <w:numId w:val="17"/>
              </w:numPr>
              <w:rPr>
                <w:rFonts w:eastAsiaTheme="minorHAnsi"/>
                <w:sz w:val="22"/>
                <w:szCs w:val="22"/>
              </w:rPr>
            </w:pPr>
            <w:r w:rsidRPr="00111DB2">
              <w:rPr>
                <w:color w:val="000000" w:themeColor="text1"/>
                <w:sz w:val="22"/>
                <w:szCs w:val="22"/>
                <w:lang w:eastAsia="lt-LT"/>
              </w:rPr>
              <w:t xml:space="preserve"> į pasiūlymą turi būti įtrauktos pristatymo išlaidos.</w:t>
            </w:r>
          </w:p>
          <w:p w:rsidR="00111DB2" w:rsidRPr="00111DB2" w:rsidRDefault="00111DB2" w:rsidP="00111DB2">
            <w:pPr>
              <w:pStyle w:val="ListParagraph"/>
              <w:numPr>
                <w:ilvl w:val="0"/>
                <w:numId w:val="17"/>
              </w:numPr>
              <w:rPr>
                <w:rFonts w:eastAsiaTheme="minorHAnsi"/>
                <w:sz w:val="22"/>
                <w:szCs w:val="22"/>
              </w:rPr>
            </w:pPr>
            <w:proofErr w:type="spellStart"/>
            <w:r w:rsidRPr="00111DB2">
              <w:rPr>
                <w:rFonts w:eastAsiaTheme="minorHAnsi"/>
                <w:sz w:val="22"/>
                <w:szCs w:val="22"/>
              </w:rPr>
              <w:t>Topologija</w:t>
            </w:r>
            <w:proofErr w:type="spellEnd"/>
            <w:r w:rsidRPr="00111DB2">
              <w:rPr>
                <w:rFonts w:eastAsiaTheme="minorHAnsi"/>
                <w:sz w:val="22"/>
                <w:szCs w:val="22"/>
              </w:rPr>
              <w:t>:</w:t>
            </w:r>
            <w:r w:rsidRPr="00111DB2">
              <w:rPr>
                <w:rFonts w:eastAsiaTheme="minorHAnsi"/>
                <w:sz w:val="22"/>
                <w:szCs w:val="22"/>
              </w:rPr>
              <w:t xml:space="preserve"> </w:t>
            </w:r>
            <w:r w:rsidRPr="00111DB2">
              <w:rPr>
                <w:rFonts w:eastAsiaTheme="minorHAnsi"/>
                <w:sz w:val="22"/>
                <w:szCs w:val="22"/>
              </w:rPr>
              <w:t>„Line-</w:t>
            </w:r>
            <w:proofErr w:type="spellStart"/>
            <w:r w:rsidRPr="00111DB2">
              <w:rPr>
                <w:rFonts w:eastAsiaTheme="minorHAnsi"/>
                <w:sz w:val="22"/>
                <w:szCs w:val="22"/>
              </w:rPr>
              <w:t>Interactive</w:t>
            </w:r>
            <w:proofErr w:type="spellEnd"/>
            <w:r w:rsidRPr="00111DB2">
              <w:rPr>
                <w:rFonts w:eastAsiaTheme="minorHAnsi"/>
                <w:sz w:val="22"/>
                <w:szCs w:val="22"/>
              </w:rPr>
              <w:t>“ arba lygiavertė</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galia (VA):</w:t>
            </w:r>
            <w:r w:rsidRPr="00111DB2">
              <w:rPr>
                <w:rFonts w:eastAsiaTheme="minorHAnsi"/>
                <w:sz w:val="22"/>
                <w:szCs w:val="22"/>
              </w:rPr>
              <w:t xml:space="preserve"> </w:t>
            </w:r>
            <w:r w:rsidRPr="00111DB2">
              <w:rPr>
                <w:rFonts w:eastAsiaTheme="minorHAnsi"/>
                <w:sz w:val="22"/>
                <w:szCs w:val="22"/>
              </w:rPr>
              <w:t>Ne žemiau nei 750VA</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galia:</w:t>
            </w:r>
            <w:r w:rsidRPr="00111DB2">
              <w:rPr>
                <w:rFonts w:eastAsiaTheme="minorHAnsi"/>
                <w:sz w:val="22"/>
                <w:szCs w:val="22"/>
              </w:rPr>
              <w:t xml:space="preserve"> </w:t>
            </w:r>
            <w:r w:rsidRPr="00111DB2">
              <w:rPr>
                <w:rFonts w:eastAsiaTheme="minorHAnsi"/>
                <w:sz w:val="22"/>
                <w:szCs w:val="22"/>
              </w:rPr>
              <w:t>Ne mažiau 500 W</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jungtys:</w:t>
            </w:r>
            <w:r w:rsidRPr="00111DB2">
              <w:rPr>
                <w:rFonts w:eastAsiaTheme="minorHAnsi"/>
                <w:sz w:val="22"/>
                <w:szCs w:val="22"/>
              </w:rPr>
              <w:t xml:space="preserve"> </w:t>
            </w:r>
            <w:r w:rsidRPr="00111DB2">
              <w:rPr>
                <w:rFonts w:eastAsiaTheme="minorHAnsi"/>
                <w:sz w:val="22"/>
                <w:szCs w:val="22"/>
              </w:rPr>
              <w:t>IEC 320 C13</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lastRenderedPageBreak/>
              <w:t>Įvesties jungtis:</w:t>
            </w:r>
            <w:r w:rsidRPr="00111DB2">
              <w:rPr>
                <w:rFonts w:eastAsiaTheme="minorHAnsi"/>
                <w:sz w:val="22"/>
                <w:szCs w:val="22"/>
              </w:rPr>
              <w:t xml:space="preserve"> </w:t>
            </w:r>
            <w:r w:rsidRPr="00111DB2">
              <w:rPr>
                <w:rFonts w:eastAsiaTheme="minorHAnsi"/>
                <w:sz w:val="22"/>
                <w:szCs w:val="22"/>
              </w:rPr>
              <w:t>IEC 320 C14</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Signalų forma</w:t>
            </w:r>
            <w:r w:rsidRPr="00111DB2">
              <w:rPr>
                <w:rFonts w:eastAsiaTheme="minorHAnsi"/>
                <w:sz w:val="22"/>
                <w:szCs w:val="22"/>
              </w:rPr>
              <w:t xml:space="preserve">: </w:t>
            </w:r>
            <w:r w:rsidRPr="00111DB2">
              <w:rPr>
                <w:rFonts w:eastAsiaTheme="minorHAnsi"/>
                <w:sz w:val="22"/>
                <w:szCs w:val="22"/>
              </w:rPr>
              <w:t>Sinusas</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Įvesties eksploatacinė įtampa (min-</w:t>
            </w:r>
            <w:proofErr w:type="spellStart"/>
            <w:r w:rsidRPr="00111DB2">
              <w:rPr>
                <w:rFonts w:eastAsiaTheme="minorHAnsi"/>
                <w:sz w:val="22"/>
                <w:szCs w:val="22"/>
              </w:rPr>
              <w:t>max</w:t>
            </w:r>
            <w:proofErr w:type="spellEnd"/>
            <w:r w:rsidRPr="00111DB2">
              <w:rPr>
                <w:rFonts w:eastAsiaTheme="minorHAnsi"/>
                <w:sz w:val="22"/>
                <w:szCs w:val="22"/>
              </w:rPr>
              <w:t>)</w:t>
            </w:r>
            <w:r w:rsidRPr="00111DB2">
              <w:rPr>
                <w:rFonts w:eastAsiaTheme="minorHAnsi"/>
                <w:sz w:val="22"/>
                <w:szCs w:val="22"/>
              </w:rPr>
              <w:t xml:space="preserve">: </w:t>
            </w:r>
            <w:r w:rsidRPr="00111DB2">
              <w:rPr>
                <w:rFonts w:eastAsiaTheme="minorHAnsi"/>
                <w:sz w:val="22"/>
                <w:szCs w:val="22"/>
              </w:rPr>
              <w:t>Ne mažiau nei 151 V- ne daugiau nei 302 V</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Įėjimo dažnis</w:t>
            </w:r>
            <w:r w:rsidRPr="00111DB2">
              <w:rPr>
                <w:rFonts w:eastAsiaTheme="minorHAnsi"/>
                <w:sz w:val="22"/>
                <w:szCs w:val="22"/>
              </w:rPr>
              <w:t xml:space="preserve"> </w:t>
            </w:r>
            <w:r w:rsidRPr="00111DB2">
              <w:rPr>
                <w:rFonts w:eastAsiaTheme="minorHAnsi"/>
                <w:sz w:val="22"/>
                <w:szCs w:val="22"/>
              </w:rPr>
              <w:t>50/60 Hz ± 3 H</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Išvesties darbinė įtampa (min-</w:t>
            </w:r>
            <w:proofErr w:type="spellStart"/>
            <w:r w:rsidRPr="00111DB2">
              <w:rPr>
                <w:rFonts w:eastAsiaTheme="minorHAnsi"/>
                <w:sz w:val="22"/>
                <w:szCs w:val="22"/>
              </w:rPr>
              <w:t>max</w:t>
            </w:r>
            <w:proofErr w:type="spellEnd"/>
            <w:r w:rsidRPr="00111DB2">
              <w:rPr>
                <w:rFonts w:eastAsiaTheme="minorHAnsi"/>
                <w:sz w:val="22"/>
                <w:szCs w:val="22"/>
              </w:rPr>
              <w:t>)</w:t>
            </w:r>
            <w:r w:rsidRPr="00111DB2">
              <w:rPr>
                <w:rFonts w:eastAsiaTheme="minorHAnsi"/>
                <w:sz w:val="22"/>
                <w:szCs w:val="22"/>
              </w:rPr>
              <w:t xml:space="preserve"> </w:t>
            </w:r>
            <w:r w:rsidRPr="00111DB2">
              <w:rPr>
                <w:rFonts w:eastAsiaTheme="minorHAnsi"/>
                <w:sz w:val="22"/>
                <w:szCs w:val="22"/>
              </w:rPr>
              <w:t>220 V- 240 V</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Automatinis įtampos reguliavimas (AVR)</w:t>
            </w:r>
            <w:r w:rsidRPr="00111DB2">
              <w:rPr>
                <w:rFonts w:eastAsiaTheme="minorHAnsi"/>
                <w:sz w:val="22"/>
                <w:szCs w:val="22"/>
              </w:rPr>
              <w:t>, turi būti</w:t>
            </w:r>
          </w:p>
          <w:p w:rsidR="00111DB2" w:rsidRPr="00111DB2" w:rsidRDefault="00111DB2" w:rsidP="00111DB2">
            <w:pPr>
              <w:pStyle w:val="ListParagraph"/>
              <w:numPr>
                <w:ilvl w:val="0"/>
                <w:numId w:val="17"/>
              </w:numPr>
              <w:rPr>
                <w:rFonts w:eastAsiaTheme="minorHAnsi"/>
                <w:sz w:val="22"/>
                <w:szCs w:val="22"/>
              </w:rPr>
            </w:pPr>
            <w:proofErr w:type="spellStart"/>
            <w:r w:rsidRPr="00111DB2">
              <w:rPr>
                <w:rFonts w:eastAsiaTheme="minorHAnsi"/>
                <w:sz w:val="22"/>
                <w:szCs w:val="22"/>
              </w:rPr>
              <w:t>Viršįtampio</w:t>
            </w:r>
            <w:proofErr w:type="spellEnd"/>
            <w:r w:rsidRPr="00111DB2">
              <w:rPr>
                <w:rFonts w:eastAsiaTheme="minorHAnsi"/>
                <w:sz w:val="22"/>
                <w:szCs w:val="22"/>
              </w:rPr>
              <w:t xml:space="preserve"> energijos įvertinimas</w:t>
            </w:r>
            <w:r w:rsidRPr="00111DB2">
              <w:rPr>
                <w:rFonts w:eastAsiaTheme="minorHAnsi"/>
                <w:sz w:val="22"/>
                <w:szCs w:val="22"/>
              </w:rPr>
              <w:t xml:space="preserve">: </w:t>
            </w:r>
            <w:r w:rsidRPr="00111DB2">
              <w:rPr>
                <w:rFonts w:eastAsiaTheme="minorHAnsi"/>
                <w:sz w:val="22"/>
                <w:szCs w:val="22"/>
              </w:rPr>
              <w:t xml:space="preserve">Ne mažiau kaip 540 J </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Garsiniai perspėjimo signalai</w:t>
            </w:r>
            <w:r w:rsidRPr="00111DB2">
              <w:rPr>
                <w:rFonts w:eastAsiaTheme="minorHAnsi"/>
                <w:sz w:val="22"/>
                <w:szCs w:val="22"/>
              </w:rPr>
              <w:t>,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Automatinis paleidimas iš naujo</w:t>
            </w:r>
            <w:r w:rsidRPr="00111DB2">
              <w:rPr>
                <w:rFonts w:eastAsiaTheme="minorHAnsi"/>
                <w:sz w:val="22"/>
                <w:szCs w:val="22"/>
              </w:rPr>
              <w:t>,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Lizdų kiekis</w:t>
            </w:r>
            <w:r w:rsidRPr="00111DB2">
              <w:rPr>
                <w:rFonts w:eastAsiaTheme="minorHAnsi"/>
                <w:sz w:val="22"/>
                <w:szCs w:val="22"/>
              </w:rPr>
              <w:t xml:space="preserve">: </w:t>
            </w:r>
            <w:r w:rsidRPr="00111DB2">
              <w:rPr>
                <w:rFonts w:eastAsiaTheme="minorHAnsi"/>
                <w:sz w:val="22"/>
                <w:szCs w:val="22"/>
              </w:rPr>
              <w:t>Ne mažiau nei 6 AC išvesčių.</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USB prievadas</w:t>
            </w:r>
            <w:r w:rsidRPr="00111DB2">
              <w:rPr>
                <w:rFonts w:eastAsiaTheme="minorHAnsi"/>
                <w:sz w:val="22"/>
                <w:szCs w:val="22"/>
              </w:rPr>
              <w:t>,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Baterijos technologija</w:t>
            </w:r>
            <w:r w:rsidRPr="00111DB2">
              <w:rPr>
                <w:rFonts w:eastAsiaTheme="minorHAnsi"/>
                <w:sz w:val="22"/>
                <w:szCs w:val="22"/>
              </w:rPr>
              <w:t xml:space="preserve">: </w:t>
            </w:r>
            <w:r w:rsidRPr="00111DB2">
              <w:rPr>
                <w:rFonts w:eastAsiaTheme="minorHAnsi"/>
                <w:sz w:val="22"/>
                <w:szCs w:val="22"/>
              </w:rPr>
              <w:t>Rūgštinis akumuliatorius (VRLA)</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Baterijos įkrovimo laikas</w:t>
            </w:r>
            <w:r w:rsidRPr="00111DB2">
              <w:rPr>
                <w:rFonts w:eastAsiaTheme="minorHAnsi"/>
                <w:sz w:val="22"/>
                <w:szCs w:val="22"/>
              </w:rPr>
              <w:t xml:space="preserve">: </w:t>
            </w:r>
            <w:r w:rsidRPr="00111DB2">
              <w:rPr>
                <w:rFonts w:eastAsiaTheme="minorHAnsi"/>
                <w:sz w:val="22"/>
                <w:szCs w:val="22"/>
              </w:rPr>
              <w:t>Ne daugiau nei 3 val.</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Aušinimo paleidimas</w:t>
            </w:r>
            <w:r w:rsidRPr="00111DB2">
              <w:rPr>
                <w:rFonts w:eastAsiaTheme="minorHAnsi"/>
                <w:sz w:val="22"/>
                <w:szCs w:val="22"/>
              </w:rPr>
              <w:t>, turi būti</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Ekrano tipas</w:t>
            </w:r>
            <w:r w:rsidRPr="00111DB2">
              <w:rPr>
                <w:rFonts w:eastAsiaTheme="minorHAnsi"/>
                <w:sz w:val="22"/>
                <w:szCs w:val="22"/>
              </w:rPr>
              <w:t xml:space="preserve">: </w:t>
            </w:r>
            <w:r w:rsidRPr="00111DB2">
              <w:rPr>
                <w:rFonts w:eastAsiaTheme="minorHAnsi"/>
                <w:sz w:val="22"/>
                <w:szCs w:val="22"/>
              </w:rPr>
              <w:t>LCD arba lygiavertis</w:t>
            </w:r>
          </w:p>
          <w:p w:rsidR="00111DB2" w:rsidRPr="00111DB2" w:rsidRDefault="00111DB2" w:rsidP="00111DB2">
            <w:pPr>
              <w:pStyle w:val="ListParagraph"/>
              <w:numPr>
                <w:ilvl w:val="0"/>
                <w:numId w:val="17"/>
              </w:numPr>
              <w:rPr>
                <w:rFonts w:eastAsiaTheme="minorHAnsi"/>
                <w:sz w:val="22"/>
                <w:szCs w:val="22"/>
              </w:rPr>
            </w:pPr>
            <w:r w:rsidRPr="00111DB2">
              <w:rPr>
                <w:rFonts w:eastAsiaTheme="minorHAnsi"/>
                <w:sz w:val="22"/>
                <w:szCs w:val="22"/>
              </w:rPr>
              <w:t>LED indikatoriai</w:t>
            </w:r>
            <w:r w:rsidRPr="00111DB2">
              <w:rPr>
                <w:rFonts w:eastAsiaTheme="minorHAnsi"/>
                <w:sz w:val="22"/>
                <w:szCs w:val="22"/>
              </w:rPr>
              <w:t>,</w:t>
            </w:r>
            <w:r w:rsidRPr="00111DB2">
              <w:rPr>
                <w:sz w:val="22"/>
                <w:szCs w:val="22"/>
              </w:rPr>
              <w:t xml:space="preserve"> </w:t>
            </w:r>
            <w:r w:rsidRPr="00111DB2">
              <w:rPr>
                <w:rFonts w:eastAsiaTheme="minorHAnsi"/>
                <w:sz w:val="22"/>
                <w:szCs w:val="22"/>
              </w:rPr>
              <w:t>turi būti</w:t>
            </w:r>
          </w:p>
          <w:p w:rsidR="003537DD" w:rsidRPr="00111DB2" w:rsidRDefault="00111DB2" w:rsidP="00111DB2">
            <w:pPr>
              <w:pStyle w:val="ListParagraph"/>
              <w:numPr>
                <w:ilvl w:val="0"/>
                <w:numId w:val="17"/>
              </w:numPr>
              <w:rPr>
                <w:rFonts w:eastAsiaTheme="minorHAnsi"/>
              </w:rPr>
            </w:pPr>
            <w:r w:rsidRPr="00111DB2">
              <w:rPr>
                <w:rFonts w:eastAsiaTheme="minorHAnsi"/>
                <w:sz w:val="22"/>
                <w:szCs w:val="22"/>
              </w:rPr>
              <w:t>Sertifikavimas</w:t>
            </w:r>
            <w:r w:rsidRPr="00111DB2">
              <w:rPr>
                <w:rFonts w:eastAsiaTheme="minorHAnsi"/>
                <w:sz w:val="22"/>
                <w:szCs w:val="22"/>
              </w:rPr>
              <w:t xml:space="preserve">: </w:t>
            </w:r>
            <w:r w:rsidRPr="00111DB2">
              <w:rPr>
                <w:rFonts w:eastAsiaTheme="minorHAnsi"/>
                <w:sz w:val="22"/>
                <w:szCs w:val="22"/>
              </w:rPr>
              <w:t>CE, CSA, EAC, EN/IEC 62040-1, EN/IEC 62040-2, RCM, UL 1778, VDE, REACH, PEP, EOLI</w:t>
            </w:r>
          </w:p>
        </w:tc>
        <w:tc>
          <w:tcPr>
            <w:tcW w:w="7087" w:type="dxa"/>
            <w:shd w:val="clear" w:color="auto" w:fill="FFFFFF"/>
          </w:tcPr>
          <w:p w:rsidR="00D94AAA" w:rsidRPr="00C26C75" w:rsidRDefault="00D94AAA" w:rsidP="00D94AAA">
            <w:pPr>
              <w:ind w:firstLine="0"/>
              <w:rPr>
                <w:color w:val="000000"/>
                <w:szCs w:val="24"/>
                <w:lang w:eastAsia="lt-LT"/>
              </w:rPr>
            </w:pPr>
          </w:p>
        </w:tc>
      </w:tr>
    </w:tbl>
    <w:p w:rsidR="002315A6" w:rsidRDefault="002315A6" w:rsidP="003F3793">
      <w:pPr>
        <w:tabs>
          <w:tab w:val="left" w:pos="709"/>
        </w:tabs>
        <w:ind w:firstLine="0"/>
        <w:rPr>
          <w:rFonts w:eastAsia="Calibri"/>
          <w:szCs w:val="24"/>
        </w:rPr>
      </w:pPr>
      <w:bookmarkStart w:id="0" w:name="_GoBack"/>
      <w:bookmarkEnd w:id="0"/>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AA783C" w:rsidRDefault="00AA783C" w:rsidP="008F3AC6">
      <w:pPr>
        <w:rPr>
          <w:rFonts w:eastAsia="Calibri"/>
          <w:szCs w:val="24"/>
        </w:rPr>
      </w:pPr>
    </w:p>
    <w:p w:rsidR="00AA783C" w:rsidRPr="00AA783C" w:rsidRDefault="00AA783C" w:rsidP="00AA783C">
      <w:pPr>
        <w:rPr>
          <w:rFonts w:eastAsia="Calibri"/>
          <w:szCs w:val="24"/>
        </w:rPr>
      </w:pPr>
      <w:r w:rsidRPr="00AA783C">
        <w:rPr>
          <w:rFonts w:eastAsia="Calibri"/>
          <w:szCs w:val="24"/>
        </w:rPr>
        <w:t>Pasi</w:t>
      </w:r>
      <w:r>
        <w:rPr>
          <w:rFonts w:eastAsia="Calibri"/>
          <w:szCs w:val="24"/>
        </w:rPr>
        <w:t>rašydamas šį pasiūlymą, tvirtin</w:t>
      </w:r>
      <w:r w:rsidRPr="00AA783C">
        <w:rPr>
          <w:rFonts w:eastAsia="Calibri"/>
          <w:szCs w:val="24"/>
        </w:rPr>
        <w:t>u, kad:</w:t>
      </w:r>
    </w:p>
    <w:p w:rsidR="00AA783C" w:rsidRPr="00AA783C" w:rsidRDefault="00AA783C" w:rsidP="00AA783C">
      <w:pPr>
        <w:rPr>
          <w:rFonts w:eastAsia="Calibri"/>
          <w:szCs w:val="24"/>
        </w:rPr>
      </w:pPr>
      <w:r w:rsidRPr="00AA783C">
        <w:rPr>
          <w:rFonts w:eastAsia="Calibri"/>
          <w:szCs w:val="24"/>
        </w:rPr>
        <w:t>1)</w:t>
      </w:r>
      <w:r w:rsidRPr="00AA783C">
        <w:rPr>
          <w:rFonts w:eastAsia="Calibri"/>
          <w:szCs w:val="24"/>
        </w:rPr>
        <w:tab/>
        <w:t>sutinku su visomis pirkimo dokumentuose nustatytomis sąlygomis;</w:t>
      </w:r>
    </w:p>
    <w:p w:rsidR="00AA783C" w:rsidRPr="008F3AC6" w:rsidRDefault="00AA783C" w:rsidP="00AA783C">
      <w:pPr>
        <w:rPr>
          <w:rFonts w:eastAsia="Calibri"/>
          <w:szCs w:val="24"/>
        </w:rPr>
      </w:pPr>
      <w:r w:rsidRPr="00AA783C">
        <w:rPr>
          <w:rFonts w:eastAsia="Calibri"/>
          <w:szCs w:val="24"/>
        </w:rPr>
        <w:t>2)</w:t>
      </w:r>
      <w:r w:rsidRPr="00AA783C">
        <w:rPr>
          <w:rFonts w:eastAsia="Calibri"/>
          <w:szCs w:val="24"/>
        </w:rPr>
        <w:tab/>
        <w:t>pasiūlyme pateikti duomenys yra tikri.</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6A" w:rsidRDefault="000A5F6A">
      <w:r>
        <w:separator/>
      </w:r>
    </w:p>
  </w:endnote>
  <w:endnote w:type="continuationSeparator" w:id="0">
    <w:p w:rsidR="000A5F6A" w:rsidRDefault="000A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6A" w:rsidRDefault="000A5F6A">
      <w:r>
        <w:separator/>
      </w:r>
    </w:p>
  </w:footnote>
  <w:footnote w:type="continuationSeparator" w:id="0">
    <w:p w:rsidR="000A5F6A" w:rsidRDefault="000A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DB2">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4915F8"/>
    <w:multiLevelType w:val="multilevel"/>
    <w:tmpl w:val="1C10E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14D43"/>
    <w:multiLevelType w:val="multilevel"/>
    <w:tmpl w:val="2ACC6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3"/>
  </w:num>
  <w:num w:numId="2">
    <w:abstractNumId w:val="2"/>
  </w:num>
  <w:num w:numId="3">
    <w:abstractNumId w:val="16"/>
  </w:num>
  <w:num w:numId="4">
    <w:abstractNumId w:val="12"/>
  </w:num>
  <w:num w:numId="5">
    <w:abstractNumId w:val="11"/>
  </w:num>
  <w:num w:numId="6">
    <w:abstractNumId w:val="14"/>
  </w:num>
  <w:num w:numId="7">
    <w:abstractNumId w:val="5"/>
  </w:num>
  <w:num w:numId="8">
    <w:abstractNumId w:val="0"/>
  </w:num>
  <w:num w:numId="9">
    <w:abstractNumId w:val="4"/>
  </w:num>
  <w:num w:numId="10">
    <w:abstractNumId w:val="9"/>
  </w:num>
  <w:num w:numId="11">
    <w:abstractNumId w:val="3"/>
  </w:num>
  <w:num w:numId="12">
    <w:abstractNumId w:val="6"/>
  </w:num>
  <w:num w:numId="13">
    <w:abstractNumId w:val="10"/>
  </w:num>
  <w:num w:numId="14">
    <w:abstractNumId w:val="15"/>
  </w:num>
  <w:num w:numId="15">
    <w:abstractNumId w:val="8"/>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106F"/>
    <w:rsid w:val="00016A6C"/>
    <w:rsid w:val="000203A2"/>
    <w:rsid w:val="00020A16"/>
    <w:rsid w:val="00047BA0"/>
    <w:rsid w:val="000528DF"/>
    <w:rsid w:val="00053EE3"/>
    <w:rsid w:val="00067977"/>
    <w:rsid w:val="0007033E"/>
    <w:rsid w:val="000715C1"/>
    <w:rsid w:val="00074902"/>
    <w:rsid w:val="0007498B"/>
    <w:rsid w:val="000762F1"/>
    <w:rsid w:val="00080A7B"/>
    <w:rsid w:val="000822F1"/>
    <w:rsid w:val="00092EFF"/>
    <w:rsid w:val="0009518A"/>
    <w:rsid w:val="000A58AE"/>
    <w:rsid w:val="000A5F6A"/>
    <w:rsid w:val="000B1B20"/>
    <w:rsid w:val="000B776D"/>
    <w:rsid w:val="000C2588"/>
    <w:rsid w:val="000E14C9"/>
    <w:rsid w:val="000E2B61"/>
    <w:rsid w:val="000E662F"/>
    <w:rsid w:val="00111DB2"/>
    <w:rsid w:val="00112439"/>
    <w:rsid w:val="0011268C"/>
    <w:rsid w:val="0011346A"/>
    <w:rsid w:val="00120487"/>
    <w:rsid w:val="00130B79"/>
    <w:rsid w:val="00140D7D"/>
    <w:rsid w:val="00142C1C"/>
    <w:rsid w:val="00142F6E"/>
    <w:rsid w:val="001529DE"/>
    <w:rsid w:val="00163EF3"/>
    <w:rsid w:val="0016650B"/>
    <w:rsid w:val="001668BF"/>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15A6"/>
    <w:rsid w:val="00232687"/>
    <w:rsid w:val="00232C95"/>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537DD"/>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42A1"/>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24CB9"/>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5E88"/>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922"/>
    <w:rsid w:val="00A00A3B"/>
    <w:rsid w:val="00A031C9"/>
    <w:rsid w:val="00A03CED"/>
    <w:rsid w:val="00A07E6A"/>
    <w:rsid w:val="00A11481"/>
    <w:rsid w:val="00A14174"/>
    <w:rsid w:val="00A17BC6"/>
    <w:rsid w:val="00A22F5E"/>
    <w:rsid w:val="00A40749"/>
    <w:rsid w:val="00A430A0"/>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A783C"/>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4E"/>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2AF0"/>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D8CF-E8F8-47BA-BA6D-6817A453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4882</Words>
  <Characters>2784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7651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15</cp:revision>
  <cp:lastPrinted>2023-07-25T10:01:00Z</cp:lastPrinted>
  <dcterms:created xsi:type="dcterms:W3CDTF">2024-11-08T10:15:00Z</dcterms:created>
  <dcterms:modified xsi:type="dcterms:W3CDTF">2025-07-08T12:07:00Z</dcterms:modified>
</cp:coreProperties>
</file>