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E77C" w14:textId="77777777" w:rsidR="00F27570" w:rsidRPr="00F27570" w:rsidRDefault="00F27570" w:rsidP="00F27570">
      <w:pPr>
        <w:spacing w:line="254" w:lineRule="auto"/>
        <w:rPr>
          <w:rFonts w:ascii="Montserrat" w:eastAsia="Calibri" w:hAnsi="Montserrat" w:cs="Times New Roman"/>
          <w:kern w:val="0"/>
          <w:sz w:val="20"/>
          <w:szCs w:val="20"/>
          <w14:ligatures w14:val="none"/>
        </w:rPr>
      </w:pPr>
    </w:p>
    <w:p w14:paraId="53D88318" w14:textId="77777777" w:rsidR="00F27570" w:rsidRPr="00F27570" w:rsidRDefault="00F27570" w:rsidP="00F27570">
      <w:pPr>
        <w:spacing w:line="254" w:lineRule="auto"/>
        <w:jc w:val="right"/>
        <w:rPr>
          <w:rFonts w:ascii="Montserrat" w:eastAsia="Calibri" w:hAnsi="Montserrat" w:cs="Times New Roman"/>
          <w:kern w:val="0"/>
          <w:sz w:val="20"/>
          <w:szCs w:val="20"/>
          <w14:ligatures w14:val="none"/>
        </w:rPr>
      </w:pPr>
    </w:p>
    <w:p w14:paraId="342A2415" w14:textId="77777777" w:rsidR="00F27570" w:rsidRPr="00F27570" w:rsidRDefault="00F27570" w:rsidP="00F27570">
      <w:pPr>
        <w:suppressAutoHyphens/>
        <w:autoSpaceDN w:val="0"/>
        <w:spacing w:line="240" w:lineRule="auto"/>
        <w:contextualSpacing/>
        <w:jc w:val="center"/>
        <w:rPr>
          <w:rFonts w:ascii="Aptos" w:eastAsia="Aptos" w:hAnsi="Aptos" w:cs="Times New Roman"/>
          <w:kern w:val="3"/>
          <w14:ligatures w14:val="none"/>
        </w:rPr>
      </w:pPr>
      <w:r w:rsidRPr="00F27570">
        <w:rPr>
          <w:rFonts w:ascii="Calibri" w:eastAsia="Calibri" w:hAnsi="Calibri" w:cs="Times New Roman"/>
          <w:noProof/>
          <w:color w:val="252753"/>
          <w:kern w:val="0"/>
          <w:sz w:val="22"/>
          <w:szCs w:val="20"/>
          <w14:ligatures w14:val="none"/>
        </w:rPr>
        <w:drawing>
          <wp:inline distT="0" distB="0" distL="0" distR="0" wp14:anchorId="273765CA" wp14:editId="1348CD87">
            <wp:extent cx="1714500" cy="472440"/>
            <wp:effectExtent l="0" t="0" r="0" b="381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4FB716D7" w14:textId="77777777" w:rsidR="00F27570" w:rsidRPr="00F27570" w:rsidRDefault="00F27570" w:rsidP="00F27570">
      <w:pPr>
        <w:suppressAutoHyphens/>
        <w:autoSpaceDN w:val="0"/>
        <w:spacing w:line="360" w:lineRule="auto"/>
        <w:contextualSpacing/>
        <w:jc w:val="center"/>
        <w:rPr>
          <w:rFonts w:ascii="Aptos" w:eastAsia="Aptos" w:hAnsi="Aptos" w:cs="Times New Roman"/>
          <w:kern w:val="3"/>
          <w14:ligatures w14:val="none"/>
        </w:rPr>
      </w:pPr>
      <w:r w:rsidRPr="00F27570">
        <w:rPr>
          <w:rFonts w:ascii="Montserrat" w:eastAsia="Calibri" w:hAnsi="Montserrat" w:cs="Arial"/>
          <w:bCs/>
          <w:kern w:val="0"/>
          <w:sz w:val="20"/>
          <w:szCs w:val="20"/>
          <w14:ligatures w14:val="none"/>
        </w:rPr>
        <w:t>Savivaldybės įmonė „Susisiekimo paslaugos“</w:t>
      </w:r>
      <w:r w:rsidRPr="00F27570">
        <w:rPr>
          <w:rFonts w:ascii="Montserrat" w:eastAsia="Calibri" w:hAnsi="Montserrat" w:cs="Arial"/>
          <w:bCs/>
          <w:caps/>
          <w:kern w:val="0"/>
          <w:sz w:val="20"/>
          <w:szCs w:val="20"/>
          <w14:ligatures w14:val="none"/>
        </w:rPr>
        <w:br/>
      </w:r>
      <w:r w:rsidRPr="00F27570">
        <w:rPr>
          <w:rFonts w:ascii="Montserrat" w:eastAsia="Calibri" w:hAnsi="Montserrat" w:cs="Arial"/>
          <w:bCs/>
          <w:kern w:val="0"/>
          <w:sz w:val="20"/>
          <w:szCs w:val="20"/>
          <w14:ligatures w14:val="none"/>
        </w:rPr>
        <w:t>Pirkimų skyrius</w:t>
      </w:r>
    </w:p>
    <w:p w14:paraId="3DF40E72" w14:textId="77777777" w:rsidR="00F27570" w:rsidRPr="00F27570" w:rsidRDefault="00F27570" w:rsidP="00F27570">
      <w:pPr>
        <w:suppressAutoHyphens/>
        <w:autoSpaceDN w:val="0"/>
        <w:spacing w:line="360" w:lineRule="auto"/>
        <w:contextualSpacing/>
        <w:jc w:val="center"/>
        <w:rPr>
          <w:rFonts w:ascii="Aptos" w:eastAsia="Aptos" w:hAnsi="Aptos" w:cs="Times New Roman"/>
          <w:kern w:val="3"/>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F27570" w:rsidRPr="00F27570" w14:paraId="72E65745" w14:textId="77777777" w:rsidTr="00F27570">
        <w:tc>
          <w:tcPr>
            <w:tcW w:w="6640" w:type="dxa"/>
            <w:tcMar>
              <w:top w:w="0" w:type="dxa"/>
              <w:left w:w="108" w:type="dxa"/>
              <w:bottom w:w="0" w:type="dxa"/>
              <w:right w:w="108" w:type="dxa"/>
            </w:tcMar>
            <w:hideMark/>
          </w:tcPr>
          <w:p w14:paraId="56DB0B2C" w14:textId="77777777" w:rsidR="00F27570" w:rsidRPr="00F27570" w:rsidRDefault="00F27570" w:rsidP="00F27570">
            <w:pPr>
              <w:suppressAutoHyphens/>
              <w:autoSpaceDN w:val="0"/>
              <w:spacing w:after="0" w:line="276" w:lineRule="auto"/>
              <w:rPr>
                <w:rFonts w:ascii="Montserrat" w:eastAsia="Calibri" w:hAnsi="Montserrat" w:cs="Times New Roman"/>
                <w:kern w:val="0"/>
                <w:sz w:val="20"/>
                <w:szCs w:val="20"/>
                <w:lang w:val="en-US"/>
                <w14:ligatures w14:val="none"/>
              </w:rPr>
            </w:pPr>
            <w:r w:rsidRPr="00F27570">
              <w:rPr>
                <w:rFonts w:ascii="Montserrat" w:eastAsia="Calibri" w:hAnsi="Montserrat" w:cs="Times New Roman"/>
                <w:kern w:val="0"/>
                <w:sz w:val="20"/>
                <w:szCs w:val="20"/>
                <w:lang w:val="en-US"/>
                <w14:ligatures w14:val="none"/>
              </w:rPr>
              <w:t>Suinteresuotiems dalyviams</w:t>
            </w:r>
          </w:p>
        </w:tc>
        <w:tc>
          <w:tcPr>
            <w:tcW w:w="3283" w:type="dxa"/>
            <w:gridSpan w:val="3"/>
            <w:tcMar>
              <w:top w:w="0" w:type="dxa"/>
              <w:left w:w="108" w:type="dxa"/>
              <w:bottom w:w="0" w:type="dxa"/>
              <w:right w:w="108" w:type="dxa"/>
            </w:tcMar>
            <w:hideMark/>
          </w:tcPr>
          <w:p w14:paraId="2C487612" w14:textId="75AF32D6" w:rsidR="00F27570" w:rsidRPr="00F27570" w:rsidRDefault="00F27570" w:rsidP="00F27570">
            <w:pPr>
              <w:suppressAutoHyphens/>
              <w:autoSpaceDN w:val="0"/>
              <w:spacing w:after="120" w:line="247" w:lineRule="auto"/>
              <w:rPr>
                <w:rFonts w:ascii="Montserrat" w:eastAsia="Calibri" w:hAnsi="Montserrat" w:cs="Times New Roman"/>
                <w:kern w:val="0"/>
                <w:sz w:val="20"/>
                <w:szCs w:val="20"/>
                <w:lang w:val="en-US"/>
                <w14:ligatures w14:val="none"/>
              </w:rPr>
            </w:pPr>
            <w:r w:rsidRPr="00F27570">
              <w:rPr>
                <w:rFonts w:ascii="Montserrat" w:eastAsia="Calibri" w:hAnsi="Montserrat" w:cs="Times New Roman"/>
                <w:kern w:val="0"/>
                <w:sz w:val="20"/>
                <w:szCs w:val="20"/>
                <w:lang w:val="en-US"/>
                <w14:ligatures w14:val="none"/>
              </w:rPr>
              <w:t>2025-07-08  Nr. 2025-SD-</w:t>
            </w:r>
            <w:r w:rsidR="00BA02C7">
              <w:rPr>
                <w:rFonts w:ascii="Montserrat" w:eastAsia="Calibri" w:hAnsi="Montserrat" w:cs="Times New Roman"/>
                <w:kern w:val="0"/>
                <w:sz w:val="20"/>
                <w:szCs w:val="20"/>
                <w:lang w:val="en-US"/>
                <w14:ligatures w14:val="none"/>
              </w:rPr>
              <w:t>1005</w:t>
            </w:r>
          </w:p>
        </w:tc>
      </w:tr>
      <w:tr w:rsidR="00F27570" w:rsidRPr="00F27570" w14:paraId="08BB13AA" w14:textId="77777777" w:rsidTr="00F27570">
        <w:tc>
          <w:tcPr>
            <w:tcW w:w="7355" w:type="dxa"/>
            <w:gridSpan w:val="2"/>
            <w:tcMar>
              <w:top w:w="0" w:type="dxa"/>
              <w:left w:w="108" w:type="dxa"/>
              <w:bottom w:w="0" w:type="dxa"/>
              <w:right w:w="108" w:type="dxa"/>
            </w:tcMar>
            <w:hideMark/>
          </w:tcPr>
          <w:p w14:paraId="09AEDDE4" w14:textId="77777777" w:rsidR="00F27570" w:rsidRPr="00F27570" w:rsidRDefault="00F27570" w:rsidP="00F27570">
            <w:pPr>
              <w:suppressAutoHyphens/>
              <w:autoSpaceDN w:val="0"/>
              <w:spacing w:after="120" w:line="276" w:lineRule="auto"/>
              <w:rPr>
                <w:rFonts w:ascii="Montserrat" w:eastAsia="Calibri" w:hAnsi="Montserrat" w:cs="Times New Roman"/>
                <w:kern w:val="0"/>
                <w:sz w:val="20"/>
                <w:szCs w:val="20"/>
                <w:lang w:val="en-US"/>
                <w14:ligatures w14:val="none"/>
              </w:rPr>
            </w:pPr>
            <w:r w:rsidRPr="00F27570">
              <w:rPr>
                <w:rFonts w:ascii="Montserrat" w:eastAsia="Calibri" w:hAnsi="Montserrat" w:cs="Times New Roman"/>
                <w:kern w:val="0"/>
                <w:sz w:val="20"/>
                <w:szCs w:val="20"/>
                <w:lang w:val="en-US"/>
                <w14:ligatures w14:val="none"/>
              </w:rPr>
              <w:t>CVP IS susirašinėjimo priemonėmis</w:t>
            </w:r>
          </w:p>
        </w:tc>
        <w:tc>
          <w:tcPr>
            <w:tcW w:w="2568" w:type="dxa"/>
            <w:gridSpan w:val="2"/>
            <w:tcMar>
              <w:top w:w="0" w:type="dxa"/>
              <w:left w:w="108" w:type="dxa"/>
              <w:bottom w:w="0" w:type="dxa"/>
              <w:right w:w="108" w:type="dxa"/>
            </w:tcMar>
          </w:tcPr>
          <w:p w14:paraId="148335FE" w14:textId="77777777" w:rsidR="00F27570" w:rsidRPr="00F27570" w:rsidRDefault="00F27570" w:rsidP="00F27570">
            <w:pPr>
              <w:suppressAutoHyphens/>
              <w:autoSpaceDN w:val="0"/>
              <w:spacing w:after="120" w:line="247" w:lineRule="auto"/>
              <w:rPr>
                <w:rFonts w:ascii="Montserrat" w:eastAsia="Calibri" w:hAnsi="Montserrat" w:cs="Times New Roman"/>
                <w:kern w:val="0"/>
                <w:sz w:val="20"/>
                <w:szCs w:val="20"/>
                <w:lang w:val="en-US"/>
                <w14:ligatures w14:val="none"/>
              </w:rPr>
            </w:pPr>
          </w:p>
        </w:tc>
      </w:tr>
      <w:tr w:rsidR="00F27570" w:rsidRPr="00F27570" w14:paraId="0BFA5D24" w14:textId="77777777" w:rsidTr="00F27570">
        <w:trPr>
          <w:trHeight w:val="570"/>
        </w:trPr>
        <w:tc>
          <w:tcPr>
            <w:tcW w:w="9640" w:type="dxa"/>
            <w:gridSpan w:val="3"/>
            <w:tcMar>
              <w:top w:w="0" w:type="dxa"/>
              <w:left w:w="108" w:type="dxa"/>
              <w:bottom w:w="0" w:type="dxa"/>
              <w:right w:w="108" w:type="dxa"/>
            </w:tcMar>
          </w:tcPr>
          <w:p w14:paraId="0BEE11B1" w14:textId="77777777" w:rsidR="00F27570" w:rsidRPr="00F27570" w:rsidRDefault="00F27570" w:rsidP="00F27570">
            <w:pPr>
              <w:suppressAutoHyphens/>
              <w:autoSpaceDN w:val="0"/>
              <w:spacing w:after="120" w:line="247" w:lineRule="auto"/>
              <w:rPr>
                <w:rFonts w:ascii="Montserrat" w:eastAsia="Calibri" w:hAnsi="Montserrat" w:cs="Times New Roman"/>
                <w:b/>
                <w:bCs/>
                <w:kern w:val="0"/>
                <w:sz w:val="20"/>
                <w:szCs w:val="20"/>
                <w:lang w:val="en-US"/>
                <w14:ligatures w14:val="none"/>
              </w:rPr>
            </w:pPr>
          </w:p>
          <w:p w14:paraId="472957DE" w14:textId="77777777" w:rsidR="00F27570" w:rsidRPr="00F27570" w:rsidRDefault="00F27570" w:rsidP="00F27570">
            <w:pPr>
              <w:suppressAutoHyphens/>
              <w:autoSpaceDN w:val="0"/>
              <w:spacing w:after="120" w:line="247" w:lineRule="auto"/>
              <w:rPr>
                <w:rFonts w:ascii="Montserrat" w:eastAsia="Calibri" w:hAnsi="Montserrat" w:cs="Times New Roman"/>
                <w:b/>
                <w:bCs/>
                <w:kern w:val="0"/>
                <w:sz w:val="20"/>
                <w:szCs w:val="20"/>
                <w:lang w:val="en-US"/>
                <w14:ligatures w14:val="none"/>
              </w:rPr>
            </w:pPr>
            <w:r w:rsidRPr="00F27570">
              <w:rPr>
                <w:rFonts w:ascii="Montserrat" w:eastAsia="Calibri" w:hAnsi="Montserrat" w:cs="Times New Roman"/>
                <w:b/>
                <w:bCs/>
                <w:kern w:val="0"/>
                <w:sz w:val="20"/>
                <w:szCs w:val="20"/>
                <w:lang w:val="en-US"/>
                <w14:ligatures w14:val="none"/>
              </w:rPr>
              <w:t>DĖL GAUTŲ PAKLAUSIMŲ NAGRINĖJIMO IR PASIŪLYMŲ PATEIKIMO TERMINO PRATĘSIMO</w:t>
            </w:r>
          </w:p>
          <w:p w14:paraId="181CABB4" w14:textId="77777777" w:rsidR="00F27570" w:rsidRPr="00F27570" w:rsidRDefault="00F27570" w:rsidP="00F27570">
            <w:pPr>
              <w:suppressAutoHyphens/>
              <w:autoSpaceDN w:val="0"/>
              <w:spacing w:after="120" w:line="247" w:lineRule="auto"/>
              <w:rPr>
                <w:rFonts w:ascii="Montserrat" w:eastAsia="Calibri" w:hAnsi="Montserrat" w:cs="Times New Roman"/>
                <w:b/>
                <w:bCs/>
                <w:kern w:val="0"/>
                <w:sz w:val="20"/>
                <w:szCs w:val="20"/>
                <w:lang w:val="en-US"/>
                <w14:ligatures w14:val="none"/>
              </w:rPr>
            </w:pPr>
          </w:p>
        </w:tc>
        <w:tc>
          <w:tcPr>
            <w:tcW w:w="283" w:type="dxa"/>
            <w:tcMar>
              <w:top w:w="0" w:type="dxa"/>
              <w:left w:w="108" w:type="dxa"/>
              <w:bottom w:w="0" w:type="dxa"/>
              <w:right w:w="108" w:type="dxa"/>
            </w:tcMar>
          </w:tcPr>
          <w:p w14:paraId="1EF3D9E1" w14:textId="77777777" w:rsidR="00F27570" w:rsidRPr="00F27570" w:rsidRDefault="00F27570" w:rsidP="00F27570">
            <w:pPr>
              <w:suppressAutoHyphens/>
              <w:autoSpaceDN w:val="0"/>
              <w:spacing w:after="120" w:line="247" w:lineRule="auto"/>
              <w:jc w:val="center"/>
              <w:rPr>
                <w:rFonts w:ascii="Montserrat" w:eastAsia="Calibri" w:hAnsi="Montserrat" w:cs="Times New Roman"/>
                <w:kern w:val="0"/>
                <w:sz w:val="20"/>
                <w:szCs w:val="20"/>
                <w:lang w:val="en-US"/>
                <w14:ligatures w14:val="none"/>
              </w:rPr>
            </w:pPr>
          </w:p>
        </w:tc>
      </w:tr>
      <w:tr w:rsidR="00F27570" w:rsidRPr="00F27570" w14:paraId="30116AB5" w14:textId="77777777" w:rsidTr="00F27570">
        <w:tc>
          <w:tcPr>
            <w:tcW w:w="9923" w:type="dxa"/>
            <w:gridSpan w:val="4"/>
            <w:tcMar>
              <w:top w:w="0" w:type="dxa"/>
              <w:left w:w="108" w:type="dxa"/>
              <w:bottom w:w="0" w:type="dxa"/>
              <w:right w:w="108" w:type="dxa"/>
            </w:tcMar>
          </w:tcPr>
          <w:p w14:paraId="1ED3DDB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Times New Roman"/>
                <w:kern w:val="0"/>
                <w:sz w:val="20"/>
                <w:szCs w:val="20"/>
                <w:lang w:val="en-US"/>
                <w14:ligatures w14:val="none"/>
              </w:rPr>
            </w:pPr>
            <w:r w:rsidRPr="00F27570">
              <w:rPr>
                <w:rFonts w:ascii="Montserrat" w:eastAsia="Calibri" w:hAnsi="Montserrat" w:cs="Times New Roman"/>
                <w:kern w:val="0"/>
                <w:sz w:val="20"/>
                <w:szCs w:val="20"/>
                <w:lang w:val="en-US"/>
                <w14:ligatures w14:val="none"/>
              </w:rPr>
              <w:t xml:space="preserve">       Savivaldybės įmonės „Susisiekimo paslaugos“ sudaryta nuolatinė viešųjų pirkimų komisija (toliau – Komisija), vykdo </w:t>
            </w:r>
            <w:r w:rsidRPr="00F27570">
              <w:rPr>
                <w:rFonts w:ascii="Montserrat" w:eastAsia="Calibri" w:hAnsi="Montserrat" w:cs="Arial"/>
                <w:bCs/>
                <w:kern w:val="0"/>
                <w:sz w:val="20"/>
                <w:szCs w:val="20"/>
                <w14:ligatures w14:val="none"/>
              </w:rPr>
              <w:t>Elektroninių bilietų pardavimo (platinimo) per Trafi mobiliąją programėlę paslaugų</w:t>
            </w:r>
            <w:r w:rsidRPr="00F27570">
              <w:rPr>
                <w:rFonts w:ascii="Montserrat" w:eastAsia="Calibri" w:hAnsi="Montserrat" w:cs="Times New Roman"/>
                <w:bCs/>
                <w:kern w:val="0"/>
                <w:sz w:val="20"/>
                <w:szCs w:val="20"/>
                <w14:ligatures w14:val="none"/>
              </w:rPr>
              <w:t xml:space="preserve"> </w:t>
            </w:r>
            <w:r w:rsidRPr="00F27570">
              <w:rPr>
                <w:rFonts w:ascii="Montserrat" w:eastAsia="Arial Unicode MS" w:hAnsi="Montserrat" w:cs="Arial"/>
                <w:iCs/>
                <w:sz w:val="20"/>
                <w:szCs w:val="20"/>
                <w14:ligatures w14:val="none"/>
              </w:rPr>
              <w:t>viešąjį pirkimą</w:t>
            </w:r>
            <w:r w:rsidRPr="00F27570">
              <w:rPr>
                <w:rFonts w:ascii="Montserrat" w:eastAsia="Calibri" w:hAnsi="Montserrat" w:cs="Calibri"/>
                <w:kern w:val="0"/>
                <w:sz w:val="20"/>
                <w:szCs w:val="20"/>
                <w:shd w:val="clear" w:color="auto" w:fill="FFFFFF"/>
                <w:lang w:val="en-US"/>
                <w14:ligatures w14:val="none"/>
              </w:rPr>
              <w:t xml:space="preserve">, </w:t>
            </w:r>
            <w:r w:rsidRPr="00F27570">
              <w:rPr>
                <w:rFonts w:ascii="Montserrat" w:eastAsia="Calibri" w:hAnsi="Montserrat" w:cs="Times New Roman"/>
                <w:kern w:val="0"/>
                <w:sz w:val="20"/>
                <w:szCs w:val="20"/>
                <w:lang w:val="en-US"/>
                <w14:ligatures w14:val="none"/>
              </w:rPr>
              <w:t>atviro konkurso būdu. </w:t>
            </w:r>
          </w:p>
          <w:p w14:paraId="40EE3CDB" w14:textId="3789BBB4"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lang w:val="en-US"/>
                <w14:ligatures w14:val="none"/>
              </w:rPr>
            </w:pPr>
            <w:r w:rsidRPr="00F27570">
              <w:rPr>
                <w:rFonts w:ascii="Montserrat" w:eastAsia="Calibri" w:hAnsi="Montserrat" w:cs="Arial"/>
                <w:bCs/>
                <w:iCs/>
                <w:kern w:val="0"/>
                <w:sz w:val="20"/>
                <w:szCs w:val="20"/>
                <w:lang w:val="en-US"/>
                <w14:ligatures w14:val="none"/>
              </w:rPr>
              <w:tab/>
              <w:t>Informuojame, kad 2025 m. birželio 18 d. 19:40 val., Centrinės viešųjų pirkimų informacinės sistemos (toliau – CVP IS) priemonėmis, nepraleidžiant pirkimo sąlygų 81 punkte nurodyto prašymų dėl papildomos su pirkimo dokumentais susijusios informacijos teikimo termino, buvo gautas pranešimas „Klausimai, pasiūlymai“ (Pranešimo ID 248577 ), 2025 m. liepos 1 d. 16:38 val. CVP IS priemonėmis buvo gautas pranešimas „3112828 - prašymai Sutarties Projekto pakeitimams“ (Pranešimo ID 262845), 2025 m. liepos 6 d. 21:08 val. CVP IS priemonėmis buvo gautas pranešimas „Papildomi klausimai dėl Sutarties projekto“ (Pranešimo ID 268549).</w:t>
            </w:r>
          </w:p>
          <w:p w14:paraId="0EA162F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lang w:val="en-US"/>
                <w14:ligatures w14:val="none"/>
              </w:rPr>
            </w:pPr>
            <w:r w:rsidRPr="00F27570">
              <w:rPr>
                <w:rFonts w:ascii="Montserrat" w:eastAsia="Calibri" w:hAnsi="Montserrat" w:cs="Arial"/>
                <w:bCs/>
                <w:iCs/>
                <w:kern w:val="0"/>
                <w:sz w:val="20"/>
                <w:szCs w:val="20"/>
                <w:lang w:val="en-US"/>
                <w14:ligatures w14:val="none"/>
              </w:rPr>
              <w:t xml:space="preserve">       Komisija išnagrinėjo tiekėjų CVP IS priemonėmis pateiktus pranešimus/klausimus ir vadovaujantis Lietuvos Respublikos viešųjų pirkimų įstatymo (toliau – VPĮ) 36 str. 5 d. ir pirkimo dokumentų 82 punktu, teikia atsakymus į klausimus, atsakymus formuluojant taip:</w:t>
            </w:r>
          </w:p>
          <w:p w14:paraId="605D990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lang w:val="en-US"/>
                <w14:ligatures w14:val="none"/>
              </w:rPr>
            </w:pPr>
          </w:p>
          <w:p w14:paraId="01C4ADD0"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1 Klausimas:</w:t>
            </w:r>
          </w:p>
          <w:p w14:paraId="714CB93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„Pirkimo pavadinimas viešųjų pirkimų portale nesutampa su pirkimo pavadinimu dokumentacijoje. Portale pavadinimas: „Elektroninių bilietų pardavimo (platinimo) per Trafi mobiliąją programėlę paslaugos“, pirkimo dokumentacijoje „Elektroninių bilietų pardavimo (platinimo) per mobiliąją programėlę paslaugų pirkimo“. Prašome patvirtinkite, jog elektroninių bilietų pardavimo (platinimo) paslaugas galima teigti ir per analogišką kitą programėlę, kuri atitinka visas pirkimo dokumentuose nurodytas sąlygas“</w:t>
            </w:r>
          </w:p>
          <w:p w14:paraId="276B273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54CD240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5CECFF3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paslaugos gali būti teikiamos per analogišką programėlę, kuri atitiktų visus pirkimo sąlygų reikalavimus.”</w:t>
            </w:r>
          </w:p>
          <w:p w14:paraId="0B07711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78A5B3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2 klausimas:</w:t>
            </w:r>
          </w:p>
          <w:p w14:paraId="51DA415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„Rekomenduojame pirkimą skaidyti į atskiras dalis sudarant galimybę keliems tiekėjams teikti paslaugas vienu metu, taip ateityje sumažinant priklausomybę nuo vieno didelio tiekėjo monopolizuojančio rinką. Kiekviena programėlė skirtinga ir atrastų savo klientų ratą, ko pasekoje būtų teikiama kokybiškesnė ir į konkrečias klientų grupes orientuota paslauga. Analogiškai viešojo transporto bilietai platinami skirtingose fizinėse platinimo vietose: Narvesen prekybos </w:t>
            </w:r>
            <w:r w:rsidRPr="00F27570">
              <w:rPr>
                <w:rFonts w:ascii="Montserrat" w:eastAsia="Calibri" w:hAnsi="Montserrat" w:cs="Arial"/>
                <w:bCs/>
                <w:i/>
                <w:kern w:val="0"/>
                <w:sz w:val="20"/>
                <w:szCs w:val="20"/>
                <w:lang w:val="en-US"/>
                <w14:ligatures w14:val="none"/>
              </w:rPr>
              <w:lastRenderedPageBreak/>
              <w:t>paviljonuose, Maxima, Rimi ir Aibės prekybos centruose. Šiems tiekėjams sudaromos vienodos sąlygos“</w:t>
            </w:r>
          </w:p>
          <w:p w14:paraId="3D09AA2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6D27F0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4460F57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pirkimo objektas nėra skaidomas į dalis, kadangi, išskaidžius jį į atskiras dalis kiltų sunkumų koordinuojant daugiau nei vieno tiekėjo bendrus veiksmus, iškiltų grėsmė skirtingų tiekėjų rezultato vientisumui.“</w:t>
            </w:r>
          </w:p>
          <w:p w14:paraId="56B64EC4"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2AF8A24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3 klausimas:</w:t>
            </w:r>
          </w:p>
          <w:p w14:paraId="1F77296F"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„Techninė specifikacija – Punktas 3.2. Platintojas turi užtikrinti nepertraukiamą (išskyrus pirkimo dokumentuose numatytus atvejus) ir kokybišką Paslaugos teikimą naujausiose Mobilios programėlės versijose. Žemiausios palaikomos versijos yra Android 7.0, iOS 13.0. Pasiūlymas: Žemiausios palaikomos versijos yra Android 10 ir iOS 17. Paaiškinimas: Android 7 buvo išleista 2016 metų vasarą ir nuo 2019 m. spalio nebegauna atnaujinimų, tarp kurių ir saugumo atnaujinimų. Nuo 2020 m. iOS 13 taip pat praktiškai nebenaudojama.“</w:t>
            </w:r>
          </w:p>
          <w:p w14:paraId="397D4969"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167622E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4D26B982" w14:textId="77777777" w:rsidR="00F27570" w:rsidRPr="00F27570" w:rsidRDefault="00F27570" w:rsidP="00F27570">
            <w:pPr>
              <w:tabs>
                <w:tab w:val="left" w:pos="567"/>
                <w:tab w:val="left" w:pos="993"/>
              </w:tabs>
              <w:spacing w:after="0" w:line="276" w:lineRule="auto"/>
              <w:jc w:val="both"/>
              <w:rPr>
                <w:rFonts w:ascii="Montserrat" w:eastAsia="Aptos" w:hAnsi="Montserrat" w:cs="Aptos"/>
                <w:i/>
                <w:iCs/>
                <w:kern w:val="0"/>
                <w:sz w:val="20"/>
                <w:szCs w:val="20"/>
                <w:lang w:eastAsia="lt-LT"/>
              </w:rPr>
            </w:pPr>
            <w:r w:rsidRPr="00F27570">
              <w:rPr>
                <w:rFonts w:ascii="Montserrat" w:eastAsia="Times New Roman" w:hAnsi="Montserrat" w:cs="Aptos"/>
                <w:i/>
                <w:iCs/>
                <w:kern w:val="0"/>
                <w:sz w:val="20"/>
                <w:szCs w:val="20"/>
                <w:lang w:eastAsia="lt-LT"/>
                <w14:ligatures w14:val="none"/>
              </w:rPr>
              <w:t xml:space="preserve">„Informuojame, kad Perkančioji organizacija įvertinusi Jūsų pastabą </w:t>
            </w:r>
            <w:r w:rsidRPr="00F27570">
              <w:rPr>
                <w:rFonts w:ascii="Montserrat" w:eastAsia="Aptos" w:hAnsi="Montserrat" w:cs="Aptos"/>
                <w:i/>
                <w:iCs/>
                <w:kern w:val="0"/>
                <w:sz w:val="20"/>
                <w:szCs w:val="20"/>
                <w:lang w:eastAsia="lt-LT"/>
              </w:rPr>
              <w:t>dėl programinės įrangos palaikymo naujose mobiliųjų operacinių sistemų versijose, pataiso techninę klaidą techninės specifikacijos 3.2 punkte ir jį išdėsto taip:</w:t>
            </w:r>
          </w:p>
          <w:p w14:paraId="61A7A124" w14:textId="77777777" w:rsidR="00F27570" w:rsidRPr="00F27570" w:rsidRDefault="00F27570" w:rsidP="00F27570">
            <w:pPr>
              <w:tabs>
                <w:tab w:val="left" w:pos="567"/>
                <w:tab w:val="left" w:pos="993"/>
              </w:tabs>
              <w:spacing w:after="0" w:line="276" w:lineRule="auto"/>
              <w:jc w:val="both"/>
              <w:rPr>
                <w:rFonts w:ascii="Montserrat" w:eastAsia="Montserrat" w:hAnsi="Montserrat" w:cs="Montserrat"/>
                <w:i/>
                <w:iCs/>
                <w:color w:val="000000"/>
                <w:kern w:val="0"/>
                <w:sz w:val="20"/>
                <w:szCs w:val="20"/>
                <w:lang w:eastAsia="lt-LT"/>
                <w14:ligatures w14:val="none"/>
              </w:rPr>
            </w:pPr>
            <w:r w:rsidRPr="00F27570">
              <w:rPr>
                <w:rFonts w:ascii="Montserrat" w:eastAsia="Aptos" w:hAnsi="Montserrat" w:cs="Aptos"/>
                <w:i/>
                <w:iCs/>
                <w:kern w:val="0"/>
                <w:sz w:val="20"/>
                <w:szCs w:val="20"/>
                <w:lang w:eastAsia="lt-LT"/>
              </w:rPr>
              <w:t xml:space="preserve"> „</w:t>
            </w:r>
            <w:r w:rsidRPr="00F27570">
              <w:rPr>
                <w:rFonts w:ascii="Montserrat" w:eastAsia="Montserrat" w:hAnsi="Montserrat" w:cs="Montserrat"/>
                <w:i/>
                <w:iCs/>
                <w:color w:val="000000"/>
                <w:kern w:val="0"/>
                <w:sz w:val="20"/>
                <w:szCs w:val="20"/>
                <w:lang w:eastAsia="lt-LT"/>
                <w14:ligatures w14:val="none"/>
              </w:rPr>
              <w:t>Platintojas turi užtikrinti nepertraukiamą (išskyrus pirkimo dokumentuose numatytus atvejus) ir kokybišką Paslaugos teikimą naujausiose Mobilios programėlės versijose. Žemiausios palaikomos versijos yra</w:t>
            </w:r>
            <w:r w:rsidRPr="00F27570">
              <w:rPr>
                <w:rFonts w:ascii="Montserrat" w:eastAsia="Montserrat" w:hAnsi="Montserrat" w:cs="Montserrat"/>
                <w:i/>
                <w:iCs/>
                <w:color w:val="000000"/>
                <w:kern w:val="0"/>
                <w:sz w:val="22"/>
                <w:szCs w:val="22"/>
                <w:lang w:eastAsia="lt-LT"/>
                <w14:ligatures w14:val="none"/>
              </w:rPr>
              <w:t xml:space="preserve"> </w:t>
            </w:r>
            <w:r w:rsidRPr="00F27570">
              <w:rPr>
                <w:rFonts w:ascii="Montserrat" w:eastAsia="Montserrat" w:hAnsi="Montserrat" w:cs="Montserrat"/>
                <w:i/>
                <w:iCs/>
                <w:color w:val="000000"/>
                <w:kern w:val="0"/>
                <w:sz w:val="20"/>
                <w:szCs w:val="20"/>
                <w:lang w:eastAsia="lt-LT"/>
                <w14:ligatures w14:val="none"/>
              </w:rPr>
              <w:t xml:space="preserve">Android </w:t>
            </w:r>
            <w:r w:rsidRPr="00F27570">
              <w:rPr>
                <w:rFonts w:ascii="Montserrat" w:eastAsia="Montserrat" w:hAnsi="Montserrat" w:cs="Montserrat"/>
                <w:i/>
                <w:iCs/>
                <w:kern w:val="0"/>
                <w:sz w:val="20"/>
                <w:szCs w:val="20"/>
                <w:lang w:eastAsia="lt-LT"/>
                <w14:ligatures w14:val="none"/>
              </w:rPr>
              <w:t>10</w:t>
            </w:r>
            <w:r w:rsidRPr="00F27570">
              <w:rPr>
                <w:rFonts w:ascii="Montserrat" w:eastAsia="Montserrat" w:hAnsi="Montserrat" w:cs="Montserrat"/>
                <w:i/>
                <w:iCs/>
                <w:color w:val="000000"/>
                <w:kern w:val="0"/>
                <w:sz w:val="20"/>
                <w:szCs w:val="20"/>
                <w:lang w:eastAsia="lt-LT"/>
                <w14:ligatures w14:val="none"/>
              </w:rPr>
              <w:t>.0, iOS 1</w:t>
            </w:r>
            <w:r w:rsidRPr="00F27570">
              <w:rPr>
                <w:rFonts w:ascii="Montserrat" w:eastAsia="Montserrat" w:hAnsi="Montserrat" w:cs="Montserrat"/>
                <w:i/>
                <w:iCs/>
                <w:kern w:val="0"/>
                <w:sz w:val="20"/>
                <w:szCs w:val="20"/>
                <w:lang w:eastAsia="lt-LT"/>
                <w14:ligatures w14:val="none"/>
              </w:rPr>
              <w:t>5</w:t>
            </w:r>
            <w:r w:rsidRPr="00F27570">
              <w:rPr>
                <w:rFonts w:ascii="Montserrat" w:eastAsia="Montserrat" w:hAnsi="Montserrat" w:cs="Montserrat"/>
                <w:i/>
                <w:iCs/>
                <w:color w:val="000000"/>
                <w:kern w:val="0"/>
                <w:sz w:val="20"/>
                <w:szCs w:val="20"/>
                <w:lang w:eastAsia="lt-LT"/>
                <w14:ligatures w14:val="none"/>
              </w:rPr>
              <w:t>.0.“</w:t>
            </w:r>
          </w:p>
          <w:p w14:paraId="76DDD803" w14:textId="77777777" w:rsidR="00F27570" w:rsidRPr="00F27570" w:rsidRDefault="00F27570" w:rsidP="00F27570">
            <w:pPr>
              <w:tabs>
                <w:tab w:val="left" w:pos="567"/>
                <w:tab w:val="left" w:pos="993"/>
              </w:tabs>
              <w:spacing w:after="0" w:line="276" w:lineRule="auto"/>
              <w:jc w:val="both"/>
              <w:rPr>
                <w:rFonts w:ascii="Montserrat" w:eastAsia="Montserrat" w:hAnsi="Montserrat" w:cs="Montserrat"/>
                <w:i/>
                <w:iCs/>
                <w:color w:val="000000"/>
                <w:kern w:val="0"/>
                <w:sz w:val="20"/>
                <w:szCs w:val="20"/>
                <w:lang w:eastAsia="lt-LT"/>
                <w14:ligatures w14:val="none"/>
              </w:rPr>
            </w:pPr>
            <w:r w:rsidRPr="00F27570">
              <w:rPr>
                <w:rFonts w:ascii="Montserrat" w:eastAsia="Montserrat" w:hAnsi="Montserrat" w:cs="Montserrat"/>
                <w:i/>
                <w:iCs/>
                <w:color w:val="000000"/>
                <w:kern w:val="0"/>
                <w:sz w:val="20"/>
                <w:szCs w:val="20"/>
                <w:lang w:eastAsia="lt-LT"/>
                <w14:ligatures w14:val="none"/>
              </w:rPr>
              <w:t>Pažymime, kad atsižvelgiant į išdėstytą, prie pirkimo dokumentų pridedama aktuali 2025-07-08 techninės specifikacijos redakcija.“</w:t>
            </w:r>
          </w:p>
          <w:p w14:paraId="37B4E78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223B476"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4 klausimas:</w:t>
            </w:r>
          </w:p>
          <w:p w14:paraId="1ECEDB1A"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„Sutartis – punktas 4.1. Paslaugų teikėjas turi pradėti teikti Paslaugas ne vėliau kaip per 28 kalendorinės dienas nuo Sutarties įsigaliojimo dienos. Dėl Paslaugų teikėjo kaltės vėluojant pradėti teikti paslaugas ilgiau kaip 28 dienas laikoma esminiu sutarties pažeidimu. Pastebėjimas ir pasiūlymas: Paslaugų integracija ir paslaugų teikimo pradžia labai stipriai priklauso ne tik nuo paslaugų teikėjo, bet ir nuo Perkančiosios organizacijos - suteikiant integracijos dokumentaciją, integracijos metu atsakant į klausimus, suteikiant prisijungimus prie sistemos testinės ir produkcinės aplinkų. Pastebėtina, jog prie šio pirkimo medžiagos visiškai nėra pridėta integracijos API dokumentacija, pagal kurią galima būtų įvertinti integracijos sudėtingumą ir kiek laiko tai užtruktų. Prašome pridėti API dokumentaciją, sudaryti galimybes testinėje aplinkoje išbandyti pagrindines užklausas. Pastebime, jog numatytas 28 kalendorinių dienų paslaugų teikimo pradžios terminas yra labai trumpas, iškreipia sąlygas esamiems ir naujiems tiekėjams, riboja konkurenciją.“</w:t>
            </w:r>
          </w:p>
          <w:p w14:paraId="00B82BD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475D3AF"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2746A37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numatytas terminas paslaugų integracijai ir paslaugų teikimo pradžiai yra  pakankamas. Pažymime, kad Užsakovas nereikalauja sukurti programėlės pagal nurodytas sąlygas, tačiau perka Prekę, kuri jau yra rinkoje.  Informuojame, kad atsižvelgiant į Jūsų prašymą, API dokumentacija pridedama.</w:t>
            </w:r>
          </w:p>
          <w:p w14:paraId="5BFAB94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w:t>
            </w:r>
          </w:p>
          <w:p w14:paraId="3CA1D5B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5 klausimas:</w:t>
            </w:r>
          </w:p>
          <w:p w14:paraId="27904FE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„Sutartis – punktas 5.8. Paslaugų teikėjas turi ne vėliau kaip per 2 (dvi) darbo dienas nuo Sutarties 5.7.1 punkte nurodytos Viešojo transporto m. Ticket bilietų suvestinės ataskaitos gavimo pervesti </w:t>
            </w:r>
            <w:r w:rsidRPr="00F27570">
              <w:rPr>
                <w:rFonts w:ascii="Montserrat" w:eastAsia="Calibri" w:hAnsi="Montserrat" w:cs="Arial"/>
                <w:bCs/>
                <w:i/>
                <w:kern w:val="0"/>
                <w:sz w:val="20"/>
                <w:szCs w:val="20"/>
                <w:lang w:val="en-US"/>
                <w14:ligatures w14:val="none"/>
              </w:rPr>
              <w:lastRenderedPageBreak/>
              <w:t>Užsakovui visą per ataskaitinį laikotarpį, apdorojant Transakcijas, gautą lėšų sumą, neatskaičius Paslaugų mokesčių, į banko sąskaitą Nr. LT14 7044 0600 0764 2185. Pasiūlymas: Siekiant iki minimumo sumažinti Perkančiosios organizacijos rizikas siūlome įpareigoti paslaugų teikėją surinktą lėšų sumą pervesti kiekvieną darbo dieną arba kartą į savaitę. Šiuo metu pirkimo sąlygos įpareigoja Paslaugų teikėją pervesti surinktą sumą tik kartą per mėnesį.“</w:t>
            </w:r>
          </w:p>
          <w:p w14:paraId="66553D6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6F20BFDA"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566CF39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Perkančioji organizacija į Sutarties projekto 5.8 punkto pakeitimo siūlymq neatsižvelgia, prašome vadovautis pirkimo dokumentuose nustatytomis 5.8 Sutarties projekto nuostatomis.“</w:t>
            </w:r>
          </w:p>
          <w:p w14:paraId="2CC91F1A"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ABAF3F9"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6 klausimas:</w:t>
            </w:r>
          </w:p>
          <w:p w14:paraId="312E74E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„Sutartis – punktas 10.1. Sutarties įvykdymas užtikrinamas užstatu 130 000,00 EUR (vieno šimto trisdešimt tūkstančių eurų ir 00 ct) sumai, Paslaugų teikėjui pervedant jį į Užsakovo sąskaitą LT14 7044 0600 0764 2185, esančią AB SEB banke, iki Sutarties pasirašymo dienos, arba 130 000,00 EUR (vieno šimto trisdešimt tūkstančių eurų ir 00 ct) sumos pirmo pareikalavimo besąlygine banko garantija, kurią Paslaugų teikėjas pateikia Užsakovui iki Sutarties pasirašymo. Pasiūlymas: Manome, jog šiuo metu šis punktas iškreipia pirkimo sąlygas ir riboja konkurenciją, nes nauji paslaugų teikėjai per pirmus paslaugos teikimo metus parduos žymiai mažiau bilietų (kartu sukurdami žymiai mažesnes rizikas pirkimo organizatoriui). Punktu 5.8 sumažinus perkančiosios organizacijos rizikas atitinkamai galėtų būti sumažintas ir sutarties užtikrinimo dydis (pvz.: iki 10.000€ atliekant mokėjimus kiekvieną darbo dieną). Jeigu numatote palikti tokio dydžio užstatą, prašome numatyti jo perskaičiavimą po 2 mėnesių įvertinus vidutines paslaugos teikėjo apyvartas.“</w:t>
            </w:r>
          </w:p>
          <w:p w14:paraId="5E473C1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6DD8784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248BDBD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Perkančioji organizacija į Sutarties projekto 10.1 punkto pakeitimo siūlymq neatsižvelgia, prašome vadovautis pirkimo dokumentuose nustatytomis 10.1 Sutarties projekto nuostatomis. Pažymime, kad atsižvelgiant į pirkimo objektą bei surenkamų lėšų dydį, numatyto užstato suma yra racionali.”</w:t>
            </w:r>
          </w:p>
          <w:p w14:paraId="247CC37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616333DF"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7 klausimas:</w:t>
            </w:r>
          </w:p>
          <w:p w14:paraId="35C9E01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„Sutartis – punktas 12.1. Užsakovui išlieka visos nuosavybės ir autoriaus teisės į programėlę bei MTIS, jos komponentus ir produktus. Pastebėjimas: Nėra aprašyta sąvoka „Programėlė“. Prašome patikslinti.“</w:t>
            </w:r>
          </w:p>
          <w:p w14:paraId="1CA658F4"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4AF3B8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418B1D9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sąvoka aprašyta Techninės specifikacijos 1.7.9. papunktyje  ir sutarties projekto 1.6 punkte: „Mobili programėlė – Platintojo administruojama mobili programėlė, skirta m.Ticket bilietų pardavimui (platinimui), atitinkanti techninėje specifikacijoje nustatytus funkcinius ir technologinius reikalavimus“.</w:t>
            </w:r>
          </w:p>
          <w:p w14:paraId="10FB974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1EE8569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8 klausimas:</w:t>
            </w:r>
          </w:p>
          <w:p w14:paraId="524DBA3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p>
          <w:p w14:paraId="0AEE8D8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„9. ŠALIŲ ATSAKOMYBĖ </w:t>
            </w:r>
          </w:p>
          <w:p w14:paraId="7CB845F0"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445FF67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9.1. Siūloma punkto formuluotė: </w:t>
            </w:r>
          </w:p>
          <w:p w14:paraId="307FB4E9"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2E4C1B86"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lastRenderedPageBreak/>
              <w:t>"9.1. Šalys įsipareigoja tinkamai vykdyti savo įsipareigojimus, prisiimtus šia Sutartimi, ir susilaikyti nuo bet kokių veiksmų, kuriais galėtų padaryti žalos viena kitai ar apsunkintų kitos Šalies prisiimtų įsipareigojimų įvykdymą (a) Išskyrus atvejus, dėl kurių apribojimas būtų neteisėtas, jokiu atveju neatsako Paslaugų teikėjas už bet kokią baudinę, pavyzdinę, specialiąją, netiesioginę, atsitiktinę ar netiesioginę žalą, kylančią dėl Sutarties, delikto ar kitos teisinės teorijos, nes tokia žala konkrečiai neįtraukiama. (b) Atsižvelgiant į (a) punktą, bendra atsakomybė už tiesioginius nuostolius dėl bet kokios priežasties ir dėl bet kokių reikalavimų, kylančių iš šios Sutarties arba susijusių su ja, nepriklausomai nuo ieškinio formos, yra ribojama iki visų mokesčių, kuriuos Užsakovas sumokėjo pagal Paslaugų teikėjo šią Sutartį per dvylikos (12) mėnesių laikotarpį iki ieškinio pareiškimo."</w:t>
            </w:r>
          </w:p>
          <w:p w14:paraId="38C8A51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04725327"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 9.2. Siūloma punkto formuluotė:</w:t>
            </w:r>
          </w:p>
          <w:p w14:paraId="30ECB2F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0399B51A"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  "9.2. Paslaugų teikėjas, pažeidęs Sutartyje nustatytus terminus (pvz., vėluoja suteikti Užsakovui Paslaugas, vėluoja ištaisyti Paslaugų trūkumus ir kt.), Užsakovui raštu pareikalavus, moka Užsakovui 0,03 (trijų šimtųjų) proc. dydžio delspinigius nuo Maksimalios Sutarties kainos be PVM, nurodytos Sutarties 5.2 punkte, už kiekvieną uždelstą dieną. Bendra suma delspinigių ir (arba) baudų kurios Užsakovas gali reikalauti už tokius vėlavimus, šios galiojimo laikotarpiu, Sutarties negali viršyti 15 (penkiolikos) procentų Didžiausios sutarties kainos."</w:t>
            </w:r>
          </w:p>
          <w:p w14:paraId="3AC548F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D8DE1A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9.4. Prašoma panaikinti punktą.</w:t>
            </w:r>
          </w:p>
          <w:p w14:paraId="0715E7E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6E6D8F6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9.5. Prašoma panaikinti punktą.</w:t>
            </w:r>
          </w:p>
          <w:p w14:paraId="7C228AF9"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543A73B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9.7. Siūloma punkto formuluotė:</w:t>
            </w:r>
          </w:p>
          <w:p w14:paraId="6175CD54"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7F5302E7"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„9.7. Atsižvelgiant į 9.1 punkte nurodytą atsakomybės apribojimą, Paslaugų teikėjas privalo atlyginti Trečiosioms šalims nuostolius, kuriuos jos patirs dėl Paslaugų teikėjo neveikimo ar netinkamo veikimo ar kitokio Sutarties pažeidimo. Paslaugų teikėjas privalo atlyginti Užsakovui visus nuostolius, kuriuos pastarasis patirs dėl Trečiųjų šalių tiesioginių reikalavimų, kylančių iš Paslaugų teikėjo įsipareigojimų pagal šią Sutartį pažeidimo."</w:t>
            </w:r>
          </w:p>
          <w:p w14:paraId="2EA34DA2"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49E6011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10. SUTARTIES ĮVYKDYMO UŽTIKRINIMAS - prašome panaikinti visą straipsnį.</w:t>
            </w:r>
          </w:p>
          <w:p w14:paraId="17C5976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124DB9B6"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11. KONFIDENCIALUMAS IR ASMENS DUOMENŲ APSAUGA</w:t>
            </w:r>
          </w:p>
          <w:p w14:paraId="4ADA418D"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2118E2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11.9. Prašoma panaikinti punktą.</w:t>
            </w:r>
          </w:p>
          <w:p w14:paraId="6688008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0A8A27DF"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71285925"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Perkančioji organizacija į Sutarties projekto pakeitimo siūlymus neatsižvelgia, prašome vadovautis pirkimo dokumentuose nustatytomis Sutarties projekto nuostatomis.“</w:t>
            </w:r>
          </w:p>
          <w:p w14:paraId="33F0D70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976FC3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9 klausimas:</w:t>
            </w:r>
          </w:p>
          <w:p w14:paraId="24B7AD4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 xml:space="preserve">„Sutartis - punktas 5.8. Paslaugų teikėjas turi ne vėliau kaip per 2 (dvi) darbo dienas nuo Sutarties 5.7.1 punkte nurodytos Viešojo transporto m. Ticket bilietų suvestinės ataskaitos gavimo pervesti Užsakovui visą per ataskaitinį laikotarpį, apdorojant Transakcijas, gautą lėšų sumą, neatskaičius Paslaugų mokesčių, į banko sąskaitą Nr. LT14 7044 0600 0764 2185. </w:t>
            </w:r>
          </w:p>
          <w:p w14:paraId="357FD6C3"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lastRenderedPageBreak/>
              <w:t>Pasiūlymas: Siūlome pasirašyti trišalę sutartį tarp Perkančiosios organizacijos, Tiekėjo ir mokėjimų įmonės, jog visos lėšos už pagal šio pirkimo sutartį parduotus bilietus būtų surenkamos į tranzitinę sąskaitą, ir sekančią dieną mokėjimo įstaiga visą sumą pervestų į Perkančiosios organizacijos sąskaitą. Perkančioji organizacija visiškai eliminuotų riziką susijusią su Tiekėjo neatsiskaitymu.“</w:t>
            </w:r>
          </w:p>
          <w:p w14:paraId="045EB96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40FA7D1A"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649E377E"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Perkančioji organizacija į Sutarties projekto 5.8 punkto pakeitimo siūlymq neatsižvelgia, prašome vadovautis pirkimo dokumentuose nustatytomis 5.8 Sutarties projekto nuostatomis.“</w:t>
            </w:r>
          </w:p>
          <w:p w14:paraId="24C3CFF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070D0B00"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10 klausimas:</w:t>
            </w:r>
          </w:p>
          <w:p w14:paraId="1A6BA631"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„Punktas 9.5. Jeigu Sutartis nutraukiama dėl Paslaugų teikėjo kaltės (pvz., dėl esminio Sutarties pažeidimo), Paslaugų teikėjas moka Užsakovui 10 (dešimt) proc. nuo Maksimalios Sutarties kainos be PVM, nurodytos Sutarties 5.2 punkte, dydžio baudą. Komentaras: a. Nepradėjus teikti paslaugų per 28 dienas būtų laikomas Esminis sutarties pažeidimas, nors Perkančioji organizacija nepatirtų praktiškai jokių nuostolių. Reputacinės žalos Perkančioji organizacija taip pat nepatirtų. Netiesioginė reputacinė žala Perkančiąjai organizacijai būtų, jog neliktų šiuo metu esamo tiekėjo, bet šio tiekėjo paslaugų įsigijimą Perkančioji organizacija gali užsitikrinti leisdama viešajame pirkime skelbti ne vieną, o kelis laimėtojus. b. Naujo tiekėjo suteikiamų paslaugų dydis (t.y. parduotų bilietų kiekis) pirmais metais bus šimtus kartų mažesnis, nei numatyta bauda. Pasiūlymas: a. Nespėjus per 28 dienas pasiruošti teikti paslaugas to nelaikyti, kaip esminio sutarties pažeidimo ir taikyti tik 9.2 punkte numatytus delspinigius sumažinant jų dydį iki 0,01 proc. dydžio delspinigius nuo Maksimalios Sutarties kainos be PVM, nurodytos Sutarties 5.2 punkte, už kiekvieną uždelstą dieną. b. Numatyto dydžio bauda (130.000€) neproporcinga realiai žalai, kurią patirtų Perkančioji organizacija ir siūlome sumažinti, jog ji negalėtų viršyti 1 vidutinio mėnesio suteiktų paslaugų (per Tiekėją parduotų bilietų) vertės.“</w:t>
            </w:r>
          </w:p>
          <w:p w14:paraId="2ED35934"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7D11EA97"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3361A6B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„Informuojame, kad Perkančioji organizacija į Sutarties projekto 9.5 punkto pakeitimo siūlymq neatsižvelgia, prašome vadovautis pirkimo dokumentuose nustatytomis 9.5 Sutarties projekto nuostatomis.  Sutarties projekto 9.10. papunktyje numatoma, kad: „Visos Sutartyje numatytos netesybos laikomos minimaliais neįrodinėtinais Šalies nuostoliais”.</w:t>
            </w:r>
          </w:p>
          <w:p w14:paraId="444621C9"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p>
          <w:p w14:paraId="518AEB4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11 klausimas:</w:t>
            </w:r>
          </w:p>
          <w:p w14:paraId="59717CD4"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t>„Sutartis - punktas 10.1. Sutarties įvykdymas užtikrinamas užstatu 130 000,00 EUR (vieno šimto trisdešimt tūkstančių eurų ir 00 ct) sumai, Paslaugų teikėjui pervedant jį į Užsakovo sąskaitą LT14 7044 0600 0764 2185, esančią AB SEB banke, iki Sutarties pasirašymo dienos, arba 130 000,00 EUR (vieno šimto trisdešimt tūkstančių eurų ir 00 ct) sumos pirmo pareikalavimo besąlygine banko garantija, kurią Paslaugų teikėjas pateikia Užsakovui iki Sutarties pasirašymo. Banko garantija turi būti išduota finansų įstaigos, kuriai suteiktas tarptautinės reitingų agentūros ilgalaikio skolinimosi reitingas ne mažesnis kaip B2 (Moody's) arba B (Standart&amp;Poor's, Fitch). Jeigu Lietuvos Respublikoje veikiantis komercinis bankas arba užsienio banko filialas neturi savarankiško reitingo, vertinamas šį banką ar filialą patronuojančio banko reitingas. Klausimas: Ar galima kaip sutarties užtikrinimą pateikti draudimo bendrovės laidavimo raštą?“</w:t>
            </w:r>
          </w:p>
          <w:p w14:paraId="71CEB006"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2143BC4F"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kern w:val="0"/>
                <w:sz w:val="20"/>
                <w:szCs w:val="20"/>
                <w:lang w:val="en-US"/>
                <w14:ligatures w14:val="none"/>
              </w:rPr>
            </w:pPr>
            <w:r w:rsidRPr="00F27570">
              <w:rPr>
                <w:rFonts w:ascii="Montserrat" w:eastAsia="Calibri" w:hAnsi="Montserrat" w:cs="Arial"/>
                <w:b/>
                <w:i/>
                <w:kern w:val="0"/>
                <w:sz w:val="20"/>
                <w:szCs w:val="20"/>
                <w:lang w:val="en-US"/>
                <w14:ligatures w14:val="none"/>
              </w:rPr>
              <w:t>Atsakymas:</w:t>
            </w:r>
          </w:p>
          <w:p w14:paraId="3E9BEC5B"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r w:rsidRPr="00F27570">
              <w:rPr>
                <w:rFonts w:ascii="Montserrat" w:eastAsia="Calibri" w:hAnsi="Montserrat" w:cs="Arial"/>
                <w:bCs/>
                <w:i/>
                <w:kern w:val="0"/>
                <w:sz w:val="20"/>
                <w:szCs w:val="20"/>
                <w:lang w:val="en-US"/>
                <w14:ligatures w14:val="none"/>
              </w:rPr>
              <w:lastRenderedPageBreak/>
              <w:t>„Perkančioji organizacija pažymi, kad užtikrinamas galimas tik pirkimo dokumentuose numatytais būdais, t. y. mokėjimo pavedimu užstato dydžio sumai ir banko garantija. Laidavimo raštas netinka“.</w:t>
            </w:r>
          </w:p>
          <w:p w14:paraId="7EC727B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
                <w:kern w:val="0"/>
                <w:sz w:val="20"/>
                <w:szCs w:val="20"/>
                <w:lang w:val="en-US"/>
                <w14:ligatures w14:val="none"/>
              </w:rPr>
            </w:pPr>
          </w:p>
          <w:p w14:paraId="394C5ED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
                <w:i/>
                <w:iCs/>
                <w:kern w:val="0"/>
                <w:sz w:val="20"/>
                <w:szCs w:val="20"/>
                <w14:ligatures w14:val="none"/>
              </w:rPr>
            </w:pPr>
            <w:r w:rsidRPr="00F27570">
              <w:rPr>
                <w:rFonts w:ascii="Montserrat" w:eastAsia="Calibri" w:hAnsi="Montserrat" w:cs="Arial"/>
                <w:bCs/>
                <w:iCs/>
                <w:kern w:val="0"/>
                <w:sz w:val="20"/>
                <w:szCs w:val="20"/>
                <w:lang w:val="en-US"/>
                <w14:ligatures w14:val="none"/>
              </w:rPr>
              <w:t xml:space="preserve">      Informuojamę, kad atsižvelgiant į tai, kad išnagrinėjus gautus suinteresuotų dalyvių paklausimus/prašymus prie pirkimo dokumentų pridedama API dokumentacija ir aktuali 2025-07-08 techninė specifikacija, vadovaujantis VPĮ 40 str. 4 d. 2 p. pasiūlymų pateikimo terminas pratęsiamas </w:t>
            </w:r>
            <w:r w:rsidRPr="00F27570">
              <w:rPr>
                <w:rFonts w:ascii="Montserrat" w:eastAsia="Calibri" w:hAnsi="Montserrat" w:cs="Arial"/>
                <w:b/>
                <w:iCs/>
                <w:kern w:val="0"/>
                <w:sz w:val="20"/>
                <w:szCs w:val="20"/>
                <w:lang w:val="en-US"/>
                <w14:ligatures w14:val="none"/>
              </w:rPr>
              <w:t>iki 2025 m. rugpjūčio 4 d. 10:00 val.</w:t>
            </w:r>
          </w:p>
          <w:p w14:paraId="41DF4E93"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2ED62988"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69040EDC" w14:textId="77777777" w:rsidR="00F27570" w:rsidRPr="00F27570" w:rsidRDefault="00F27570" w:rsidP="00F2757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5BBB0090" w14:textId="77777777" w:rsidR="00F27570" w:rsidRPr="00F27570" w:rsidRDefault="00F27570" w:rsidP="00F27570">
            <w:pPr>
              <w:spacing w:line="254" w:lineRule="auto"/>
              <w:rPr>
                <w:rFonts w:ascii="Montserrat" w:eastAsia="Times New Roman" w:hAnsi="Montserrat" w:cs="Aptos"/>
                <w:color w:val="000000"/>
                <w:kern w:val="0"/>
                <w:sz w:val="20"/>
                <w:szCs w:val="20"/>
                <w:lang w:eastAsia="lt-LT"/>
                <w14:ligatures w14:val="none"/>
              </w:rPr>
            </w:pPr>
            <w:r w:rsidRPr="00F27570">
              <w:rPr>
                <w:rFonts w:ascii="Montserrat" w:eastAsia="Times New Roman" w:hAnsi="Montserrat" w:cs="Aptos"/>
                <w:color w:val="000000"/>
                <w:kern w:val="0"/>
                <w:sz w:val="20"/>
                <w:szCs w:val="20"/>
                <w:lang w:eastAsia="lt-LT"/>
                <w14:ligatures w14:val="none"/>
              </w:rPr>
              <w:t xml:space="preserve">      Komisijos pirmininkas           </w:t>
            </w:r>
            <w:r w:rsidRPr="00F27570">
              <w:rPr>
                <w:rFonts w:ascii="Montserrat" w:eastAsia="Times New Roman" w:hAnsi="Montserrat" w:cs="Aptos"/>
                <w:color w:val="000000"/>
                <w:kern w:val="0"/>
                <w:sz w:val="20"/>
                <w:szCs w:val="20"/>
                <w:lang w:eastAsia="lt-LT"/>
                <w14:ligatures w14:val="none"/>
              </w:rPr>
              <w:tab/>
            </w:r>
            <w:r w:rsidRPr="00F27570">
              <w:rPr>
                <w:rFonts w:ascii="Montserrat" w:eastAsia="Times New Roman" w:hAnsi="Montserrat" w:cs="Aptos"/>
                <w:color w:val="000000"/>
                <w:kern w:val="0"/>
                <w:sz w:val="20"/>
                <w:szCs w:val="20"/>
                <w:lang w:eastAsia="lt-LT"/>
                <w14:ligatures w14:val="none"/>
              </w:rPr>
              <w:tab/>
              <w:t xml:space="preserve">                                   Mindaugas Laucius</w:t>
            </w:r>
          </w:p>
        </w:tc>
      </w:tr>
    </w:tbl>
    <w:p w14:paraId="3590B1AB" w14:textId="77777777" w:rsidR="00327AA9" w:rsidRDefault="00327AA9"/>
    <w:sectPr w:rsidR="00327AA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70"/>
    <w:rsid w:val="00150685"/>
    <w:rsid w:val="00327AA9"/>
    <w:rsid w:val="00764C14"/>
    <w:rsid w:val="00BA02C7"/>
    <w:rsid w:val="00F27570"/>
    <w:rsid w:val="00FF0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7BAD"/>
  <w15:chartTrackingRefBased/>
  <w15:docId w15:val="{D250C58A-CE9C-4CE1-8C78-02698BAC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570"/>
    <w:rPr>
      <w:rFonts w:eastAsiaTheme="majorEastAsia" w:cstheme="majorBidi"/>
      <w:color w:val="272727" w:themeColor="text1" w:themeTint="D8"/>
    </w:rPr>
  </w:style>
  <w:style w:type="paragraph" w:styleId="Title">
    <w:name w:val="Title"/>
    <w:basedOn w:val="Normal"/>
    <w:next w:val="Normal"/>
    <w:link w:val="TitleChar"/>
    <w:uiPriority w:val="10"/>
    <w:qFormat/>
    <w:rsid w:val="00F2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570"/>
    <w:pPr>
      <w:spacing w:before="160"/>
      <w:jc w:val="center"/>
    </w:pPr>
    <w:rPr>
      <w:i/>
      <w:iCs/>
      <w:color w:val="404040" w:themeColor="text1" w:themeTint="BF"/>
    </w:rPr>
  </w:style>
  <w:style w:type="character" w:customStyle="1" w:styleId="QuoteChar">
    <w:name w:val="Quote Char"/>
    <w:basedOn w:val="DefaultParagraphFont"/>
    <w:link w:val="Quote"/>
    <w:uiPriority w:val="29"/>
    <w:rsid w:val="00F27570"/>
    <w:rPr>
      <w:i/>
      <w:iCs/>
      <w:color w:val="404040" w:themeColor="text1" w:themeTint="BF"/>
    </w:rPr>
  </w:style>
  <w:style w:type="paragraph" w:styleId="ListParagraph">
    <w:name w:val="List Paragraph"/>
    <w:basedOn w:val="Normal"/>
    <w:uiPriority w:val="34"/>
    <w:qFormat/>
    <w:rsid w:val="00F27570"/>
    <w:pPr>
      <w:ind w:left="720"/>
      <w:contextualSpacing/>
    </w:pPr>
  </w:style>
  <w:style w:type="character" w:styleId="IntenseEmphasis">
    <w:name w:val="Intense Emphasis"/>
    <w:basedOn w:val="DefaultParagraphFont"/>
    <w:uiPriority w:val="21"/>
    <w:qFormat/>
    <w:rsid w:val="00F27570"/>
    <w:rPr>
      <w:i/>
      <w:iCs/>
      <w:color w:val="0F4761" w:themeColor="accent1" w:themeShade="BF"/>
    </w:rPr>
  </w:style>
  <w:style w:type="paragraph" w:styleId="IntenseQuote">
    <w:name w:val="Intense Quote"/>
    <w:basedOn w:val="Normal"/>
    <w:next w:val="Normal"/>
    <w:link w:val="IntenseQuoteChar"/>
    <w:uiPriority w:val="30"/>
    <w:qFormat/>
    <w:rsid w:val="00F27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570"/>
    <w:rPr>
      <w:i/>
      <w:iCs/>
      <w:color w:val="0F4761" w:themeColor="accent1" w:themeShade="BF"/>
    </w:rPr>
  </w:style>
  <w:style w:type="character" w:styleId="IntenseReference">
    <w:name w:val="Intense Reference"/>
    <w:basedOn w:val="DefaultParagraphFont"/>
    <w:uiPriority w:val="32"/>
    <w:qFormat/>
    <w:rsid w:val="00F27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9552</Words>
  <Characters>5446</Characters>
  <Application>Microsoft Office Word</Application>
  <DocSecurity>0</DocSecurity>
  <Lines>45</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2</cp:revision>
  <dcterms:created xsi:type="dcterms:W3CDTF">2025-07-08T12:29:00Z</dcterms:created>
  <dcterms:modified xsi:type="dcterms:W3CDTF">2025-07-08T13:07:00Z</dcterms:modified>
</cp:coreProperties>
</file>