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C5247" w14:textId="77777777" w:rsidR="00B97C6E" w:rsidRDefault="00A65E0D" w:rsidP="002B004F">
      <w:pPr>
        <w:spacing w:after="0" w:line="276" w:lineRule="auto"/>
        <w:jc w:val="center"/>
        <w:rPr>
          <w:rFonts w:ascii="Times New Roman" w:hAnsi="Times New Roman" w:cs="Times New Roman"/>
          <w:b/>
          <w:caps/>
          <w:sz w:val="23"/>
          <w:szCs w:val="23"/>
        </w:rPr>
      </w:pPr>
      <w:r w:rsidRPr="00A65E0D">
        <w:rPr>
          <w:rFonts w:ascii="Times New Roman" w:hAnsi="Times New Roman" w:cs="Times New Roman"/>
          <w:b/>
          <w:caps/>
          <w:sz w:val="23"/>
          <w:szCs w:val="23"/>
        </w:rPr>
        <w:t xml:space="preserve">REAGENTŲ </w:t>
      </w:r>
      <w:r w:rsidR="008D717E">
        <w:rPr>
          <w:rFonts w:ascii="Times New Roman" w:hAnsi="Times New Roman" w:cs="Times New Roman"/>
          <w:b/>
          <w:caps/>
          <w:sz w:val="23"/>
          <w:szCs w:val="23"/>
        </w:rPr>
        <w:t xml:space="preserve">IR papildomų priemonių </w:t>
      </w:r>
      <w:r w:rsidRPr="00A65E0D">
        <w:rPr>
          <w:rFonts w:ascii="Times New Roman" w:hAnsi="Times New Roman" w:cs="Times New Roman"/>
          <w:b/>
          <w:caps/>
          <w:sz w:val="23"/>
          <w:szCs w:val="23"/>
        </w:rPr>
        <w:t>DECENTRALIZUOTŲ KAPILIARINĖS GLIKEMIJOS TYRIMŲ ATLIKIMO SISTEMAI KARTU SU ĮRANGOS ĮSIGIJIMU PANAUDOS BŪDU TECHNINĖ SPECIFIKACIJA</w:t>
      </w:r>
    </w:p>
    <w:p w14:paraId="04CC5248" w14:textId="77777777" w:rsidR="00A65E0D" w:rsidRPr="00B97C6E" w:rsidRDefault="00A65E0D" w:rsidP="002B004F">
      <w:pPr>
        <w:spacing w:after="0" w:line="276" w:lineRule="auto"/>
        <w:jc w:val="center"/>
        <w:rPr>
          <w:rFonts w:ascii="Times New Roman" w:eastAsia="Times New Roman" w:hAnsi="Times New Roman" w:cs="Times New Roman"/>
          <w:b/>
          <w:bCs/>
          <w:color w:val="000000" w:themeColor="text1"/>
          <w:sz w:val="16"/>
          <w:szCs w:val="16"/>
          <w:lang w:eastAsia="lt-LT"/>
        </w:rPr>
      </w:pPr>
    </w:p>
    <w:p w14:paraId="04CC5249" w14:textId="77777777" w:rsidR="005866EC" w:rsidRDefault="005866EC" w:rsidP="005866EC">
      <w:pPr>
        <w:jc w:val="center"/>
        <w:rPr>
          <w:rFonts w:ascii="Times New Roman" w:hAnsi="Times New Roman" w:cs="Times New Roman"/>
          <w:caps/>
          <w:color w:val="000000" w:themeColor="text1"/>
        </w:rPr>
      </w:pPr>
      <w:r w:rsidRPr="0019775F">
        <w:rPr>
          <w:rFonts w:ascii="Times New Roman" w:hAnsi="Times New Roman" w:cs="Times New Roman"/>
          <w:caps/>
          <w:color w:val="000000" w:themeColor="text1"/>
        </w:rPr>
        <w:t>tECHNINIAI REIKALAVIMAI ĮRANGAI</w:t>
      </w:r>
    </w:p>
    <w:p w14:paraId="04CC524A" w14:textId="7D4BA47F" w:rsidR="00CF7E35" w:rsidRPr="00E52785" w:rsidRDefault="00CF7E35" w:rsidP="00CF7E35">
      <w:pPr>
        <w:rPr>
          <w:rFonts w:ascii="Times New Roman" w:hAnsi="Times New Roman" w:cs="Times New Roman"/>
          <w:bCs/>
        </w:rPr>
      </w:pPr>
    </w:p>
    <w:tbl>
      <w:tblPr>
        <w:tblStyle w:val="TableGrid"/>
        <w:tblW w:w="15134" w:type="dxa"/>
        <w:tblLook w:val="04A0" w:firstRow="1" w:lastRow="0" w:firstColumn="1" w:lastColumn="0" w:noHBand="0" w:noVBand="1"/>
      </w:tblPr>
      <w:tblGrid>
        <w:gridCol w:w="675"/>
        <w:gridCol w:w="3544"/>
        <w:gridCol w:w="5953"/>
        <w:gridCol w:w="4962"/>
      </w:tblGrid>
      <w:tr w:rsidR="0019775F" w:rsidRPr="0019775F" w14:paraId="04CC524F" w14:textId="77777777" w:rsidTr="00E72419">
        <w:tc>
          <w:tcPr>
            <w:tcW w:w="675" w:type="dxa"/>
            <w:vAlign w:val="center"/>
          </w:tcPr>
          <w:p w14:paraId="04CC524B" w14:textId="77777777" w:rsidR="00ED3A27" w:rsidRPr="0019775F" w:rsidRDefault="00ED3A27" w:rsidP="00442F08">
            <w:pPr>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Eil. Nr.</w:t>
            </w:r>
          </w:p>
        </w:tc>
        <w:tc>
          <w:tcPr>
            <w:tcW w:w="3544" w:type="dxa"/>
            <w:vAlign w:val="center"/>
          </w:tcPr>
          <w:p w14:paraId="04CC524C" w14:textId="77777777" w:rsidR="00ED3A27" w:rsidRPr="0019775F" w:rsidRDefault="00ED3A27" w:rsidP="00442F08">
            <w:pPr>
              <w:spacing w:line="360" w:lineRule="auto"/>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Pavadinimas</w:t>
            </w:r>
          </w:p>
        </w:tc>
        <w:tc>
          <w:tcPr>
            <w:tcW w:w="5953" w:type="dxa"/>
            <w:vAlign w:val="center"/>
          </w:tcPr>
          <w:p w14:paraId="04CC524D" w14:textId="77777777" w:rsidR="00ED3A27" w:rsidRPr="0019775F" w:rsidRDefault="00ED3A27" w:rsidP="00442F08">
            <w:pPr>
              <w:spacing w:line="360" w:lineRule="auto"/>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Reikalaujami techniniai parametrai</w:t>
            </w:r>
          </w:p>
        </w:tc>
        <w:tc>
          <w:tcPr>
            <w:tcW w:w="4962" w:type="dxa"/>
            <w:vAlign w:val="center"/>
          </w:tcPr>
          <w:p w14:paraId="04CC524E" w14:textId="77777777" w:rsidR="00ED3A27" w:rsidRPr="0019775F" w:rsidRDefault="00ED3A27" w:rsidP="00442F08">
            <w:pPr>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Reikalavimų atitikimas (tiksliai pažymimas techninis parametras)</w:t>
            </w:r>
          </w:p>
        </w:tc>
      </w:tr>
      <w:tr w:rsidR="0019775F" w:rsidRPr="0019775F" w14:paraId="04CC5254" w14:textId="77777777" w:rsidTr="00E72419">
        <w:tc>
          <w:tcPr>
            <w:tcW w:w="675" w:type="dxa"/>
          </w:tcPr>
          <w:p w14:paraId="04CC5250" w14:textId="77777777" w:rsidR="00ED3A27" w:rsidRPr="0019775F" w:rsidRDefault="00ED3A27" w:rsidP="00442F08">
            <w:pPr>
              <w:pStyle w:val="Default"/>
              <w:jc w:val="center"/>
              <w:rPr>
                <w:b/>
                <w:color w:val="000000" w:themeColor="text1"/>
                <w:sz w:val="22"/>
                <w:szCs w:val="22"/>
              </w:rPr>
            </w:pPr>
            <w:r w:rsidRPr="0019775F">
              <w:rPr>
                <w:b/>
                <w:color w:val="000000" w:themeColor="text1"/>
                <w:sz w:val="22"/>
                <w:szCs w:val="22"/>
              </w:rPr>
              <w:t>I.</w:t>
            </w:r>
          </w:p>
        </w:tc>
        <w:tc>
          <w:tcPr>
            <w:tcW w:w="3544" w:type="dxa"/>
          </w:tcPr>
          <w:p w14:paraId="04CC5251" w14:textId="77777777" w:rsidR="00ED3A27" w:rsidRPr="0019775F" w:rsidRDefault="00ED3A27" w:rsidP="00147EB0">
            <w:pPr>
              <w:pStyle w:val="Default"/>
              <w:rPr>
                <w:b/>
                <w:color w:val="000000" w:themeColor="text1"/>
                <w:sz w:val="22"/>
                <w:szCs w:val="22"/>
              </w:rPr>
            </w:pPr>
            <w:r w:rsidRPr="0019775F">
              <w:rPr>
                <w:b/>
                <w:color w:val="000000" w:themeColor="text1"/>
                <w:sz w:val="22"/>
                <w:szCs w:val="22"/>
              </w:rPr>
              <w:t>Analizatori</w:t>
            </w:r>
            <w:r w:rsidR="00147EB0">
              <w:rPr>
                <w:b/>
                <w:color w:val="000000" w:themeColor="text1"/>
                <w:sz w:val="22"/>
                <w:szCs w:val="22"/>
              </w:rPr>
              <w:t>ai</w:t>
            </w:r>
            <w:r w:rsidRPr="0019775F">
              <w:rPr>
                <w:b/>
                <w:color w:val="000000" w:themeColor="text1"/>
                <w:sz w:val="22"/>
                <w:szCs w:val="22"/>
              </w:rPr>
              <w:t xml:space="preserve"> – pavadinimas, tipas/modelis, gamintojas</w:t>
            </w:r>
            <w:r w:rsidR="00147EB0">
              <w:rPr>
                <w:b/>
                <w:color w:val="000000" w:themeColor="text1"/>
                <w:sz w:val="22"/>
                <w:szCs w:val="22"/>
              </w:rPr>
              <w:t>, vnt.</w:t>
            </w:r>
            <w:r w:rsidRPr="0019775F">
              <w:rPr>
                <w:b/>
                <w:color w:val="000000" w:themeColor="text1"/>
                <w:sz w:val="22"/>
                <w:szCs w:val="22"/>
              </w:rPr>
              <w:t xml:space="preserve"> </w:t>
            </w:r>
          </w:p>
        </w:tc>
        <w:tc>
          <w:tcPr>
            <w:tcW w:w="5953" w:type="dxa"/>
          </w:tcPr>
          <w:p w14:paraId="04CC5252" w14:textId="77777777" w:rsidR="00ED3A27" w:rsidRPr="0019775F" w:rsidRDefault="00ED3A27" w:rsidP="00442F08">
            <w:pPr>
              <w:pStyle w:val="Default"/>
              <w:rPr>
                <w:color w:val="000000" w:themeColor="text1"/>
                <w:sz w:val="22"/>
                <w:szCs w:val="22"/>
              </w:rPr>
            </w:pPr>
            <w:r w:rsidRPr="0019775F">
              <w:rPr>
                <w:i/>
                <w:iCs/>
                <w:color w:val="000000" w:themeColor="text1"/>
                <w:sz w:val="22"/>
                <w:szCs w:val="22"/>
              </w:rPr>
              <w:t xml:space="preserve">__ </w:t>
            </w:r>
          </w:p>
        </w:tc>
        <w:tc>
          <w:tcPr>
            <w:tcW w:w="4962" w:type="dxa"/>
          </w:tcPr>
          <w:p w14:paraId="04CC5253" w14:textId="77777777" w:rsidR="00ED3A27" w:rsidRPr="0019775F" w:rsidRDefault="00ED3A27" w:rsidP="00442F08">
            <w:pPr>
              <w:spacing w:line="360" w:lineRule="auto"/>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19775F" w:rsidRPr="0019775F" w14:paraId="04CC5259" w14:textId="77777777" w:rsidTr="00E72419">
        <w:tc>
          <w:tcPr>
            <w:tcW w:w="675" w:type="dxa"/>
          </w:tcPr>
          <w:p w14:paraId="04CC5255" w14:textId="77777777" w:rsidR="009515FC" w:rsidRPr="0019775F" w:rsidRDefault="009515FC" w:rsidP="009515FC">
            <w:pPr>
              <w:pStyle w:val="Default"/>
              <w:jc w:val="center"/>
              <w:rPr>
                <w:color w:val="000000" w:themeColor="text1"/>
                <w:sz w:val="22"/>
                <w:szCs w:val="22"/>
              </w:rPr>
            </w:pPr>
            <w:r w:rsidRPr="0019775F">
              <w:rPr>
                <w:color w:val="000000" w:themeColor="text1"/>
                <w:sz w:val="22"/>
                <w:szCs w:val="22"/>
              </w:rPr>
              <w:t>1.</w:t>
            </w:r>
          </w:p>
        </w:tc>
        <w:tc>
          <w:tcPr>
            <w:tcW w:w="3544" w:type="dxa"/>
            <w:vAlign w:val="center"/>
          </w:tcPr>
          <w:p w14:paraId="04CC5256" w14:textId="77777777" w:rsidR="009515FC" w:rsidRPr="0019775F" w:rsidRDefault="009515FC" w:rsidP="00CB33DB">
            <w:pPr>
              <w:pStyle w:val="Default"/>
              <w:rPr>
                <w:color w:val="000000" w:themeColor="text1"/>
                <w:sz w:val="22"/>
                <w:szCs w:val="22"/>
              </w:rPr>
            </w:pPr>
            <w:r w:rsidRPr="0019775F">
              <w:rPr>
                <w:color w:val="000000" w:themeColor="text1"/>
                <w:sz w:val="22"/>
                <w:szCs w:val="22"/>
              </w:rPr>
              <w:t>Techniniai reikalavimai</w:t>
            </w:r>
            <w:r w:rsidR="00B82D97">
              <w:rPr>
                <w:color w:val="000000" w:themeColor="text1"/>
                <w:sz w:val="22"/>
                <w:szCs w:val="22"/>
              </w:rPr>
              <w:t xml:space="preserve"> </w:t>
            </w:r>
            <w:r w:rsidR="00B82D97" w:rsidRPr="00A670C9">
              <w:rPr>
                <w:color w:val="000000" w:themeColor="text1"/>
                <w:sz w:val="22"/>
                <w:szCs w:val="22"/>
              </w:rPr>
              <w:t>analizatoriams</w:t>
            </w:r>
            <w:r w:rsidR="0072133A" w:rsidRPr="00A670C9">
              <w:rPr>
                <w:color w:val="000000" w:themeColor="text1"/>
                <w:sz w:val="22"/>
                <w:szCs w:val="22"/>
              </w:rPr>
              <w:t>:</w:t>
            </w:r>
          </w:p>
        </w:tc>
        <w:tc>
          <w:tcPr>
            <w:tcW w:w="5953" w:type="dxa"/>
          </w:tcPr>
          <w:p w14:paraId="04CC5257" w14:textId="77777777" w:rsidR="009515FC" w:rsidRPr="0019775F" w:rsidRDefault="009515FC" w:rsidP="009515FC">
            <w:pPr>
              <w:pStyle w:val="Default"/>
              <w:rPr>
                <w:i/>
                <w:iCs/>
                <w:color w:val="000000" w:themeColor="text1"/>
                <w:sz w:val="22"/>
                <w:szCs w:val="22"/>
              </w:rPr>
            </w:pPr>
          </w:p>
        </w:tc>
        <w:tc>
          <w:tcPr>
            <w:tcW w:w="4962" w:type="dxa"/>
          </w:tcPr>
          <w:p w14:paraId="04CC5258" w14:textId="77777777" w:rsidR="009515FC" w:rsidRPr="003725E0" w:rsidRDefault="009515FC" w:rsidP="00C60E84">
            <w:pPr>
              <w:spacing w:line="360" w:lineRule="auto"/>
              <w:jc w:val="center"/>
              <w:rPr>
                <w:rFonts w:ascii="Times New Roman" w:hAnsi="Times New Roman" w:cs="Times New Roman"/>
                <w:i/>
                <w:color w:val="FF0000"/>
              </w:rPr>
            </w:pPr>
          </w:p>
        </w:tc>
      </w:tr>
      <w:tr w:rsidR="001F2D6D" w:rsidRPr="0019775F" w14:paraId="04CC525F" w14:textId="77777777" w:rsidTr="00E72419">
        <w:tc>
          <w:tcPr>
            <w:tcW w:w="675" w:type="dxa"/>
          </w:tcPr>
          <w:p w14:paraId="04CC525A" w14:textId="77777777" w:rsidR="001F2D6D" w:rsidRPr="0019775F" w:rsidRDefault="001F2D6D" w:rsidP="009515FC">
            <w:pPr>
              <w:pStyle w:val="Default"/>
              <w:jc w:val="center"/>
              <w:rPr>
                <w:color w:val="000000" w:themeColor="text1"/>
                <w:sz w:val="22"/>
                <w:szCs w:val="22"/>
              </w:rPr>
            </w:pPr>
            <w:r w:rsidRPr="0019775F">
              <w:rPr>
                <w:color w:val="000000" w:themeColor="text1"/>
                <w:sz w:val="22"/>
                <w:szCs w:val="22"/>
              </w:rPr>
              <w:t>1.1.</w:t>
            </w:r>
          </w:p>
        </w:tc>
        <w:tc>
          <w:tcPr>
            <w:tcW w:w="3544" w:type="dxa"/>
          </w:tcPr>
          <w:p w14:paraId="04CC525B" w14:textId="77777777" w:rsidR="001F2D6D" w:rsidRPr="00CF76CF" w:rsidRDefault="001F2D6D" w:rsidP="00B1475A">
            <w:pPr>
              <w:jc w:val="both"/>
              <w:rPr>
                <w:color w:val="000000" w:themeColor="text1"/>
                <w:sz w:val="20"/>
                <w:szCs w:val="20"/>
              </w:rPr>
            </w:pPr>
          </w:p>
        </w:tc>
        <w:tc>
          <w:tcPr>
            <w:tcW w:w="5953" w:type="dxa"/>
          </w:tcPr>
          <w:p w14:paraId="04CC525C" w14:textId="77777777" w:rsidR="001F2D6D" w:rsidRPr="00CF76CF" w:rsidRDefault="001F2D6D" w:rsidP="00BA70C0">
            <w:pPr>
              <w:jc w:val="both"/>
              <w:rPr>
                <w:rFonts w:ascii="Times New Roman" w:hAnsi="Times New Roman" w:cs="Times New Roman"/>
                <w:iCs/>
              </w:rPr>
            </w:pPr>
            <w:r w:rsidRPr="00CF76CF">
              <w:rPr>
                <w:rFonts w:ascii="Times New Roman" w:hAnsi="Times New Roman" w:cs="Times New Roman"/>
              </w:rPr>
              <w:t xml:space="preserve">Panaudai   turi būti pateikta sistema, susidedanti iš  7 (septynių) naujų vienodų portatyvių prietaisų (analizatorių), skirtų gliukozės kiekiui </w:t>
            </w:r>
            <w:r w:rsidR="00BA70C0" w:rsidRPr="00CF76CF">
              <w:rPr>
                <w:rFonts w:ascii="Times New Roman" w:hAnsi="Times New Roman" w:cs="Times New Roman"/>
              </w:rPr>
              <w:t>kapiliarini</w:t>
            </w:r>
            <w:r w:rsidR="00BA70C0">
              <w:rPr>
                <w:rFonts w:ascii="Times New Roman" w:hAnsi="Times New Roman" w:cs="Times New Roman"/>
              </w:rPr>
              <w:t>ame</w:t>
            </w:r>
            <w:r w:rsidR="00BA70C0" w:rsidRPr="00CF76CF">
              <w:rPr>
                <w:rFonts w:ascii="Times New Roman" w:hAnsi="Times New Roman" w:cs="Times New Roman"/>
              </w:rPr>
              <w:t xml:space="preserve"> krauj</w:t>
            </w:r>
            <w:r w:rsidR="00BA70C0">
              <w:rPr>
                <w:rFonts w:ascii="Times New Roman" w:hAnsi="Times New Roman" w:cs="Times New Roman"/>
              </w:rPr>
              <w:t>yje</w:t>
            </w:r>
            <w:r w:rsidR="00BA70C0" w:rsidRPr="00CF76CF">
              <w:rPr>
                <w:rFonts w:ascii="Times New Roman" w:hAnsi="Times New Roman" w:cs="Times New Roman"/>
              </w:rPr>
              <w:t xml:space="preserve"> </w:t>
            </w:r>
            <w:r w:rsidRPr="00CF76CF">
              <w:rPr>
                <w:rFonts w:ascii="Times New Roman" w:hAnsi="Times New Roman" w:cs="Times New Roman"/>
              </w:rPr>
              <w:t>nustatyti, su programine įranga, kurios pagalba prie paciento atliekamų tyrimų rezultatai persiunčiami į laboratorinę informacinę sistemą (LIS)).</w:t>
            </w:r>
          </w:p>
        </w:tc>
        <w:tc>
          <w:tcPr>
            <w:tcW w:w="4962" w:type="dxa"/>
          </w:tcPr>
          <w:p w14:paraId="04CC525D" w14:textId="77777777" w:rsidR="001F2D6D" w:rsidRPr="00CF76CF" w:rsidRDefault="001F2D6D" w:rsidP="00B1475A">
            <w:pPr>
              <w:spacing w:line="360" w:lineRule="auto"/>
              <w:jc w:val="center"/>
              <w:rPr>
                <w:rFonts w:ascii="Times New Roman" w:hAnsi="Times New Roman" w:cs="Times New Roman"/>
                <w:i/>
                <w:color w:val="000000" w:themeColor="text1"/>
              </w:rPr>
            </w:pPr>
            <w:r w:rsidRPr="00CF76CF">
              <w:rPr>
                <w:rFonts w:ascii="Times New Roman" w:hAnsi="Times New Roman" w:cs="Times New Roman"/>
                <w:i/>
                <w:color w:val="000000" w:themeColor="text1"/>
              </w:rPr>
              <w:t>įrašo tiekėjas</w:t>
            </w:r>
          </w:p>
          <w:p w14:paraId="04CC525E" w14:textId="77777777" w:rsidR="001F2D6D" w:rsidRPr="00CF76CF" w:rsidRDefault="001F2D6D" w:rsidP="00B1475A">
            <w:pPr>
              <w:jc w:val="center"/>
              <w:rPr>
                <w:rFonts w:ascii="Times New Roman" w:hAnsi="Times New Roman" w:cs="Times New Roman"/>
                <w:i/>
                <w:color w:val="000000" w:themeColor="text1"/>
              </w:rPr>
            </w:pPr>
          </w:p>
        </w:tc>
      </w:tr>
      <w:tr w:rsidR="00D87CA5" w:rsidRPr="0019775F" w14:paraId="04CC5264" w14:textId="77777777" w:rsidTr="00E72419">
        <w:tc>
          <w:tcPr>
            <w:tcW w:w="675" w:type="dxa"/>
          </w:tcPr>
          <w:p w14:paraId="04CC5260" w14:textId="77777777" w:rsidR="00D87CA5" w:rsidRPr="00960288" w:rsidRDefault="00D87CA5" w:rsidP="000B4B14">
            <w:pPr>
              <w:pStyle w:val="Default"/>
              <w:jc w:val="center"/>
              <w:rPr>
                <w:color w:val="000000" w:themeColor="text1"/>
                <w:sz w:val="22"/>
                <w:szCs w:val="22"/>
              </w:rPr>
            </w:pPr>
            <w:r w:rsidRPr="00960288">
              <w:rPr>
                <w:color w:val="000000" w:themeColor="text1"/>
                <w:sz w:val="22"/>
                <w:szCs w:val="22"/>
              </w:rPr>
              <w:t>1.2.</w:t>
            </w:r>
          </w:p>
        </w:tc>
        <w:tc>
          <w:tcPr>
            <w:tcW w:w="3544" w:type="dxa"/>
          </w:tcPr>
          <w:p w14:paraId="04CC5261" w14:textId="77777777" w:rsidR="00D87CA5" w:rsidRPr="00B14051" w:rsidRDefault="00D87CA5" w:rsidP="00960288">
            <w:pPr>
              <w:jc w:val="both"/>
              <w:rPr>
                <w:color w:val="000000" w:themeColor="text1"/>
                <w:sz w:val="20"/>
                <w:szCs w:val="20"/>
              </w:rPr>
            </w:pPr>
          </w:p>
        </w:tc>
        <w:tc>
          <w:tcPr>
            <w:tcW w:w="5953" w:type="dxa"/>
          </w:tcPr>
          <w:p w14:paraId="04CC5262" w14:textId="77777777" w:rsidR="00D87CA5" w:rsidRPr="00416960" w:rsidRDefault="00D87CA5" w:rsidP="00C15052">
            <w:pPr>
              <w:jc w:val="both"/>
              <w:rPr>
                <w:rFonts w:ascii="Times New Roman" w:hAnsi="Times New Roman" w:cs="Times New Roman"/>
                <w:color w:val="000000" w:themeColor="text1"/>
              </w:rPr>
            </w:pPr>
            <w:r w:rsidRPr="00416960">
              <w:rPr>
                <w:rFonts w:ascii="Times New Roman" w:hAnsi="Times New Roman" w:cs="Times New Roman"/>
              </w:rPr>
              <w:t>Panaudai pateikti analizatoriai su valdymo programine įranga turi būti techniškai pajėgūs atlikti 1 pr</w:t>
            </w:r>
            <w:r>
              <w:rPr>
                <w:rFonts w:ascii="Times New Roman" w:hAnsi="Times New Roman" w:cs="Times New Roman"/>
              </w:rPr>
              <w:t>i</w:t>
            </w:r>
            <w:r w:rsidRPr="00416960">
              <w:rPr>
                <w:rFonts w:ascii="Times New Roman" w:hAnsi="Times New Roman" w:cs="Times New Roman"/>
              </w:rPr>
              <w:t>ede nurodytus tyrimus.</w:t>
            </w:r>
          </w:p>
        </w:tc>
        <w:tc>
          <w:tcPr>
            <w:tcW w:w="4962" w:type="dxa"/>
          </w:tcPr>
          <w:p w14:paraId="04CC5263" w14:textId="77777777" w:rsidR="00D87CA5" w:rsidRPr="00960288" w:rsidRDefault="00D87CA5" w:rsidP="009C2208">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D87CA5" w:rsidRPr="0019775F" w14:paraId="04CC5269" w14:textId="77777777" w:rsidTr="00E72419">
        <w:tc>
          <w:tcPr>
            <w:tcW w:w="675" w:type="dxa"/>
          </w:tcPr>
          <w:p w14:paraId="04CC5265" w14:textId="77777777" w:rsidR="00D87CA5" w:rsidRPr="00960288" w:rsidRDefault="00D87CA5" w:rsidP="000B4B14">
            <w:pPr>
              <w:pStyle w:val="Default"/>
              <w:jc w:val="center"/>
              <w:rPr>
                <w:color w:val="000000" w:themeColor="text1"/>
                <w:sz w:val="22"/>
                <w:szCs w:val="22"/>
              </w:rPr>
            </w:pPr>
            <w:r w:rsidRPr="00960288">
              <w:rPr>
                <w:color w:val="000000" w:themeColor="text1"/>
                <w:sz w:val="22"/>
                <w:szCs w:val="22"/>
              </w:rPr>
              <w:t>1.3.</w:t>
            </w:r>
          </w:p>
        </w:tc>
        <w:tc>
          <w:tcPr>
            <w:tcW w:w="3544" w:type="dxa"/>
          </w:tcPr>
          <w:p w14:paraId="04CC5266" w14:textId="77777777" w:rsidR="00D87CA5" w:rsidRPr="00B14051" w:rsidRDefault="00D87CA5" w:rsidP="00960288">
            <w:pPr>
              <w:jc w:val="both"/>
              <w:rPr>
                <w:color w:val="000000" w:themeColor="text1"/>
                <w:sz w:val="20"/>
                <w:szCs w:val="20"/>
              </w:rPr>
            </w:pPr>
          </w:p>
        </w:tc>
        <w:tc>
          <w:tcPr>
            <w:tcW w:w="5953" w:type="dxa"/>
          </w:tcPr>
          <w:p w14:paraId="04CC5267" w14:textId="77777777" w:rsidR="00D87CA5" w:rsidRDefault="00D87CA5" w:rsidP="00C15052">
            <w:pPr>
              <w:jc w:val="both"/>
              <w:rPr>
                <w:rFonts w:ascii="Times New Roman" w:hAnsi="Times New Roman" w:cs="Times New Roman"/>
              </w:rPr>
            </w:pPr>
            <w:r w:rsidRPr="00A65E0D">
              <w:rPr>
                <w:rFonts w:ascii="Times New Roman" w:hAnsi="Times New Roman" w:cs="Times New Roman"/>
              </w:rPr>
              <w:t>Analizatori</w:t>
            </w:r>
            <w:r>
              <w:rPr>
                <w:rFonts w:ascii="Times New Roman" w:hAnsi="Times New Roman" w:cs="Times New Roman"/>
              </w:rPr>
              <w:t>ai</w:t>
            </w:r>
            <w:r w:rsidRPr="00A65E0D">
              <w:rPr>
                <w:rFonts w:ascii="Times New Roman" w:hAnsi="Times New Roman" w:cs="Times New Roman"/>
              </w:rPr>
              <w:t xml:space="preserve"> turi būti </w:t>
            </w:r>
            <w:r>
              <w:rPr>
                <w:rFonts w:ascii="Times New Roman" w:hAnsi="Times New Roman" w:cs="Times New Roman"/>
              </w:rPr>
              <w:t xml:space="preserve">POCT paskirties, </w:t>
            </w:r>
            <w:r w:rsidRPr="0076576C">
              <w:rPr>
                <w:rFonts w:ascii="Times New Roman" w:hAnsi="Times New Roman" w:cs="Times New Roman"/>
                <w:color w:val="000000" w:themeColor="text1"/>
              </w:rPr>
              <w:t>skirti   profesionaliam</w:t>
            </w:r>
            <w:r w:rsidRPr="00A65E0D">
              <w:rPr>
                <w:rFonts w:ascii="Times New Roman" w:hAnsi="Times New Roman" w:cs="Times New Roman"/>
              </w:rPr>
              <w:t xml:space="preserve"> naudojimui</w:t>
            </w:r>
            <w:r>
              <w:rPr>
                <w:rFonts w:ascii="Times New Roman" w:hAnsi="Times New Roman" w:cs="Times New Roman"/>
              </w:rPr>
              <w:t xml:space="preserve"> (ne </w:t>
            </w:r>
            <w:proofErr w:type="spellStart"/>
            <w:r>
              <w:rPr>
                <w:rFonts w:ascii="Times New Roman" w:hAnsi="Times New Roman" w:cs="Times New Roman"/>
              </w:rPr>
              <w:t>savipatikrai</w:t>
            </w:r>
            <w:proofErr w:type="spellEnd"/>
            <w:r>
              <w:rPr>
                <w:rFonts w:ascii="Times New Roman" w:hAnsi="Times New Roman" w:cs="Times New Roman"/>
              </w:rPr>
              <w:t>).</w:t>
            </w:r>
          </w:p>
        </w:tc>
        <w:tc>
          <w:tcPr>
            <w:tcW w:w="4962" w:type="dxa"/>
          </w:tcPr>
          <w:p w14:paraId="04CC5268" w14:textId="77777777" w:rsidR="00D87CA5" w:rsidRPr="00960288" w:rsidRDefault="00D87CA5" w:rsidP="008467A8">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D87CA5" w:rsidRPr="0019775F" w14:paraId="04CC526E" w14:textId="77777777" w:rsidTr="00E72419">
        <w:tc>
          <w:tcPr>
            <w:tcW w:w="675" w:type="dxa"/>
          </w:tcPr>
          <w:p w14:paraId="04CC526A" w14:textId="77777777" w:rsidR="00D87CA5" w:rsidRPr="00960288" w:rsidRDefault="00D87CA5" w:rsidP="000B4B14">
            <w:pPr>
              <w:pStyle w:val="Default"/>
              <w:jc w:val="center"/>
              <w:rPr>
                <w:color w:val="000000" w:themeColor="text1"/>
                <w:sz w:val="22"/>
                <w:szCs w:val="22"/>
              </w:rPr>
            </w:pPr>
            <w:r w:rsidRPr="00960288">
              <w:rPr>
                <w:color w:val="000000" w:themeColor="text1"/>
                <w:sz w:val="22"/>
                <w:szCs w:val="22"/>
              </w:rPr>
              <w:t>1.4.</w:t>
            </w:r>
          </w:p>
        </w:tc>
        <w:tc>
          <w:tcPr>
            <w:tcW w:w="3544" w:type="dxa"/>
          </w:tcPr>
          <w:p w14:paraId="04CC526B" w14:textId="77777777" w:rsidR="00D87CA5" w:rsidRPr="00B14051" w:rsidRDefault="00D87CA5" w:rsidP="00960288">
            <w:pPr>
              <w:jc w:val="both"/>
              <w:rPr>
                <w:color w:val="000000" w:themeColor="text1"/>
                <w:sz w:val="20"/>
                <w:szCs w:val="20"/>
              </w:rPr>
            </w:pPr>
          </w:p>
        </w:tc>
        <w:tc>
          <w:tcPr>
            <w:tcW w:w="5953" w:type="dxa"/>
          </w:tcPr>
          <w:p w14:paraId="04CC526C" w14:textId="77777777" w:rsidR="00D87CA5" w:rsidRPr="00A65E0D" w:rsidRDefault="00D87CA5" w:rsidP="00C15052">
            <w:pPr>
              <w:jc w:val="both"/>
              <w:rPr>
                <w:rFonts w:ascii="Times New Roman" w:hAnsi="Times New Roman" w:cs="Times New Roman"/>
              </w:rPr>
            </w:pPr>
            <w:r w:rsidRPr="00A65E0D">
              <w:rPr>
                <w:rFonts w:ascii="Times New Roman" w:hAnsi="Times New Roman" w:cs="Times New Roman"/>
              </w:rPr>
              <w:t>Tyrimo atlikimo trukmė</w:t>
            </w:r>
            <w:r>
              <w:rPr>
                <w:rFonts w:ascii="Times New Roman" w:hAnsi="Times New Roman" w:cs="Times New Roman"/>
              </w:rPr>
              <w:t xml:space="preserve"> n</w:t>
            </w:r>
            <w:r w:rsidRPr="00A65E0D">
              <w:rPr>
                <w:rFonts w:ascii="Times New Roman" w:hAnsi="Times New Roman" w:cs="Times New Roman"/>
              </w:rPr>
              <w:t>e ilgesnė kaip 10 sekundžių</w:t>
            </w:r>
            <w:r>
              <w:rPr>
                <w:rFonts w:ascii="Times New Roman" w:hAnsi="Times New Roman" w:cs="Times New Roman"/>
              </w:rPr>
              <w:t>.</w:t>
            </w:r>
          </w:p>
        </w:tc>
        <w:tc>
          <w:tcPr>
            <w:tcW w:w="4962" w:type="dxa"/>
          </w:tcPr>
          <w:p w14:paraId="04CC526D" w14:textId="77777777" w:rsidR="00D87CA5" w:rsidRPr="00960288" w:rsidRDefault="00D87CA5" w:rsidP="00BF41C9">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D87CA5" w:rsidRPr="0019775F" w14:paraId="04CC5273" w14:textId="77777777" w:rsidTr="00E72419">
        <w:tc>
          <w:tcPr>
            <w:tcW w:w="675" w:type="dxa"/>
          </w:tcPr>
          <w:p w14:paraId="04CC526F" w14:textId="77777777" w:rsidR="00D87CA5" w:rsidRPr="00960288" w:rsidRDefault="00D87CA5" w:rsidP="000B4B14">
            <w:pPr>
              <w:pStyle w:val="Default"/>
              <w:jc w:val="center"/>
              <w:rPr>
                <w:color w:val="000000" w:themeColor="text1"/>
                <w:sz w:val="22"/>
                <w:szCs w:val="22"/>
              </w:rPr>
            </w:pPr>
            <w:r w:rsidRPr="00960288">
              <w:rPr>
                <w:color w:val="000000" w:themeColor="text1"/>
                <w:sz w:val="22"/>
                <w:szCs w:val="22"/>
              </w:rPr>
              <w:t>1.5.</w:t>
            </w:r>
          </w:p>
        </w:tc>
        <w:tc>
          <w:tcPr>
            <w:tcW w:w="3544" w:type="dxa"/>
          </w:tcPr>
          <w:p w14:paraId="04CC5270" w14:textId="77777777" w:rsidR="00D87CA5" w:rsidRPr="00B14051" w:rsidRDefault="00D87CA5" w:rsidP="00960288">
            <w:pPr>
              <w:jc w:val="both"/>
              <w:rPr>
                <w:color w:val="000000" w:themeColor="text1"/>
                <w:sz w:val="20"/>
                <w:szCs w:val="20"/>
              </w:rPr>
            </w:pPr>
          </w:p>
        </w:tc>
        <w:tc>
          <w:tcPr>
            <w:tcW w:w="5953" w:type="dxa"/>
          </w:tcPr>
          <w:p w14:paraId="04CC5271" w14:textId="77777777" w:rsidR="00D87CA5" w:rsidRPr="00A65E0D" w:rsidRDefault="00D87CA5" w:rsidP="00C15052">
            <w:pPr>
              <w:jc w:val="both"/>
              <w:rPr>
                <w:rFonts w:ascii="Times New Roman" w:hAnsi="Times New Roman" w:cs="Times New Roman"/>
              </w:rPr>
            </w:pPr>
            <w:r>
              <w:rPr>
                <w:rFonts w:ascii="Times New Roman" w:hAnsi="Times New Roman" w:cs="Times New Roman"/>
              </w:rPr>
              <w:t>M</w:t>
            </w:r>
            <w:r w:rsidRPr="00A65E0D">
              <w:rPr>
                <w:rFonts w:ascii="Times New Roman" w:hAnsi="Times New Roman" w:cs="Times New Roman"/>
              </w:rPr>
              <w:t>ėginio tūris</w:t>
            </w:r>
            <w:r>
              <w:rPr>
                <w:rFonts w:ascii="Times New Roman" w:hAnsi="Times New Roman" w:cs="Times New Roman"/>
              </w:rPr>
              <w:t xml:space="preserve">, </w:t>
            </w:r>
            <w:r w:rsidRPr="00A65E0D">
              <w:rPr>
                <w:rFonts w:ascii="Times New Roman" w:hAnsi="Times New Roman" w:cs="Times New Roman"/>
              </w:rPr>
              <w:t xml:space="preserve">reikalingas </w:t>
            </w:r>
            <w:r>
              <w:rPr>
                <w:rFonts w:ascii="Times New Roman" w:hAnsi="Times New Roman" w:cs="Times New Roman"/>
              </w:rPr>
              <w:t>t</w:t>
            </w:r>
            <w:r w:rsidRPr="00A65E0D">
              <w:rPr>
                <w:rFonts w:ascii="Times New Roman" w:hAnsi="Times New Roman" w:cs="Times New Roman"/>
              </w:rPr>
              <w:t>yrimui atlikti</w:t>
            </w:r>
            <w:r>
              <w:rPr>
                <w:rFonts w:ascii="Times New Roman" w:hAnsi="Times New Roman" w:cs="Times New Roman"/>
              </w:rPr>
              <w:t>,</w:t>
            </w:r>
            <w:r w:rsidRPr="00A65E0D">
              <w:rPr>
                <w:rFonts w:ascii="Times New Roman" w:hAnsi="Times New Roman" w:cs="Times New Roman"/>
              </w:rPr>
              <w:t xml:space="preserve"> </w:t>
            </w:r>
            <w:r>
              <w:rPr>
                <w:rFonts w:ascii="Times New Roman" w:hAnsi="Times New Roman" w:cs="Times New Roman"/>
              </w:rPr>
              <w:t>ne didesnis kaip 1,2 µl.</w:t>
            </w:r>
          </w:p>
        </w:tc>
        <w:tc>
          <w:tcPr>
            <w:tcW w:w="4962" w:type="dxa"/>
          </w:tcPr>
          <w:p w14:paraId="04CC5272" w14:textId="77777777" w:rsidR="00D87CA5" w:rsidRPr="00960288" w:rsidRDefault="00D87CA5" w:rsidP="00BF41C9">
            <w:pPr>
              <w:spacing w:line="360" w:lineRule="auto"/>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D87CA5" w:rsidRPr="0019775F" w14:paraId="04CC5278" w14:textId="77777777" w:rsidTr="00E72419">
        <w:tc>
          <w:tcPr>
            <w:tcW w:w="675" w:type="dxa"/>
          </w:tcPr>
          <w:p w14:paraId="04CC5274" w14:textId="77777777" w:rsidR="00D87CA5" w:rsidRPr="00960288" w:rsidRDefault="00D87CA5" w:rsidP="000B4B14">
            <w:pPr>
              <w:pStyle w:val="Default"/>
              <w:jc w:val="center"/>
              <w:rPr>
                <w:color w:val="000000" w:themeColor="text1"/>
                <w:sz w:val="22"/>
                <w:szCs w:val="22"/>
              </w:rPr>
            </w:pPr>
            <w:r w:rsidRPr="00960288">
              <w:rPr>
                <w:color w:val="000000" w:themeColor="text1"/>
                <w:sz w:val="22"/>
                <w:szCs w:val="22"/>
              </w:rPr>
              <w:t>1.6.</w:t>
            </w:r>
          </w:p>
        </w:tc>
        <w:tc>
          <w:tcPr>
            <w:tcW w:w="3544" w:type="dxa"/>
          </w:tcPr>
          <w:p w14:paraId="04CC5275" w14:textId="77777777" w:rsidR="00D87CA5" w:rsidRPr="00B14051" w:rsidRDefault="00D87CA5" w:rsidP="00960288">
            <w:pPr>
              <w:jc w:val="both"/>
              <w:rPr>
                <w:color w:val="000000" w:themeColor="text1"/>
                <w:sz w:val="20"/>
                <w:szCs w:val="20"/>
              </w:rPr>
            </w:pPr>
          </w:p>
        </w:tc>
        <w:tc>
          <w:tcPr>
            <w:tcW w:w="5953" w:type="dxa"/>
          </w:tcPr>
          <w:p w14:paraId="04CC5276" w14:textId="77777777" w:rsidR="00D87CA5" w:rsidRPr="00A65E0D" w:rsidRDefault="00D87CA5" w:rsidP="00C15052">
            <w:pPr>
              <w:jc w:val="both"/>
              <w:rPr>
                <w:rFonts w:ascii="Times New Roman" w:hAnsi="Times New Roman" w:cs="Times New Roman"/>
              </w:rPr>
            </w:pPr>
            <w:r w:rsidRPr="00A65E0D">
              <w:rPr>
                <w:rFonts w:ascii="Times New Roman" w:hAnsi="Times New Roman" w:cs="Times New Roman"/>
              </w:rPr>
              <w:t>Naudojami reagentai</w:t>
            </w:r>
            <w:r>
              <w:rPr>
                <w:rFonts w:ascii="Times New Roman" w:hAnsi="Times New Roman" w:cs="Times New Roman"/>
              </w:rPr>
              <w:t xml:space="preserve"> - t</w:t>
            </w:r>
            <w:r w:rsidRPr="00A65E0D">
              <w:rPr>
                <w:rFonts w:ascii="Times New Roman" w:hAnsi="Times New Roman" w:cs="Times New Roman"/>
              </w:rPr>
              <w:t>yrimo juostelės</w:t>
            </w:r>
            <w:r>
              <w:rPr>
                <w:rFonts w:ascii="Times New Roman" w:hAnsi="Times New Roman" w:cs="Times New Roman"/>
              </w:rPr>
              <w:t>.</w:t>
            </w:r>
          </w:p>
        </w:tc>
        <w:tc>
          <w:tcPr>
            <w:tcW w:w="4962" w:type="dxa"/>
          </w:tcPr>
          <w:p w14:paraId="04CC5277" w14:textId="77777777" w:rsidR="00D87CA5" w:rsidRPr="00960288" w:rsidRDefault="00D87CA5" w:rsidP="00BF41C9">
            <w:pPr>
              <w:spacing w:line="360" w:lineRule="auto"/>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D87CA5" w:rsidRPr="0019775F" w14:paraId="04CC527D" w14:textId="77777777" w:rsidTr="00E72419">
        <w:tc>
          <w:tcPr>
            <w:tcW w:w="675" w:type="dxa"/>
          </w:tcPr>
          <w:p w14:paraId="04CC5279" w14:textId="77777777" w:rsidR="00D87CA5" w:rsidRPr="00960288" w:rsidRDefault="00D87CA5" w:rsidP="000B4B14">
            <w:pPr>
              <w:pStyle w:val="Default"/>
              <w:jc w:val="center"/>
              <w:rPr>
                <w:color w:val="000000" w:themeColor="text1"/>
                <w:sz w:val="22"/>
                <w:szCs w:val="22"/>
              </w:rPr>
            </w:pPr>
            <w:r w:rsidRPr="00960288">
              <w:rPr>
                <w:color w:val="000000" w:themeColor="text1"/>
                <w:sz w:val="22"/>
                <w:szCs w:val="22"/>
              </w:rPr>
              <w:t>1.7.</w:t>
            </w:r>
          </w:p>
        </w:tc>
        <w:tc>
          <w:tcPr>
            <w:tcW w:w="3544" w:type="dxa"/>
          </w:tcPr>
          <w:p w14:paraId="04CC527A" w14:textId="77777777" w:rsidR="00D87CA5" w:rsidRPr="00B14051" w:rsidRDefault="00D87CA5" w:rsidP="00960288">
            <w:pPr>
              <w:jc w:val="both"/>
              <w:rPr>
                <w:color w:val="000000" w:themeColor="text1"/>
                <w:sz w:val="20"/>
                <w:szCs w:val="20"/>
              </w:rPr>
            </w:pPr>
          </w:p>
        </w:tc>
        <w:tc>
          <w:tcPr>
            <w:tcW w:w="5953" w:type="dxa"/>
          </w:tcPr>
          <w:p w14:paraId="04CC527B" w14:textId="77777777" w:rsidR="00D87CA5" w:rsidRPr="00A65E0D" w:rsidRDefault="00D87CA5" w:rsidP="00C15052">
            <w:pPr>
              <w:jc w:val="both"/>
              <w:rPr>
                <w:rFonts w:ascii="Times New Roman" w:hAnsi="Times New Roman" w:cs="Times New Roman"/>
              </w:rPr>
            </w:pPr>
            <w:r>
              <w:rPr>
                <w:rFonts w:ascii="Times New Roman" w:hAnsi="Times New Roman" w:cs="Times New Roman"/>
              </w:rPr>
              <w:t xml:space="preserve">Analizatoriai turi būti pritaikyti tirti mėginius, kurių </w:t>
            </w:r>
            <w:proofErr w:type="spellStart"/>
            <w:r>
              <w:rPr>
                <w:rFonts w:ascii="Times New Roman" w:hAnsi="Times New Roman" w:cs="Times New Roman"/>
              </w:rPr>
              <w:t>hematokritas</w:t>
            </w:r>
            <w:proofErr w:type="spellEnd"/>
            <w:r>
              <w:rPr>
                <w:rFonts w:ascii="Times New Roman" w:hAnsi="Times New Roman" w:cs="Times New Roman"/>
              </w:rPr>
              <w:t xml:space="preserve"> n</w:t>
            </w:r>
            <w:r w:rsidRPr="00A65E0D">
              <w:rPr>
                <w:rFonts w:ascii="Times New Roman" w:hAnsi="Times New Roman" w:cs="Times New Roman"/>
              </w:rPr>
              <w:t>e siauresnės</w:t>
            </w:r>
            <w:r>
              <w:rPr>
                <w:rFonts w:ascii="Times New Roman" w:hAnsi="Times New Roman" w:cs="Times New Roman"/>
              </w:rPr>
              <w:t>e</w:t>
            </w:r>
            <w:r w:rsidRPr="00A65E0D">
              <w:rPr>
                <w:rFonts w:ascii="Times New Roman" w:hAnsi="Times New Roman" w:cs="Times New Roman"/>
              </w:rPr>
              <w:t xml:space="preserve"> kaip 10–65 proc.</w:t>
            </w:r>
            <w:r>
              <w:rPr>
                <w:rFonts w:ascii="Times New Roman" w:hAnsi="Times New Roman" w:cs="Times New Roman"/>
              </w:rPr>
              <w:t xml:space="preserve"> ribose.</w:t>
            </w:r>
          </w:p>
        </w:tc>
        <w:tc>
          <w:tcPr>
            <w:tcW w:w="4962" w:type="dxa"/>
          </w:tcPr>
          <w:p w14:paraId="04CC527C" w14:textId="77777777" w:rsidR="00D87CA5" w:rsidRPr="00960288" w:rsidRDefault="00D87CA5" w:rsidP="00BF41C9">
            <w:pPr>
              <w:spacing w:line="360" w:lineRule="auto"/>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D87CA5" w:rsidRPr="0019775F" w14:paraId="04CC5282" w14:textId="77777777" w:rsidTr="00E72419">
        <w:tc>
          <w:tcPr>
            <w:tcW w:w="675" w:type="dxa"/>
          </w:tcPr>
          <w:p w14:paraId="04CC527E" w14:textId="77777777" w:rsidR="00D87CA5" w:rsidRPr="00960288" w:rsidRDefault="00D87CA5" w:rsidP="000B4B14">
            <w:pPr>
              <w:pStyle w:val="Default"/>
              <w:jc w:val="center"/>
              <w:rPr>
                <w:color w:val="000000" w:themeColor="text1"/>
                <w:sz w:val="22"/>
                <w:szCs w:val="22"/>
              </w:rPr>
            </w:pPr>
            <w:r w:rsidRPr="00960288">
              <w:rPr>
                <w:color w:val="000000" w:themeColor="text1"/>
                <w:sz w:val="22"/>
                <w:szCs w:val="22"/>
              </w:rPr>
              <w:t>1.8.</w:t>
            </w:r>
          </w:p>
        </w:tc>
        <w:tc>
          <w:tcPr>
            <w:tcW w:w="3544" w:type="dxa"/>
          </w:tcPr>
          <w:p w14:paraId="04CC527F" w14:textId="77777777" w:rsidR="00D87CA5" w:rsidRPr="00B14051" w:rsidRDefault="00D87CA5" w:rsidP="00960288">
            <w:pPr>
              <w:jc w:val="both"/>
              <w:rPr>
                <w:color w:val="000000" w:themeColor="text1"/>
                <w:sz w:val="20"/>
                <w:szCs w:val="20"/>
              </w:rPr>
            </w:pPr>
          </w:p>
        </w:tc>
        <w:tc>
          <w:tcPr>
            <w:tcW w:w="5953" w:type="dxa"/>
          </w:tcPr>
          <w:p w14:paraId="04CC5280" w14:textId="77777777" w:rsidR="00D87CA5" w:rsidRPr="00A65E0D" w:rsidRDefault="00D87CA5" w:rsidP="00C15052">
            <w:pPr>
              <w:jc w:val="both"/>
              <w:rPr>
                <w:rFonts w:ascii="Times New Roman" w:hAnsi="Times New Roman" w:cs="Times New Roman"/>
              </w:rPr>
            </w:pPr>
            <w:r w:rsidRPr="00A65E0D">
              <w:rPr>
                <w:rFonts w:ascii="Times New Roman" w:hAnsi="Times New Roman" w:cs="Times New Roman"/>
              </w:rPr>
              <w:t>Gliukozės</w:t>
            </w:r>
            <w:r>
              <w:rPr>
                <w:rFonts w:ascii="Times New Roman" w:hAnsi="Times New Roman" w:cs="Times New Roman"/>
              </w:rPr>
              <w:t xml:space="preserve"> koncentracijos matavimo ribos ne siauresnės </w:t>
            </w:r>
            <w:r w:rsidRPr="00A65E0D">
              <w:rPr>
                <w:rFonts w:ascii="Times New Roman" w:hAnsi="Times New Roman" w:cs="Times New Roman"/>
              </w:rPr>
              <w:t xml:space="preserve">kaip 0,6–30,0 </w:t>
            </w:r>
            <w:proofErr w:type="spellStart"/>
            <w:r w:rsidRPr="00A65E0D">
              <w:rPr>
                <w:rFonts w:ascii="Times New Roman" w:hAnsi="Times New Roman" w:cs="Times New Roman"/>
              </w:rPr>
              <w:t>mmol</w:t>
            </w:r>
            <w:proofErr w:type="spellEnd"/>
            <w:r w:rsidRPr="00A65E0D">
              <w:rPr>
                <w:rFonts w:ascii="Times New Roman" w:hAnsi="Times New Roman" w:cs="Times New Roman"/>
              </w:rPr>
              <w:t>/l</w:t>
            </w:r>
            <w:r>
              <w:rPr>
                <w:rFonts w:ascii="Times New Roman" w:hAnsi="Times New Roman" w:cs="Times New Roman"/>
              </w:rPr>
              <w:t>.</w:t>
            </w:r>
            <w:r w:rsidRPr="00A65E0D">
              <w:rPr>
                <w:rFonts w:ascii="Times New Roman" w:hAnsi="Times New Roman" w:cs="Times New Roman"/>
              </w:rPr>
              <w:t xml:space="preserve">  </w:t>
            </w:r>
          </w:p>
        </w:tc>
        <w:tc>
          <w:tcPr>
            <w:tcW w:w="4962" w:type="dxa"/>
          </w:tcPr>
          <w:p w14:paraId="04CC5281" w14:textId="77777777" w:rsidR="00D87CA5" w:rsidRPr="00960288" w:rsidRDefault="00D87CA5" w:rsidP="00BF41C9">
            <w:pPr>
              <w:jc w:val="center"/>
              <w:rPr>
                <w:rFonts w:ascii="Times New Roman" w:hAnsi="Times New Roman" w:cs="Times New Roman"/>
                <w:color w:val="000000" w:themeColor="text1"/>
              </w:rPr>
            </w:pPr>
            <w:r w:rsidRPr="00960288">
              <w:rPr>
                <w:rFonts w:ascii="Times New Roman" w:hAnsi="Times New Roman" w:cs="Times New Roman"/>
                <w:i/>
                <w:color w:val="000000" w:themeColor="text1"/>
              </w:rPr>
              <w:t>įrašo tiekėjas</w:t>
            </w:r>
          </w:p>
        </w:tc>
      </w:tr>
      <w:tr w:rsidR="00D87CA5" w:rsidRPr="0019775F" w14:paraId="04CC5287" w14:textId="77777777" w:rsidTr="00E72419">
        <w:tc>
          <w:tcPr>
            <w:tcW w:w="675" w:type="dxa"/>
          </w:tcPr>
          <w:p w14:paraId="04CC5283" w14:textId="77777777" w:rsidR="00D87CA5" w:rsidRPr="00960288" w:rsidRDefault="00D87CA5" w:rsidP="000B4B14">
            <w:pPr>
              <w:pStyle w:val="Default"/>
              <w:jc w:val="center"/>
              <w:rPr>
                <w:color w:val="000000" w:themeColor="text1"/>
                <w:sz w:val="22"/>
                <w:szCs w:val="22"/>
              </w:rPr>
            </w:pPr>
            <w:r w:rsidRPr="00960288">
              <w:rPr>
                <w:color w:val="000000" w:themeColor="text1"/>
                <w:sz w:val="22"/>
                <w:szCs w:val="22"/>
              </w:rPr>
              <w:t>1.9.</w:t>
            </w:r>
          </w:p>
        </w:tc>
        <w:tc>
          <w:tcPr>
            <w:tcW w:w="3544" w:type="dxa"/>
          </w:tcPr>
          <w:p w14:paraId="04CC5284" w14:textId="77777777" w:rsidR="00D87CA5" w:rsidRPr="00B14051" w:rsidRDefault="00D87CA5" w:rsidP="00960288">
            <w:pPr>
              <w:jc w:val="both"/>
              <w:rPr>
                <w:color w:val="000000" w:themeColor="text1"/>
                <w:sz w:val="20"/>
                <w:szCs w:val="20"/>
              </w:rPr>
            </w:pPr>
          </w:p>
        </w:tc>
        <w:tc>
          <w:tcPr>
            <w:tcW w:w="5953" w:type="dxa"/>
          </w:tcPr>
          <w:p w14:paraId="04CC5285" w14:textId="77777777" w:rsidR="00D87CA5" w:rsidRPr="00A65E0D" w:rsidRDefault="00D87CA5" w:rsidP="00C15052">
            <w:pPr>
              <w:jc w:val="both"/>
              <w:rPr>
                <w:rFonts w:ascii="Times New Roman" w:hAnsi="Times New Roman" w:cs="Times New Roman"/>
              </w:rPr>
            </w:pPr>
            <w:r>
              <w:rPr>
                <w:rFonts w:ascii="Times New Roman" w:hAnsi="Times New Roman" w:cs="Times New Roman"/>
              </w:rPr>
              <w:t>Kiekvieno a</w:t>
            </w:r>
            <w:r w:rsidRPr="00A65E0D">
              <w:rPr>
                <w:rFonts w:ascii="Times New Roman" w:hAnsi="Times New Roman" w:cs="Times New Roman"/>
              </w:rPr>
              <w:t>nalizatoriaus atmintis</w:t>
            </w:r>
            <w:r>
              <w:rPr>
                <w:rFonts w:ascii="Times New Roman" w:hAnsi="Times New Roman" w:cs="Times New Roman"/>
              </w:rPr>
              <w:t xml:space="preserve"> - ne</w:t>
            </w:r>
            <w:r w:rsidRPr="00A65E0D">
              <w:rPr>
                <w:rFonts w:ascii="Times New Roman" w:hAnsi="Times New Roman" w:cs="Times New Roman"/>
                <w:color w:val="000000"/>
              </w:rPr>
              <w:t xml:space="preserve"> mažiau kaip 1000 pacientų tyrimų rezultatų su tyrimo data, laiku</w:t>
            </w:r>
            <w:r>
              <w:rPr>
                <w:rFonts w:ascii="Times New Roman" w:hAnsi="Times New Roman" w:cs="Times New Roman"/>
                <w:color w:val="000000"/>
              </w:rPr>
              <w:t>.</w:t>
            </w:r>
          </w:p>
        </w:tc>
        <w:tc>
          <w:tcPr>
            <w:tcW w:w="4962" w:type="dxa"/>
          </w:tcPr>
          <w:p w14:paraId="04CC5286" w14:textId="77777777" w:rsidR="00D87CA5" w:rsidRPr="00960288" w:rsidRDefault="00D87CA5" w:rsidP="00BF41C9">
            <w:pPr>
              <w:jc w:val="center"/>
              <w:rPr>
                <w:rFonts w:ascii="Times New Roman" w:hAnsi="Times New Roman" w:cs="Times New Roman"/>
                <w:color w:val="000000" w:themeColor="text1"/>
              </w:rPr>
            </w:pPr>
            <w:r w:rsidRPr="00960288">
              <w:rPr>
                <w:rFonts w:ascii="Times New Roman" w:hAnsi="Times New Roman" w:cs="Times New Roman"/>
                <w:i/>
                <w:color w:val="000000" w:themeColor="text1"/>
              </w:rPr>
              <w:t>įrašo tiekėjas</w:t>
            </w:r>
          </w:p>
        </w:tc>
      </w:tr>
      <w:tr w:rsidR="00D87CA5" w:rsidRPr="0019775F" w14:paraId="04CC528C" w14:textId="77777777" w:rsidTr="00E72419">
        <w:tc>
          <w:tcPr>
            <w:tcW w:w="675" w:type="dxa"/>
          </w:tcPr>
          <w:p w14:paraId="04CC5288" w14:textId="77777777" w:rsidR="00D87CA5" w:rsidRPr="00960288" w:rsidRDefault="00D87CA5" w:rsidP="009F3F12">
            <w:pPr>
              <w:pStyle w:val="Default"/>
              <w:jc w:val="center"/>
              <w:rPr>
                <w:color w:val="000000" w:themeColor="text1"/>
                <w:sz w:val="22"/>
                <w:szCs w:val="22"/>
              </w:rPr>
            </w:pPr>
            <w:r w:rsidRPr="00960288">
              <w:rPr>
                <w:color w:val="000000" w:themeColor="text1"/>
                <w:sz w:val="22"/>
                <w:szCs w:val="22"/>
              </w:rPr>
              <w:t>1.10.</w:t>
            </w:r>
          </w:p>
        </w:tc>
        <w:tc>
          <w:tcPr>
            <w:tcW w:w="3544" w:type="dxa"/>
          </w:tcPr>
          <w:p w14:paraId="04CC5289" w14:textId="77777777" w:rsidR="00D87CA5" w:rsidRPr="00B14051" w:rsidRDefault="00D87CA5" w:rsidP="00960288">
            <w:pPr>
              <w:jc w:val="both"/>
              <w:rPr>
                <w:color w:val="000000" w:themeColor="text1"/>
                <w:sz w:val="20"/>
                <w:szCs w:val="20"/>
              </w:rPr>
            </w:pPr>
          </w:p>
        </w:tc>
        <w:tc>
          <w:tcPr>
            <w:tcW w:w="5953" w:type="dxa"/>
          </w:tcPr>
          <w:p w14:paraId="04CC528A" w14:textId="77777777" w:rsidR="00D87CA5" w:rsidRPr="00A65E0D" w:rsidRDefault="00D87CA5" w:rsidP="00C15052">
            <w:pPr>
              <w:jc w:val="both"/>
              <w:rPr>
                <w:rFonts w:ascii="Times New Roman" w:hAnsi="Times New Roman" w:cs="Times New Roman"/>
              </w:rPr>
            </w:pPr>
            <w:r>
              <w:rPr>
                <w:rFonts w:ascii="Times New Roman" w:hAnsi="Times New Roman" w:cs="Times New Roman"/>
              </w:rPr>
              <w:t>Kiekvieno a</w:t>
            </w:r>
            <w:r w:rsidRPr="00A65E0D">
              <w:rPr>
                <w:rFonts w:ascii="Times New Roman" w:hAnsi="Times New Roman" w:cs="Times New Roman"/>
              </w:rPr>
              <w:t>nalizatoriaus maitinimo šaltinis (vidinis akumuliatorius)</w:t>
            </w:r>
            <w:r>
              <w:rPr>
                <w:rFonts w:ascii="Times New Roman" w:hAnsi="Times New Roman" w:cs="Times New Roman"/>
              </w:rPr>
              <w:t xml:space="preserve"> turi u</w:t>
            </w:r>
            <w:r w:rsidRPr="00A65E0D">
              <w:rPr>
                <w:rFonts w:ascii="Times New Roman" w:hAnsi="Times New Roman" w:cs="Times New Roman"/>
              </w:rPr>
              <w:t>žtikrin</w:t>
            </w:r>
            <w:r>
              <w:rPr>
                <w:rFonts w:ascii="Times New Roman" w:hAnsi="Times New Roman" w:cs="Times New Roman"/>
              </w:rPr>
              <w:t>ti</w:t>
            </w:r>
            <w:r w:rsidRPr="00A65E0D">
              <w:rPr>
                <w:rFonts w:ascii="Times New Roman" w:hAnsi="Times New Roman" w:cs="Times New Roman"/>
              </w:rPr>
              <w:t xml:space="preserve"> ne mažiau kaip 50 matavimų iš eilės su vienu pilnu įkrovimu</w:t>
            </w:r>
            <w:r>
              <w:rPr>
                <w:rFonts w:ascii="Times New Roman" w:hAnsi="Times New Roman" w:cs="Times New Roman"/>
              </w:rPr>
              <w:t>.</w:t>
            </w:r>
          </w:p>
        </w:tc>
        <w:tc>
          <w:tcPr>
            <w:tcW w:w="4962" w:type="dxa"/>
          </w:tcPr>
          <w:p w14:paraId="04CC528B" w14:textId="77777777" w:rsidR="00D87CA5" w:rsidRPr="00960288" w:rsidRDefault="00D87CA5" w:rsidP="00BF41C9">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D87CA5" w:rsidRPr="0019775F" w14:paraId="04CC5291" w14:textId="77777777" w:rsidTr="00E72419">
        <w:tc>
          <w:tcPr>
            <w:tcW w:w="675" w:type="dxa"/>
          </w:tcPr>
          <w:p w14:paraId="04CC528D" w14:textId="77777777" w:rsidR="00D87CA5" w:rsidRPr="00960288" w:rsidRDefault="00D87CA5" w:rsidP="009F3F12">
            <w:pPr>
              <w:pStyle w:val="Default"/>
              <w:jc w:val="center"/>
              <w:rPr>
                <w:color w:val="000000" w:themeColor="text1"/>
                <w:sz w:val="22"/>
                <w:szCs w:val="22"/>
              </w:rPr>
            </w:pPr>
            <w:r w:rsidRPr="00960288">
              <w:rPr>
                <w:color w:val="000000" w:themeColor="text1"/>
                <w:sz w:val="22"/>
                <w:szCs w:val="22"/>
              </w:rPr>
              <w:t>1.11.</w:t>
            </w:r>
          </w:p>
        </w:tc>
        <w:tc>
          <w:tcPr>
            <w:tcW w:w="3544" w:type="dxa"/>
          </w:tcPr>
          <w:p w14:paraId="04CC528E" w14:textId="77777777" w:rsidR="00D87CA5" w:rsidRPr="00B14051" w:rsidRDefault="00D87CA5" w:rsidP="00960288">
            <w:pPr>
              <w:jc w:val="both"/>
              <w:rPr>
                <w:color w:val="000000" w:themeColor="text1"/>
                <w:sz w:val="20"/>
                <w:szCs w:val="20"/>
              </w:rPr>
            </w:pPr>
          </w:p>
        </w:tc>
        <w:tc>
          <w:tcPr>
            <w:tcW w:w="5953" w:type="dxa"/>
          </w:tcPr>
          <w:p w14:paraId="04CC528F" w14:textId="77777777" w:rsidR="00D87CA5" w:rsidRPr="00A65E0D" w:rsidRDefault="00D87CA5" w:rsidP="00C15052">
            <w:pPr>
              <w:jc w:val="both"/>
              <w:rPr>
                <w:rFonts w:ascii="Times New Roman" w:hAnsi="Times New Roman" w:cs="Times New Roman"/>
              </w:rPr>
            </w:pPr>
            <w:r>
              <w:rPr>
                <w:rFonts w:ascii="Times New Roman" w:hAnsi="Times New Roman" w:cs="Times New Roman"/>
                <w:color w:val="000000" w:themeColor="text1"/>
              </w:rPr>
              <w:t>Kiekvienas a</w:t>
            </w:r>
            <w:r w:rsidRPr="00960288">
              <w:rPr>
                <w:rFonts w:ascii="Times New Roman" w:hAnsi="Times New Roman" w:cs="Times New Roman"/>
                <w:color w:val="000000" w:themeColor="text1"/>
              </w:rPr>
              <w:t>nalizatori</w:t>
            </w:r>
            <w:r>
              <w:rPr>
                <w:rFonts w:ascii="Times New Roman" w:hAnsi="Times New Roman" w:cs="Times New Roman"/>
                <w:color w:val="000000" w:themeColor="text1"/>
              </w:rPr>
              <w:t>us</w:t>
            </w:r>
            <w:r w:rsidRPr="00960288">
              <w:rPr>
                <w:rFonts w:ascii="Times New Roman" w:hAnsi="Times New Roman" w:cs="Times New Roman"/>
                <w:color w:val="000000" w:themeColor="text1"/>
              </w:rPr>
              <w:t xml:space="preserve"> turi būti vald</w:t>
            </w:r>
            <w:r>
              <w:rPr>
                <w:rFonts w:ascii="Times New Roman" w:hAnsi="Times New Roman" w:cs="Times New Roman"/>
                <w:color w:val="000000" w:themeColor="text1"/>
              </w:rPr>
              <w:t>omas per  lietimui jautrų ekraną.</w:t>
            </w:r>
          </w:p>
        </w:tc>
        <w:tc>
          <w:tcPr>
            <w:tcW w:w="4962" w:type="dxa"/>
          </w:tcPr>
          <w:p w14:paraId="04CC5290" w14:textId="77777777" w:rsidR="00D87CA5" w:rsidRPr="00960288" w:rsidRDefault="00D87CA5" w:rsidP="00BF41C9">
            <w:pPr>
              <w:jc w:val="center"/>
              <w:rPr>
                <w:rFonts w:ascii="Times New Roman" w:hAnsi="Times New Roman" w:cs="Times New Roman"/>
                <w:color w:val="000000" w:themeColor="text1"/>
              </w:rPr>
            </w:pPr>
            <w:r w:rsidRPr="00960288">
              <w:rPr>
                <w:rFonts w:ascii="Times New Roman" w:hAnsi="Times New Roman" w:cs="Times New Roman"/>
                <w:i/>
                <w:color w:val="000000" w:themeColor="text1"/>
              </w:rPr>
              <w:t>įrašo tiekėjas</w:t>
            </w:r>
          </w:p>
        </w:tc>
      </w:tr>
      <w:tr w:rsidR="00D87CA5" w:rsidRPr="0019775F" w14:paraId="04CC5296" w14:textId="77777777" w:rsidTr="00E72419">
        <w:tc>
          <w:tcPr>
            <w:tcW w:w="675" w:type="dxa"/>
          </w:tcPr>
          <w:p w14:paraId="04CC5292" w14:textId="77777777" w:rsidR="00D87CA5" w:rsidRPr="00960288" w:rsidRDefault="00D87CA5" w:rsidP="009F3F12">
            <w:pPr>
              <w:pStyle w:val="Default"/>
              <w:jc w:val="center"/>
              <w:rPr>
                <w:color w:val="000000" w:themeColor="text1"/>
                <w:sz w:val="22"/>
                <w:szCs w:val="22"/>
              </w:rPr>
            </w:pPr>
            <w:r w:rsidRPr="00960288">
              <w:rPr>
                <w:color w:val="000000" w:themeColor="text1"/>
                <w:sz w:val="22"/>
                <w:szCs w:val="22"/>
              </w:rPr>
              <w:t>1.12.</w:t>
            </w:r>
          </w:p>
        </w:tc>
        <w:tc>
          <w:tcPr>
            <w:tcW w:w="3544" w:type="dxa"/>
          </w:tcPr>
          <w:p w14:paraId="04CC5293" w14:textId="77777777" w:rsidR="00D87CA5" w:rsidRPr="00B14051" w:rsidRDefault="00D87CA5" w:rsidP="00960288">
            <w:pPr>
              <w:jc w:val="both"/>
              <w:rPr>
                <w:color w:val="000000" w:themeColor="text1"/>
                <w:sz w:val="20"/>
                <w:szCs w:val="20"/>
              </w:rPr>
            </w:pPr>
          </w:p>
        </w:tc>
        <w:tc>
          <w:tcPr>
            <w:tcW w:w="5953" w:type="dxa"/>
          </w:tcPr>
          <w:p w14:paraId="04CC5294" w14:textId="77777777" w:rsidR="00D87CA5" w:rsidRPr="00352A9D" w:rsidRDefault="00D87CA5" w:rsidP="00DC70EB">
            <w:pPr>
              <w:jc w:val="both"/>
              <w:rPr>
                <w:rFonts w:ascii="Times New Roman" w:hAnsi="Times New Roman" w:cs="Times New Roman"/>
              </w:rPr>
            </w:pPr>
            <w:r w:rsidRPr="00A670C9">
              <w:rPr>
                <w:rFonts w:ascii="Times New Roman" w:hAnsi="Times New Roman" w:cs="Times New Roman"/>
                <w:color w:val="000000" w:themeColor="text1"/>
              </w:rPr>
              <w:t>Panaudai siūlomi  analizatoriai turi būti sukalibruoti gamykloje (</w:t>
            </w:r>
            <w:r w:rsidRPr="00A670C9">
              <w:rPr>
                <w:rFonts w:ascii="Times New Roman" w:hAnsi="Times New Roman" w:cs="Times New Roman"/>
                <w:b/>
                <w:i/>
                <w:color w:val="000000" w:themeColor="text1"/>
              </w:rPr>
              <w:t>būtina kartu su pasiūlymu pateikti tai patvirtinantį dokumentą</w:t>
            </w:r>
            <w:r>
              <w:rPr>
                <w:rFonts w:ascii="Times New Roman" w:hAnsi="Times New Roman" w:cs="Times New Roman"/>
              </w:rPr>
              <w:t>).</w:t>
            </w:r>
          </w:p>
        </w:tc>
        <w:tc>
          <w:tcPr>
            <w:tcW w:w="4962" w:type="dxa"/>
          </w:tcPr>
          <w:p w14:paraId="04CC5295" w14:textId="77777777" w:rsidR="00D87CA5" w:rsidRPr="00960288" w:rsidRDefault="00D87CA5" w:rsidP="00BF41C9">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D87CA5" w:rsidRPr="0019775F" w14:paraId="04CC529B" w14:textId="77777777" w:rsidTr="00E72419">
        <w:tc>
          <w:tcPr>
            <w:tcW w:w="675" w:type="dxa"/>
          </w:tcPr>
          <w:p w14:paraId="04CC5297" w14:textId="77777777" w:rsidR="00D87CA5" w:rsidRPr="00960288" w:rsidRDefault="00D87CA5" w:rsidP="009F3F12">
            <w:pPr>
              <w:pStyle w:val="Default"/>
              <w:jc w:val="center"/>
              <w:rPr>
                <w:color w:val="000000" w:themeColor="text1"/>
                <w:sz w:val="22"/>
                <w:szCs w:val="22"/>
              </w:rPr>
            </w:pPr>
            <w:r w:rsidRPr="00960288">
              <w:rPr>
                <w:color w:val="000000" w:themeColor="text1"/>
                <w:sz w:val="22"/>
                <w:szCs w:val="22"/>
              </w:rPr>
              <w:lastRenderedPageBreak/>
              <w:t>1.13.</w:t>
            </w:r>
          </w:p>
        </w:tc>
        <w:tc>
          <w:tcPr>
            <w:tcW w:w="3544" w:type="dxa"/>
          </w:tcPr>
          <w:p w14:paraId="04CC5298" w14:textId="77777777" w:rsidR="00D87CA5" w:rsidRPr="00B14051" w:rsidRDefault="00D87CA5" w:rsidP="00960288">
            <w:pPr>
              <w:jc w:val="both"/>
              <w:rPr>
                <w:color w:val="000000" w:themeColor="text1"/>
                <w:sz w:val="20"/>
                <w:szCs w:val="20"/>
              </w:rPr>
            </w:pPr>
          </w:p>
        </w:tc>
        <w:tc>
          <w:tcPr>
            <w:tcW w:w="5953" w:type="dxa"/>
          </w:tcPr>
          <w:p w14:paraId="04CC5299" w14:textId="77777777" w:rsidR="00D87CA5" w:rsidRPr="00352A9D" w:rsidRDefault="00D87CA5" w:rsidP="00DC70EB">
            <w:pPr>
              <w:jc w:val="both"/>
              <w:rPr>
                <w:rFonts w:ascii="Times New Roman" w:hAnsi="Times New Roman" w:cs="Times New Roman"/>
              </w:rPr>
            </w:pPr>
            <w:r w:rsidRPr="00352A9D">
              <w:rPr>
                <w:rFonts w:ascii="Times New Roman" w:hAnsi="Times New Roman" w:cs="Times New Roman"/>
              </w:rPr>
              <w:t>Kiekvieno analizatoriaus svoris</w:t>
            </w:r>
            <w:r>
              <w:rPr>
                <w:rFonts w:ascii="Times New Roman" w:hAnsi="Times New Roman" w:cs="Times New Roman"/>
              </w:rPr>
              <w:t xml:space="preserve"> - n</w:t>
            </w:r>
            <w:r w:rsidRPr="00352A9D">
              <w:rPr>
                <w:rFonts w:ascii="Times New Roman" w:hAnsi="Times New Roman" w:cs="Times New Roman"/>
              </w:rPr>
              <w:t>e daugiau  0,5 kg</w:t>
            </w:r>
            <w:r>
              <w:rPr>
                <w:rFonts w:ascii="Times New Roman" w:hAnsi="Times New Roman" w:cs="Times New Roman"/>
              </w:rPr>
              <w:t>.</w:t>
            </w:r>
          </w:p>
        </w:tc>
        <w:tc>
          <w:tcPr>
            <w:tcW w:w="4962" w:type="dxa"/>
          </w:tcPr>
          <w:p w14:paraId="04CC529A" w14:textId="77777777" w:rsidR="00D87CA5" w:rsidRPr="00960288" w:rsidRDefault="00D87CA5" w:rsidP="00BF41C9">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D87CA5" w:rsidRPr="0019775F" w14:paraId="04CC52A4" w14:textId="77777777" w:rsidTr="00E72419">
        <w:tc>
          <w:tcPr>
            <w:tcW w:w="675" w:type="dxa"/>
          </w:tcPr>
          <w:p w14:paraId="04CC529C" w14:textId="77777777" w:rsidR="00D87CA5" w:rsidRPr="0019775F" w:rsidRDefault="00D87CA5" w:rsidP="009F3F12">
            <w:pPr>
              <w:pStyle w:val="Default"/>
              <w:jc w:val="center"/>
              <w:rPr>
                <w:color w:val="000000" w:themeColor="text1"/>
                <w:sz w:val="22"/>
                <w:szCs w:val="22"/>
              </w:rPr>
            </w:pPr>
            <w:r w:rsidRPr="00960288">
              <w:rPr>
                <w:color w:val="000000" w:themeColor="text1"/>
                <w:sz w:val="22"/>
                <w:szCs w:val="22"/>
              </w:rPr>
              <w:t>1.14.</w:t>
            </w:r>
          </w:p>
        </w:tc>
        <w:tc>
          <w:tcPr>
            <w:tcW w:w="3544" w:type="dxa"/>
          </w:tcPr>
          <w:p w14:paraId="04CC529D" w14:textId="77777777" w:rsidR="00D87CA5" w:rsidRPr="00B14051" w:rsidRDefault="00D87CA5" w:rsidP="00960288">
            <w:pPr>
              <w:jc w:val="both"/>
              <w:rPr>
                <w:color w:val="000000" w:themeColor="text1"/>
                <w:sz w:val="20"/>
                <w:szCs w:val="20"/>
              </w:rPr>
            </w:pPr>
          </w:p>
        </w:tc>
        <w:tc>
          <w:tcPr>
            <w:tcW w:w="5953" w:type="dxa"/>
          </w:tcPr>
          <w:p w14:paraId="04CC529E" w14:textId="77777777" w:rsidR="00D87CA5" w:rsidRDefault="00D87CA5" w:rsidP="00DC70EB">
            <w:pPr>
              <w:jc w:val="both"/>
              <w:rPr>
                <w:rFonts w:ascii="Times New Roman" w:hAnsi="Times New Roman" w:cs="Times New Roman"/>
              </w:rPr>
            </w:pPr>
            <w:r w:rsidRPr="00352A9D">
              <w:rPr>
                <w:rFonts w:ascii="Times New Roman" w:hAnsi="Times New Roman" w:cs="Times New Roman"/>
              </w:rPr>
              <w:t>Pritaikymas duomenų perdavimui</w:t>
            </w:r>
            <w:r>
              <w:rPr>
                <w:rFonts w:ascii="Times New Roman" w:hAnsi="Times New Roman" w:cs="Times New Roman"/>
              </w:rPr>
              <w:t>:</w:t>
            </w:r>
          </w:p>
          <w:p w14:paraId="04CC529F" w14:textId="77777777" w:rsidR="00D87CA5" w:rsidRDefault="00D87CA5" w:rsidP="00DC70EB">
            <w:pPr>
              <w:jc w:val="both"/>
              <w:rPr>
                <w:rFonts w:ascii="Times New Roman" w:hAnsi="Times New Roman" w:cs="Times New Roman"/>
              </w:rPr>
            </w:pPr>
            <w:r w:rsidRPr="00352A9D">
              <w:rPr>
                <w:rFonts w:ascii="Times New Roman" w:hAnsi="Times New Roman" w:cs="Times New Roman"/>
              </w:rPr>
              <w:t xml:space="preserve">1. Infraraudonųjų spindulių (IR) arba lygiavertis prievadas (nebūtinas, jei prietaisas gali duomenis bevieliu ryšiu </w:t>
            </w:r>
            <w:r>
              <w:rPr>
                <w:rFonts w:ascii="Times New Roman" w:hAnsi="Times New Roman" w:cs="Times New Roman"/>
              </w:rPr>
              <w:t>perduoti kito prievado pagalba).</w:t>
            </w:r>
          </w:p>
          <w:p w14:paraId="04CC52A0" w14:textId="77777777" w:rsidR="00D87CA5" w:rsidRDefault="00D87CA5" w:rsidP="00DC70EB">
            <w:pPr>
              <w:jc w:val="both"/>
              <w:rPr>
                <w:rFonts w:ascii="Times New Roman" w:hAnsi="Times New Roman" w:cs="Times New Roman"/>
              </w:rPr>
            </w:pPr>
            <w:r w:rsidRPr="00352A9D">
              <w:rPr>
                <w:rFonts w:ascii="Times New Roman" w:hAnsi="Times New Roman" w:cs="Times New Roman"/>
              </w:rPr>
              <w:t>2. Bevielio ryšio prievadas (WLAN)</w:t>
            </w:r>
            <w:r>
              <w:rPr>
                <w:rFonts w:ascii="Times New Roman" w:hAnsi="Times New Roman" w:cs="Times New Roman"/>
              </w:rPr>
              <w:t>.</w:t>
            </w:r>
          </w:p>
          <w:p w14:paraId="04CC52A1" w14:textId="77777777" w:rsidR="00D87CA5" w:rsidRPr="00352A9D" w:rsidRDefault="00D87CA5" w:rsidP="00DC70EB">
            <w:pPr>
              <w:jc w:val="both"/>
              <w:rPr>
                <w:rFonts w:ascii="Times New Roman" w:hAnsi="Times New Roman" w:cs="Times New Roman"/>
              </w:rPr>
            </w:pPr>
            <w:r w:rsidRPr="00352A9D">
              <w:rPr>
                <w:rFonts w:ascii="Times New Roman" w:hAnsi="Times New Roman" w:cs="Times New Roman"/>
              </w:rPr>
              <w:t>3. Brūkšninių kodų skaitytuvas (integruotas analizatoriuje arba visi pateikiami analizatoriai turi būti sukomplektuoti su išoriniais brūkšninių kodų skaitytuvais)</w:t>
            </w:r>
            <w:r>
              <w:rPr>
                <w:rFonts w:ascii="Times New Roman" w:hAnsi="Times New Roman" w:cs="Times New Roman"/>
              </w:rPr>
              <w:t>.</w:t>
            </w:r>
          </w:p>
        </w:tc>
        <w:tc>
          <w:tcPr>
            <w:tcW w:w="4962" w:type="dxa"/>
          </w:tcPr>
          <w:p w14:paraId="04CC52A2" w14:textId="77777777" w:rsidR="00D87CA5" w:rsidRDefault="00D87CA5" w:rsidP="00BF41C9">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p w14:paraId="04CC52A3" w14:textId="77777777" w:rsidR="00D87CA5" w:rsidRPr="003725E0" w:rsidRDefault="00D87CA5" w:rsidP="00BF41C9">
            <w:pPr>
              <w:jc w:val="center"/>
              <w:rPr>
                <w:rFonts w:ascii="Times New Roman" w:hAnsi="Times New Roman" w:cs="Times New Roman"/>
                <w:i/>
                <w:color w:val="FF0000"/>
              </w:rPr>
            </w:pPr>
          </w:p>
        </w:tc>
      </w:tr>
      <w:tr w:rsidR="00D87CA5" w:rsidRPr="0019775F" w14:paraId="04CC52A9" w14:textId="77777777" w:rsidTr="00E72419">
        <w:tc>
          <w:tcPr>
            <w:tcW w:w="675" w:type="dxa"/>
          </w:tcPr>
          <w:p w14:paraId="04CC52A5" w14:textId="77777777" w:rsidR="00D87CA5" w:rsidRPr="0019775F" w:rsidRDefault="00D87CA5" w:rsidP="009F3F12">
            <w:pPr>
              <w:pStyle w:val="Default"/>
              <w:jc w:val="center"/>
              <w:rPr>
                <w:color w:val="000000" w:themeColor="text1"/>
                <w:sz w:val="22"/>
                <w:szCs w:val="22"/>
              </w:rPr>
            </w:pPr>
            <w:r>
              <w:rPr>
                <w:color w:val="000000" w:themeColor="text1"/>
                <w:sz w:val="22"/>
                <w:szCs w:val="22"/>
              </w:rPr>
              <w:t>1.15.</w:t>
            </w:r>
          </w:p>
        </w:tc>
        <w:tc>
          <w:tcPr>
            <w:tcW w:w="3544" w:type="dxa"/>
          </w:tcPr>
          <w:p w14:paraId="04CC52A6" w14:textId="77777777" w:rsidR="00D87CA5" w:rsidRPr="00B14051" w:rsidRDefault="00D87CA5" w:rsidP="00960288">
            <w:pPr>
              <w:jc w:val="both"/>
              <w:rPr>
                <w:color w:val="000000" w:themeColor="text1"/>
                <w:sz w:val="20"/>
                <w:szCs w:val="20"/>
              </w:rPr>
            </w:pPr>
          </w:p>
        </w:tc>
        <w:tc>
          <w:tcPr>
            <w:tcW w:w="5953" w:type="dxa"/>
          </w:tcPr>
          <w:p w14:paraId="04CC52A7" w14:textId="77777777" w:rsidR="00D87CA5" w:rsidRPr="00C55060" w:rsidRDefault="00D87CA5" w:rsidP="00DC70EB">
            <w:pPr>
              <w:jc w:val="both"/>
              <w:rPr>
                <w:rFonts w:ascii="Times New Roman" w:eastAsia="Times New Roman" w:hAnsi="Times New Roman" w:cs="Times New Roman"/>
                <w:strike/>
                <w:color w:val="FF0000"/>
              </w:rPr>
            </w:pPr>
            <w:r w:rsidRPr="00C55060">
              <w:rPr>
                <w:rFonts w:ascii="Times New Roman" w:hAnsi="Times New Roman" w:cs="Times New Roman"/>
                <w:color w:val="000000" w:themeColor="text1"/>
              </w:rPr>
              <w:t xml:space="preserve">Analizatoriai turi turėti CE ženklinimą </w:t>
            </w:r>
            <w:r w:rsidRPr="00C55060">
              <w:rPr>
                <w:rFonts w:ascii="Times New Roman" w:hAnsi="Times New Roman" w:cs="Times New Roman"/>
              </w:rPr>
              <w:t>(</w:t>
            </w:r>
            <w:r w:rsidRPr="00C55060">
              <w:rPr>
                <w:rFonts w:ascii="Times New Roman" w:hAnsi="Times New Roman" w:cs="Times New Roman"/>
                <w:i/>
              </w:rPr>
              <w:t>kartu su pasiūlymu konkursui  būtina pateikti galiojančių dokumentų, liudijančių analizatoriaus žymėjimą CE ženklu, kopijas</w:t>
            </w:r>
            <w:r w:rsidRPr="00C55060">
              <w:rPr>
                <w:rFonts w:ascii="Times New Roman" w:hAnsi="Times New Roman" w:cs="Times New Roman"/>
              </w:rPr>
              <w:t>).</w:t>
            </w:r>
          </w:p>
        </w:tc>
        <w:tc>
          <w:tcPr>
            <w:tcW w:w="4962" w:type="dxa"/>
          </w:tcPr>
          <w:p w14:paraId="04CC52A8" w14:textId="77777777" w:rsidR="00D87CA5" w:rsidRPr="00960288" w:rsidRDefault="00D87CA5" w:rsidP="009C2208">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D87CA5" w:rsidRPr="0019775F" w14:paraId="04CC52AF" w14:textId="77777777" w:rsidTr="00E72419">
        <w:tc>
          <w:tcPr>
            <w:tcW w:w="675" w:type="dxa"/>
          </w:tcPr>
          <w:p w14:paraId="04CC52AA" w14:textId="77777777" w:rsidR="00D87CA5" w:rsidRPr="0019775F" w:rsidRDefault="00D87CA5" w:rsidP="009515FC">
            <w:pPr>
              <w:pStyle w:val="Default"/>
              <w:jc w:val="center"/>
              <w:rPr>
                <w:color w:val="000000" w:themeColor="text1"/>
                <w:sz w:val="22"/>
                <w:szCs w:val="22"/>
              </w:rPr>
            </w:pPr>
            <w:r>
              <w:rPr>
                <w:color w:val="000000" w:themeColor="text1"/>
                <w:sz w:val="22"/>
                <w:szCs w:val="22"/>
              </w:rPr>
              <w:t>1.16.</w:t>
            </w:r>
          </w:p>
        </w:tc>
        <w:tc>
          <w:tcPr>
            <w:tcW w:w="3544" w:type="dxa"/>
          </w:tcPr>
          <w:p w14:paraId="04CC52AB" w14:textId="77777777" w:rsidR="00D87CA5" w:rsidRPr="00B14051" w:rsidRDefault="00D87CA5" w:rsidP="00960288">
            <w:pPr>
              <w:jc w:val="both"/>
              <w:rPr>
                <w:color w:val="000000" w:themeColor="text1"/>
                <w:sz w:val="20"/>
                <w:szCs w:val="20"/>
              </w:rPr>
            </w:pPr>
          </w:p>
        </w:tc>
        <w:tc>
          <w:tcPr>
            <w:tcW w:w="5953" w:type="dxa"/>
          </w:tcPr>
          <w:p w14:paraId="04CC52AC" w14:textId="77777777" w:rsidR="00D87CA5" w:rsidRPr="00C55060" w:rsidRDefault="00D87CA5" w:rsidP="00DC70EB">
            <w:pPr>
              <w:widowControl w:val="0"/>
              <w:shd w:val="clear" w:color="auto" w:fill="FFFFFF"/>
              <w:tabs>
                <w:tab w:val="left" w:pos="504"/>
              </w:tabs>
              <w:autoSpaceDE w:val="0"/>
              <w:autoSpaceDN w:val="0"/>
              <w:adjustRightInd w:val="0"/>
              <w:jc w:val="both"/>
              <w:rPr>
                <w:rFonts w:ascii="Times New Roman" w:hAnsi="Times New Roman" w:cs="Times New Roman"/>
                <w:color w:val="FF0000"/>
              </w:rPr>
            </w:pPr>
            <w:r w:rsidRPr="00C55060">
              <w:rPr>
                <w:rFonts w:ascii="Times New Roman" w:hAnsi="Times New Roman" w:cs="Times New Roman"/>
              </w:rPr>
              <w:t xml:space="preserve">Naudojimo instrukcija (vartotojo vadovas)  kartu su pasiūlymu konkursui turi </w:t>
            </w:r>
            <w:r w:rsidRPr="00C55060">
              <w:rPr>
                <w:rFonts w:ascii="Times New Roman" w:hAnsi="Times New Roman" w:cs="Times New Roman"/>
                <w:color w:val="000000" w:themeColor="text1"/>
              </w:rPr>
              <w:t>būti pateikiama anglų</w:t>
            </w:r>
            <w:r w:rsidRPr="00C55060">
              <w:rPr>
                <w:rFonts w:ascii="Times New Roman" w:hAnsi="Times New Roman" w:cs="Times New Roman"/>
              </w:rPr>
              <w:t xml:space="preserve"> kalba elektronine, o laimėjimo atveju – kartu su kiekvienu analizatoriumi lietuvių ir anglų kalbomis spausdinta forma </w:t>
            </w:r>
            <w:r w:rsidRPr="00C55060">
              <w:rPr>
                <w:rFonts w:ascii="Times New Roman" w:hAnsi="Times New Roman" w:cs="Times New Roman"/>
                <w:color w:val="000000" w:themeColor="text1"/>
              </w:rPr>
              <w:t>(</w:t>
            </w:r>
            <w:r w:rsidRPr="00C55060">
              <w:rPr>
                <w:rFonts w:ascii="Times New Roman" w:hAnsi="Times New Roman" w:cs="Times New Roman"/>
                <w:b/>
                <w:i/>
                <w:color w:val="000000" w:themeColor="text1"/>
              </w:rPr>
              <w:t>būtinas atitinkamas tiekėjo patvirtinimas</w:t>
            </w:r>
            <w:r w:rsidRPr="00C55060">
              <w:rPr>
                <w:rFonts w:ascii="Times New Roman" w:hAnsi="Times New Roman" w:cs="Times New Roman"/>
                <w:color w:val="000000" w:themeColor="text1"/>
              </w:rPr>
              <w:t>).</w:t>
            </w:r>
          </w:p>
        </w:tc>
        <w:tc>
          <w:tcPr>
            <w:tcW w:w="4962" w:type="dxa"/>
          </w:tcPr>
          <w:p w14:paraId="04CC52AD" w14:textId="77777777" w:rsidR="00D87CA5" w:rsidRDefault="00D87CA5" w:rsidP="009C2208">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p w14:paraId="04CC52AE" w14:textId="77777777" w:rsidR="00D87CA5" w:rsidRPr="00C15BEB" w:rsidRDefault="00D87CA5" w:rsidP="009C2208">
            <w:pPr>
              <w:jc w:val="center"/>
              <w:rPr>
                <w:rFonts w:ascii="Times New Roman" w:hAnsi="Times New Roman" w:cs="Times New Roman"/>
                <w:i/>
                <w:color w:val="FF0000"/>
              </w:rPr>
            </w:pPr>
          </w:p>
        </w:tc>
      </w:tr>
      <w:tr w:rsidR="00D87CA5" w:rsidRPr="00960288" w14:paraId="04CC52B4" w14:textId="77777777" w:rsidTr="00E72419">
        <w:tc>
          <w:tcPr>
            <w:tcW w:w="675" w:type="dxa"/>
          </w:tcPr>
          <w:p w14:paraId="04CC52B0" w14:textId="77777777" w:rsidR="00D87CA5" w:rsidRPr="00960288" w:rsidRDefault="00D87CA5" w:rsidP="00545137">
            <w:pPr>
              <w:pStyle w:val="Default"/>
              <w:jc w:val="center"/>
              <w:rPr>
                <w:color w:val="000000" w:themeColor="text1"/>
                <w:sz w:val="22"/>
                <w:szCs w:val="22"/>
              </w:rPr>
            </w:pPr>
            <w:r w:rsidRPr="00960288">
              <w:rPr>
                <w:color w:val="000000" w:themeColor="text1"/>
                <w:sz w:val="22"/>
                <w:szCs w:val="22"/>
              </w:rPr>
              <w:t>2.</w:t>
            </w:r>
          </w:p>
        </w:tc>
        <w:tc>
          <w:tcPr>
            <w:tcW w:w="3544" w:type="dxa"/>
          </w:tcPr>
          <w:p w14:paraId="04CC52B1" w14:textId="77777777" w:rsidR="00D87CA5" w:rsidRPr="00960288" w:rsidRDefault="00D87CA5" w:rsidP="00CB33DB">
            <w:pPr>
              <w:pStyle w:val="Default"/>
              <w:rPr>
                <w:color w:val="000000" w:themeColor="text1"/>
                <w:sz w:val="22"/>
                <w:szCs w:val="22"/>
              </w:rPr>
            </w:pPr>
            <w:r>
              <w:rPr>
                <w:color w:val="000000" w:themeColor="text1"/>
                <w:sz w:val="22"/>
                <w:szCs w:val="22"/>
              </w:rPr>
              <w:t>Reikalavimai analizatorių</w:t>
            </w:r>
            <w:r w:rsidRPr="00960288">
              <w:rPr>
                <w:color w:val="000000" w:themeColor="text1"/>
                <w:sz w:val="22"/>
                <w:szCs w:val="22"/>
              </w:rPr>
              <w:t xml:space="preserve"> programinei įrangai</w:t>
            </w:r>
          </w:p>
        </w:tc>
        <w:tc>
          <w:tcPr>
            <w:tcW w:w="5953" w:type="dxa"/>
          </w:tcPr>
          <w:p w14:paraId="04CC52B2" w14:textId="77777777" w:rsidR="00D87CA5" w:rsidRPr="00C55060" w:rsidRDefault="00D87CA5" w:rsidP="00545137">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4962" w:type="dxa"/>
          </w:tcPr>
          <w:p w14:paraId="04CC52B3" w14:textId="77777777" w:rsidR="00D87CA5" w:rsidRPr="00960288" w:rsidRDefault="00D87CA5" w:rsidP="00545137">
            <w:pPr>
              <w:jc w:val="center"/>
              <w:rPr>
                <w:rFonts w:ascii="Times New Roman" w:hAnsi="Times New Roman" w:cs="Times New Roman"/>
                <w:i/>
                <w:color w:val="000000" w:themeColor="text1"/>
              </w:rPr>
            </w:pPr>
          </w:p>
        </w:tc>
      </w:tr>
      <w:tr w:rsidR="00D87CA5" w:rsidRPr="00960288" w14:paraId="04CC52BB" w14:textId="77777777" w:rsidTr="00E72419">
        <w:tc>
          <w:tcPr>
            <w:tcW w:w="675" w:type="dxa"/>
          </w:tcPr>
          <w:p w14:paraId="04CC52B5" w14:textId="77777777" w:rsidR="00D87CA5" w:rsidRPr="00960288" w:rsidRDefault="00D87CA5" w:rsidP="00442F08">
            <w:pPr>
              <w:pStyle w:val="Default"/>
              <w:jc w:val="center"/>
              <w:rPr>
                <w:color w:val="000000" w:themeColor="text1"/>
                <w:sz w:val="22"/>
                <w:szCs w:val="22"/>
              </w:rPr>
            </w:pPr>
            <w:r w:rsidRPr="00960288">
              <w:rPr>
                <w:color w:val="000000" w:themeColor="text1"/>
                <w:sz w:val="22"/>
                <w:szCs w:val="22"/>
              </w:rPr>
              <w:t>2.1.</w:t>
            </w:r>
          </w:p>
        </w:tc>
        <w:tc>
          <w:tcPr>
            <w:tcW w:w="3544" w:type="dxa"/>
          </w:tcPr>
          <w:p w14:paraId="04CC52B6" w14:textId="77777777" w:rsidR="00D87CA5" w:rsidRPr="003443D8" w:rsidRDefault="00D87CA5" w:rsidP="006D2D27">
            <w:pPr>
              <w:jc w:val="both"/>
              <w:rPr>
                <w:rFonts w:ascii="Times New Roman" w:hAnsi="Times New Roman" w:cs="Times New Roman"/>
                <w:color w:val="000000" w:themeColor="text1"/>
              </w:rPr>
            </w:pPr>
          </w:p>
        </w:tc>
        <w:tc>
          <w:tcPr>
            <w:tcW w:w="5953" w:type="dxa"/>
          </w:tcPr>
          <w:p w14:paraId="04CC52B7" w14:textId="77777777" w:rsidR="00D87CA5" w:rsidRPr="00C55060" w:rsidRDefault="00D87CA5" w:rsidP="006D2D27">
            <w:pPr>
              <w:widowControl w:val="0"/>
              <w:shd w:val="clear" w:color="auto" w:fill="FFFFFF"/>
              <w:tabs>
                <w:tab w:val="left" w:pos="504"/>
              </w:tabs>
              <w:autoSpaceDE w:val="0"/>
              <w:autoSpaceDN w:val="0"/>
              <w:adjustRightInd w:val="0"/>
              <w:jc w:val="both"/>
              <w:rPr>
                <w:rFonts w:ascii="Times New Roman" w:hAnsi="Times New Roman" w:cs="Times New Roman"/>
              </w:rPr>
            </w:pPr>
            <w:r w:rsidRPr="00C55060">
              <w:rPr>
                <w:rFonts w:ascii="Times New Roman" w:hAnsi="Times New Roman" w:cs="Times New Roman"/>
              </w:rPr>
              <w:t xml:space="preserve">Sistema privalo turėti nuotolinio serviso modulį, leidžiantį nuotoliniu būdu atlikti gedimų diagnostiką ir pašalinti nedidelius sutrikimus arba Tiekėjas turi užtikrinti papildomo Sistemos prietaiso (1 </w:t>
            </w:r>
            <w:proofErr w:type="spellStart"/>
            <w:r w:rsidRPr="00C55060">
              <w:rPr>
                <w:rFonts w:ascii="Times New Roman" w:hAnsi="Times New Roman" w:cs="Times New Roman"/>
              </w:rPr>
              <w:t>vnt</w:t>
            </w:r>
            <w:proofErr w:type="spellEnd"/>
            <w:r w:rsidRPr="00C55060">
              <w:rPr>
                <w:rFonts w:ascii="Times New Roman" w:hAnsi="Times New Roman" w:cs="Times New Roman"/>
              </w:rPr>
              <w:t>) buvimą Perkančiosios organizacijos įvardintoje patalpoje.</w:t>
            </w:r>
          </w:p>
          <w:p w14:paraId="04CC52B8" w14:textId="77777777" w:rsidR="00D87CA5" w:rsidRPr="00C55060" w:rsidRDefault="00D87CA5" w:rsidP="006D2D27">
            <w:pPr>
              <w:jc w:val="both"/>
              <w:rPr>
                <w:rFonts w:ascii="Times New Roman" w:hAnsi="Times New Roman" w:cs="Times New Roman"/>
                <w:color w:val="FF0000"/>
              </w:rPr>
            </w:pPr>
            <w:r w:rsidRPr="00C55060">
              <w:rPr>
                <w:rFonts w:ascii="Times New Roman" w:hAnsi="Times New Roman" w:cs="Times New Roman"/>
                <w:u w:val="single"/>
              </w:rPr>
              <w:t>Pastaba:</w:t>
            </w:r>
            <w:r w:rsidRPr="00C55060">
              <w:rPr>
                <w:rFonts w:ascii="Times New Roman" w:hAnsi="Times New Roman" w:cs="Times New Roman"/>
              </w:rPr>
              <w:t xml:space="preserve"> Reikalavimas taikomas vadovaujantis </w:t>
            </w:r>
            <w:r w:rsidRPr="00C55060">
              <w:rPr>
                <w:rFonts w:ascii="Times New Roman" w:hAnsi="Times New Roman" w:cs="Times New Roman"/>
                <w:shd w:val="clear" w:color="auto" w:fill="FFFFFF"/>
              </w:rPr>
              <w:t>Lietuvos Respublikos aplinkos ministro 2022 m. gruodžio 13 d. įsakymu Nr. D1-401 pat</w:t>
            </w:r>
            <w:bookmarkStart w:id="0" w:name="_GoBack"/>
            <w:bookmarkEnd w:id="0"/>
            <w:r w:rsidRPr="00C55060">
              <w:rPr>
                <w:rFonts w:ascii="Times New Roman" w:hAnsi="Times New Roman" w:cs="Times New Roman"/>
                <w:shd w:val="clear" w:color="auto" w:fill="FFFFFF"/>
              </w:rPr>
              <w:t>virtinto aplinkos apsaugos kriterijų taikymo, vykdant žaliuosius pirkimus, tvarkos aprašo II skyriaus 4.4.4.1 punktu.</w:t>
            </w:r>
          </w:p>
        </w:tc>
        <w:tc>
          <w:tcPr>
            <w:tcW w:w="4962" w:type="dxa"/>
          </w:tcPr>
          <w:p w14:paraId="04CC52B9" w14:textId="77777777" w:rsidR="00D87CA5" w:rsidRDefault="00D87CA5" w:rsidP="00442F08">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p w14:paraId="04CC52BA" w14:textId="77777777" w:rsidR="00D87CA5" w:rsidRPr="00C15BEB" w:rsidRDefault="00D87CA5" w:rsidP="00442F08">
            <w:pPr>
              <w:jc w:val="center"/>
              <w:rPr>
                <w:rFonts w:ascii="Times New Roman" w:hAnsi="Times New Roman" w:cs="Times New Roman"/>
                <w:color w:val="FF0000"/>
              </w:rPr>
            </w:pPr>
          </w:p>
        </w:tc>
      </w:tr>
      <w:tr w:rsidR="00D87CA5" w:rsidRPr="00960288" w14:paraId="04CC52D4" w14:textId="77777777" w:rsidTr="00E72419">
        <w:tc>
          <w:tcPr>
            <w:tcW w:w="675" w:type="dxa"/>
          </w:tcPr>
          <w:p w14:paraId="04CC52BC" w14:textId="77777777" w:rsidR="00D87CA5" w:rsidRPr="00960288" w:rsidRDefault="00D87CA5" w:rsidP="00442F08">
            <w:pPr>
              <w:pStyle w:val="Default"/>
              <w:jc w:val="center"/>
              <w:rPr>
                <w:color w:val="000000" w:themeColor="text1"/>
                <w:sz w:val="22"/>
                <w:szCs w:val="22"/>
              </w:rPr>
            </w:pPr>
            <w:r w:rsidRPr="00960288">
              <w:rPr>
                <w:color w:val="000000" w:themeColor="text1"/>
                <w:sz w:val="22"/>
                <w:szCs w:val="22"/>
              </w:rPr>
              <w:t>2.2.</w:t>
            </w:r>
          </w:p>
        </w:tc>
        <w:tc>
          <w:tcPr>
            <w:tcW w:w="3544" w:type="dxa"/>
          </w:tcPr>
          <w:p w14:paraId="04CC52BD" w14:textId="77777777" w:rsidR="00D87CA5" w:rsidRPr="003443D8" w:rsidRDefault="00D87CA5" w:rsidP="003443D8">
            <w:pPr>
              <w:jc w:val="both"/>
              <w:rPr>
                <w:rFonts w:ascii="Times New Roman" w:hAnsi="Times New Roman" w:cs="Times New Roman"/>
                <w:color w:val="000000" w:themeColor="text1"/>
              </w:rPr>
            </w:pPr>
          </w:p>
        </w:tc>
        <w:tc>
          <w:tcPr>
            <w:tcW w:w="5953" w:type="dxa"/>
          </w:tcPr>
          <w:p w14:paraId="04CC52BE" w14:textId="77777777" w:rsidR="00D87CA5" w:rsidRPr="0076576C" w:rsidRDefault="00D87CA5" w:rsidP="007640E5">
            <w:pPr>
              <w:pStyle w:val="Default"/>
              <w:ind w:left="35"/>
              <w:jc w:val="both"/>
              <w:rPr>
                <w:color w:val="000000" w:themeColor="text1"/>
                <w:sz w:val="22"/>
                <w:szCs w:val="22"/>
              </w:rPr>
            </w:pPr>
            <w:r w:rsidRPr="0076576C">
              <w:rPr>
                <w:color w:val="000000" w:themeColor="text1"/>
                <w:sz w:val="22"/>
                <w:szCs w:val="22"/>
              </w:rPr>
              <w:t xml:space="preserve">Suderinamumas su LIS: </w:t>
            </w:r>
          </w:p>
          <w:p w14:paraId="04CC52BF" w14:textId="77777777" w:rsidR="00D87CA5" w:rsidRPr="0076576C" w:rsidRDefault="00D87CA5" w:rsidP="007640E5">
            <w:pPr>
              <w:jc w:val="both"/>
              <w:rPr>
                <w:rFonts w:ascii="Times New Roman" w:hAnsi="Times New Roman" w:cs="Times New Roman"/>
              </w:rPr>
            </w:pPr>
            <w:r w:rsidRPr="0076576C">
              <w:rPr>
                <w:rFonts w:ascii="Times New Roman" w:hAnsi="Times New Roman" w:cs="Times New Roman"/>
              </w:rPr>
              <w:t xml:space="preserve">Analizatoriai ir/arba programinė įranga (toliau - Sistema) </w:t>
            </w:r>
            <w:r w:rsidRPr="0076576C">
              <w:rPr>
                <w:rFonts w:ascii="Times New Roman" w:hAnsi="Times New Roman" w:cs="Times New Roman"/>
                <w:spacing w:val="-1"/>
              </w:rPr>
              <w:t xml:space="preserve">turi būti tinkami (techniškai ir programiškai suderinami) integravimui į </w:t>
            </w:r>
            <w:r w:rsidRPr="0076576C">
              <w:rPr>
                <w:rFonts w:ascii="Times New Roman" w:hAnsi="Times New Roman" w:cs="Times New Roman"/>
              </w:rPr>
              <w:t xml:space="preserve">LSMU ligoninėje Kauno klinikose veikiančią </w:t>
            </w:r>
            <w:proofErr w:type="spellStart"/>
            <w:r w:rsidRPr="0076576C">
              <w:rPr>
                <w:rFonts w:ascii="Times New Roman" w:hAnsi="Times New Roman" w:cs="Times New Roman"/>
              </w:rPr>
              <w:t>eLab</w:t>
            </w:r>
            <w:proofErr w:type="spellEnd"/>
            <w:r w:rsidRPr="0076576C">
              <w:rPr>
                <w:rFonts w:ascii="Times New Roman" w:hAnsi="Times New Roman" w:cs="Times New Roman"/>
              </w:rPr>
              <w:t xml:space="preserve"> laboratorinę informacinę sistemą (toliau tekste - LIS):</w:t>
            </w:r>
          </w:p>
          <w:p w14:paraId="04CC52C0" w14:textId="77777777" w:rsidR="00D87CA5" w:rsidRPr="0076576C" w:rsidRDefault="00D87CA5" w:rsidP="007640E5">
            <w:pPr>
              <w:pStyle w:val="Default"/>
              <w:numPr>
                <w:ilvl w:val="0"/>
                <w:numId w:val="6"/>
              </w:numPr>
              <w:ind w:left="318" w:hanging="283"/>
              <w:jc w:val="both"/>
              <w:rPr>
                <w:color w:val="auto"/>
                <w:sz w:val="22"/>
                <w:szCs w:val="22"/>
              </w:rPr>
            </w:pPr>
            <w:r w:rsidRPr="0076576C">
              <w:rPr>
                <w:color w:val="auto"/>
                <w:sz w:val="22"/>
                <w:szCs w:val="22"/>
              </w:rPr>
              <w:t>Tiekėjas privalo kartu su pasiūlymu konkursui pateikti Sistemos komunikacijos protokolą (angl. „</w:t>
            </w:r>
            <w:proofErr w:type="spellStart"/>
            <w:r w:rsidRPr="0076576C">
              <w:rPr>
                <w:color w:val="auto"/>
                <w:sz w:val="22"/>
                <w:szCs w:val="22"/>
              </w:rPr>
              <w:t>Interface</w:t>
            </w:r>
            <w:proofErr w:type="spellEnd"/>
            <w:r w:rsidRPr="0076576C">
              <w:rPr>
                <w:color w:val="auto"/>
                <w:sz w:val="22"/>
                <w:szCs w:val="22"/>
              </w:rPr>
              <w:t xml:space="preserve"> </w:t>
            </w:r>
            <w:proofErr w:type="spellStart"/>
            <w:r w:rsidRPr="0076576C">
              <w:rPr>
                <w:color w:val="auto"/>
                <w:sz w:val="22"/>
                <w:szCs w:val="22"/>
              </w:rPr>
              <w:t>manual</w:t>
            </w:r>
            <w:proofErr w:type="spellEnd"/>
            <w:r w:rsidRPr="0076576C">
              <w:rPr>
                <w:color w:val="auto"/>
                <w:sz w:val="22"/>
                <w:szCs w:val="22"/>
              </w:rPr>
              <w:t>“), kuriame detaliai pateikiama visa informacija, kaip siūloma Sistema gali būti sujungta su išorinėmis sistemomis.</w:t>
            </w:r>
          </w:p>
          <w:p w14:paraId="04CC52C1" w14:textId="77777777" w:rsidR="00D87CA5" w:rsidRPr="0076576C" w:rsidRDefault="00D87CA5" w:rsidP="007640E5">
            <w:pPr>
              <w:pStyle w:val="Default"/>
              <w:numPr>
                <w:ilvl w:val="0"/>
                <w:numId w:val="6"/>
              </w:numPr>
              <w:ind w:left="318" w:hanging="283"/>
              <w:jc w:val="both"/>
              <w:rPr>
                <w:color w:val="auto"/>
                <w:sz w:val="22"/>
                <w:szCs w:val="22"/>
              </w:rPr>
            </w:pPr>
            <w:r w:rsidRPr="0076576C">
              <w:rPr>
                <w:rFonts w:eastAsia="Times New Roman"/>
                <w:color w:val="auto"/>
                <w:sz w:val="22"/>
                <w:szCs w:val="22"/>
                <w:lang w:eastAsia="lt-LT"/>
              </w:rPr>
              <w:t>Siūloma Sistema turi turėti galimybę </w:t>
            </w:r>
            <w:r w:rsidRPr="0076576C">
              <w:rPr>
                <w:rFonts w:eastAsia="Times New Roman"/>
                <w:bCs/>
                <w:color w:val="auto"/>
                <w:sz w:val="22"/>
                <w:szCs w:val="22"/>
                <w:lang w:eastAsia="lt-LT"/>
              </w:rPr>
              <w:t>ASTM arba HL7</w:t>
            </w:r>
            <w:r w:rsidRPr="0076576C">
              <w:rPr>
                <w:rFonts w:eastAsia="Times New Roman"/>
                <w:color w:val="auto"/>
                <w:sz w:val="22"/>
                <w:szCs w:val="22"/>
                <w:lang w:eastAsia="lt-LT"/>
              </w:rPr>
              <w:t xml:space="preserve"> standarto protokolu keistis informacija su perkančiosios </w:t>
            </w:r>
            <w:r w:rsidRPr="0076576C">
              <w:rPr>
                <w:rFonts w:eastAsia="Times New Roman"/>
                <w:color w:val="auto"/>
                <w:sz w:val="22"/>
                <w:szCs w:val="22"/>
                <w:lang w:eastAsia="lt-LT"/>
              </w:rPr>
              <w:lastRenderedPageBreak/>
              <w:t xml:space="preserve">organizacijos LIS. Sistema turi automatiškai nuskaityti tyrimų užsakymus, o tyrimų atlikimo rezultatus automatiškai perduoti į LIS </w:t>
            </w:r>
            <w:proofErr w:type="spellStart"/>
            <w:r w:rsidRPr="0076576C">
              <w:rPr>
                <w:rFonts w:eastAsia="Times New Roman"/>
                <w:color w:val="auto"/>
                <w:sz w:val="22"/>
                <w:szCs w:val="22"/>
                <w:lang w:eastAsia="lt-LT"/>
              </w:rPr>
              <w:t>Ethernet</w:t>
            </w:r>
            <w:proofErr w:type="spellEnd"/>
            <w:r w:rsidRPr="0076576C">
              <w:rPr>
                <w:rFonts w:eastAsia="Times New Roman"/>
                <w:color w:val="auto"/>
                <w:sz w:val="22"/>
                <w:szCs w:val="22"/>
                <w:lang w:eastAsia="lt-LT"/>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76576C">
              <w:rPr>
                <w:rFonts w:eastAsia="Times New Roman"/>
                <w:color w:val="auto"/>
                <w:sz w:val="22"/>
                <w:szCs w:val="22"/>
                <w:lang w:eastAsia="lt-LT"/>
              </w:rPr>
              <w:t>Ethernet</w:t>
            </w:r>
            <w:proofErr w:type="spellEnd"/>
            <w:r w:rsidRPr="0076576C">
              <w:rPr>
                <w:rFonts w:eastAsia="Times New Roman"/>
                <w:color w:val="auto"/>
                <w:sz w:val="22"/>
                <w:szCs w:val="22"/>
                <w:lang w:eastAsia="lt-LT"/>
              </w:rPr>
              <w:t xml:space="preserve"> tipo tinklu (10/100/1000BASE-T/TX), naudojant TCP/IP protokolą. Jeigu tiekėjo siūloma Sistema neturi galimybės </w:t>
            </w:r>
            <w:r w:rsidRPr="0076576C">
              <w:rPr>
                <w:rFonts w:eastAsia="Times New Roman"/>
                <w:bCs/>
                <w:color w:val="auto"/>
                <w:sz w:val="22"/>
                <w:szCs w:val="22"/>
                <w:lang w:eastAsia="lt-LT"/>
              </w:rPr>
              <w:t>tiesiogiai</w:t>
            </w:r>
            <w:r w:rsidRPr="0076576C">
              <w:rPr>
                <w:rFonts w:eastAsia="Times New Roman"/>
                <w:color w:val="auto"/>
                <w:sz w:val="22"/>
                <w:szCs w:val="22"/>
                <w:lang w:eastAsia="lt-LT"/>
              </w:rPr>
              <w:t> keistis informacija </w:t>
            </w:r>
            <w:r w:rsidRPr="0076576C">
              <w:rPr>
                <w:rFonts w:eastAsia="Times New Roman"/>
                <w:bCs/>
                <w:color w:val="auto"/>
                <w:sz w:val="22"/>
                <w:szCs w:val="22"/>
                <w:lang w:eastAsia="lt-LT"/>
              </w:rPr>
              <w:t>ASTM ir/arba HL7</w:t>
            </w:r>
            <w:r w:rsidRPr="0076576C">
              <w:rPr>
                <w:rFonts w:eastAsia="Times New Roman"/>
                <w:color w:val="auto"/>
                <w:sz w:val="22"/>
                <w:szCs w:val="22"/>
                <w:lang w:eastAsia="lt-LT"/>
              </w:rPr>
              <w:t> standarto protokolu </w:t>
            </w:r>
            <w:r w:rsidRPr="0076576C">
              <w:rPr>
                <w:rFonts w:eastAsia="Times New Roman"/>
                <w:bCs/>
                <w:color w:val="auto"/>
                <w:sz w:val="22"/>
                <w:szCs w:val="22"/>
                <w:lang w:eastAsia="lt-LT"/>
              </w:rPr>
              <w:t>(-</w:t>
            </w:r>
            <w:proofErr w:type="spellStart"/>
            <w:r w:rsidRPr="0076576C">
              <w:rPr>
                <w:rFonts w:eastAsia="Times New Roman"/>
                <w:bCs/>
                <w:color w:val="auto"/>
                <w:sz w:val="22"/>
                <w:szCs w:val="22"/>
                <w:lang w:eastAsia="lt-LT"/>
              </w:rPr>
              <w:t>ais</w:t>
            </w:r>
            <w:proofErr w:type="spellEnd"/>
            <w:r w:rsidRPr="0076576C">
              <w:rPr>
                <w:rFonts w:eastAsia="Times New Roman"/>
                <w:bCs/>
                <w:color w:val="auto"/>
                <w:sz w:val="22"/>
                <w:szCs w:val="22"/>
                <w:lang w:eastAsia="lt-LT"/>
              </w:rPr>
              <w:t>)</w:t>
            </w:r>
            <w:r w:rsidRPr="0076576C">
              <w:rPr>
                <w:rFonts w:eastAsia="Times New Roman"/>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76576C">
              <w:rPr>
                <w:rFonts w:eastAsia="Times New Roman"/>
                <w:color w:val="auto"/>
                <w:sz w:val="22"/>
                <w:szCs w:val="22"/>
                <w:lang w:eastAsia="lt-LT"/>
              </w:rPr>
              <w:t>Ethernet</w:t>
            </w:r>
            <w:proofErr w:type="spellEnd"/>
            <w:r w:rsidRPr="0076576C">
              <w:rPr>
                <w:rFonts w:eastAsia="Times New Roman"/>
                <w:color w:val="auto"/>
                <w:sz w:val="22"/>
                <w:szCs w:val="22"/>
                <w:lang w:eastAsia="lt-LT"/>
              </w:rPr>
              <w:t xml:space="preserve"> tipo tinklu (10/100/1000BASE-T/TX), naudojant TCP/IP protokolą.</w:t>
            </w:r>
          </w:p>
          <w:p w14:paraId="04CC52C2" w14:textId="77777777" w:rsidR="00D87CA5" w:rsidRPr="0076576C" w:rsidRDefault="00D87CA5" w:rsidP="007640E5">
            <w:pPr>
              <w:pStyle w:val="Default"/>
              <w:ind w:left="35"/>
              <w:jc w:val="both"/>
              <w:rPr>
                <w:color w:val="auto"/>
                <w:sz w:val="22"/>
                <w:szCs w:val="22"/>
              </w:rPr>
            </w:pPr>
            <w:r w:rsidRPr="0076576C">
              <w:rPr>
                <w:b/>
                <w:i/>
                <w:color w:val="auto"/>
                <w:sz w:val="22"/>
                <w:szCs w:val="22"/>
              </w:rPr>
              <w:t>Pastaba: 2. p. reikalavimų atitikimo pagrindimui būtina kartu su pasiūlymu konkursui pateikti atitinkamą tiekėjo ir/arba gamintojo patvirtinimą, nurodant konkrečius siūlomos Sistemos komunikavimo parametrus</w:t>
            </w:r>
            <w:r w:rsidRPr="0076576C">
              <w:rPr>
                <w:color w:val="auto"/>
                <w:sz w:val="22"/>
                <w:szCs w:val="22"/>
              </w:rPr>
              <w:t>.</w:t>
            </w:r>
          </w:p>
          <w:p w14:paraId="04CC52C3" w14:textId="77777777" w:rsidR="00D87CA5" w:rsidRPr="0076576C" w:rsidRDefault="00D87CA5" w:rsidP="007640E5">
            <w:pPr>
              <w:pStyle w:val="Default"/>
              <w:numPr>
                <w:ilvl w:val="0"/>
                <w:numId w:val="6"/>
              </w:numPr>
              <w:ind w:left="318" w:hanging="283"/>
              <w:jc w:val="both"/>
              <w:rPr>
                <w:color w:val="auto"/>
                <w:sz w:val="22"/>
                <w:szCs w:val="22"/>
              </w:rPr>
            </w:pPr>
            <w:r w:rsidRPr="0076576C">
              <w:rPr>
                <w:color w:val="auto"/>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04CC52C4" w14:textId="77777777" w:rsidR="00D87CA5" w:rsidRPr="0076576C" w:rsidRDefault="00D87CA5" w:rsidP="007640E5">
            <w:pPr>
              <w:pStyle w:val="Default"/>
              <w:ind w:left="35"/>
              <w:jc w:val="both"/>
              <w:rPr>
                <w:color w:val="auto"/>
                <w:sz w:val="22"/>
                <w:szCs w:val="22"/>
              </w:rPr>
            </w:pPr>
            <w:r w:rsidRPr="0076576C">
              <w:rPr>
                <w:b/>
                <w:i/>
                <w:color w:val="auto"/>
                <w:sz w:val="22"/>
                <w:szCs w:val="22"/>
              </w:rPr>
              <w:t>Pastaba: 3 p. reikalavimų atitikimo pagrindimui būtina kartu su pasiūlymu konkursui pateikti atitinkamą tiekėjo ir/arba gamintojo patvirtinimą</w:t>
            </w:r>
            <w:r w:rsidRPr="0076576C">
              <w:rPr>
                <w:color w:val="auto"/>
                <w:sz w:val="22"/>
                <w:szCs w:val="22"/>
              </w:rPr>
              <w:t>).</w:t>
            </w:r>
          </w:p>
          <w:p w14:paraId="04CC52C5" w14:textId="77777777" w:rsidR="00D87CA5" w:rsidRPr="0076576C" w:rsidRDefault="00D87CA5" w:rsidP="007640E5">
            <w:pPr>
              <w:pStyle w:val="Default"/>
              <w:numPr>
                <w:ilvl w:val="0"/>
                <w:numId w:val="6"/>
              </w:numPr>
              <w:ind w:left="318" w:hanging="283"/>
              <w:jc w:val="both"/>
              <w:rPr>
                <w:color w:val="auto"/>
                <w:sz w:val="22"/>
                <w:szCs w:val="22"/>
              </w:rPr>
            </w:pPr>
            <w:r w:rsidRPr="0076576C">
              <w:rPr>
                <w:color w:val="auto"/>
                <w:sz w:val="22"/>
                <w:szCs w:val="22"/>
              </w:rPr>
              <w:t>Pirkimo laimėjimo atveju Tiekėjas privalės savo jėgomis ir lėšomis:</w:t>
            </w:r>
          </w:p>
          <w:p w14:paraId="04CC52C6" w14:textId="77777777" w:rsidR="00D87CA5" w:rsidRPr="0076576C" w:rsidRDefault="00D87CA5" w:rsidP="007640E5">
            <w:pPr>
              <w:pStyle w:val="Default"/>
              <w:numPr>
                <w:ilvl w:val="1"/>
                <w:numId w:val="6"/>
              </w:numPr>
              <w:jc w:val="both"/>
              <w:rPr>
                <w:color w:val="auto"/>
                <w:sz w:val="22"/>
                <w:szCs w:val="22"/>
              </w:rPr>
            </w:pPr>
            <w:r w:rsidRPr="0076576C">
              <w:rPr>
                <w:color w:val="auto"/>
                <w:sz w:val="22"/>
                <w:szCs w:val="22"/>
              </w:rPr>
              <w:t xml:space="preserve">Teikti visokeriopą pagalbą konsultuojant pateiktos Sistemos integravimo į perkančiosios organizacijos LIS klausimais; </w:t>
            </w:r>
          </w:p>
          <w:p w14:paraId="04CC52C7" w14:textId="77777777" w:rsidR="00D87CA5" w:rsidRPr="0076576C" w:rsidRDefault="00D87CA5" w:rsidP="007640E5">
            <w:pPr>
              <w:pStyle w:val="Default"/>
              <w:numPr>
                <w:ilvl w:val="1"/>
                <w:numId w:val="6"/>
              </w:numPr>
              <w:jc w:val="both"/>
              <w:rPr>
                <w:color w:val="auto"/>
                <w:sz w:val="22"/>
                <w:szCs w:val="22"/>
              </w:rPr>
            </w:pPr>
            <w:r w:rsidRPr="0076576C">
              <w:rPr>
                <w:color w:val="auto"/>
                <w:sz w:val="22"/>
                <w:szCs w:val="22"/>
              </w:rPr>
              <w:t>Pateikti detalų Sistemos atliekamų tyrimų sąrašą su nurodytais tyrimų (jei tyrimai susideda iš daugiau nei vienos analitės, taip pat ir analičių) kodais, pavadinimais ir kitais duomenimis;</w:t>
            </w:r>
          </w:p>
          <w:p w14:paraId="04CC52C8" w14:textId="77777777" w:rsidR="00D87CA5" w:rsidRPr="0076576C" w:rsidRDefault="00D87CA5" w:rsidP="007640E5">
            <w:pPr>
              <w:pStyle w:val="Default"/>
              <w:numPr>
                <w:ilvl w:val="1"/>
                <w:numId w:val="6"/>
              </w:numPr>
              <w:jc w:val="both"/>
              <w:rPr>
                <w:color w:val="auto"/>
                <w:sz w:val="22"/>
                <w:szCs w:val="22"/>
              </w:rPr>
            </w:pPr>
            <w:r w:rsidRPr="0076576C">
              <w:rPr>
                <w:color w:val="auto"/>
                <w:sz w:val="22"/>
                <w:szCs w:val="22"/>
              </w:rPr>
              <w:lastRenderedPageBreak/>
              <w:t xml:space="preserve">Dalyvauti Sistemos sąsajos su perkančiosios organizacijos LIS testavime ir/arba </w:t>
            </w:r>
            <w:proofErr w:type="spellStart"/>
            <w:r w:rsidRPr="0076576C">
              <w:rPr>
                <w:color w:val="auto"/>
                <w:sz w:val="22"/>
                <w:szCs w:val="22"/>
              </w:rPr>
              <w:t>validavime</w:t>
            </w:r>
            <w:proofErr w:type="spellEnd"/>
            <w:r w:rsidRPr="0076576C">
              <w:rPr>
                <w:color w:val="auto"/>
                <w:sz w:val="22"/>
                <w:szCs w:val="22"/>
              </w:rPr>
              <w:t>.</w:t>
            </w:r>
          </w:p>
          <w:p w14:paraId="04CC52C9" w14:textId="77777777" w:rsidR="00D87CA5" w:rsidRPr="0076576C" w:rsidRDefault="00D87CA5" w:rsidP="007640E5">
            <w:pPr>
              <w:jc w:val="both"/>
              <w:rPr>
                <w:rFonts w:ascii="Times New Roman" w:hAnsi="Times New Roman" w:cs="Times New Roman"/>
                <w:color w:val="FF0000"/>
              </w:rPr>
            </w:pPr>
            <w:r w:rsidRPr="0076576C">
              <w:rPr>
                <w:rFonts w:ascii="Times New Roman" w:hAnsi="Times New Roman" w:cs="Times New Roman"/>
                <w:b/>
                <w:i/>
              </w:rPr>
              <w:t>Pastaba: 4 p. reikalavimų atitikimo pagrindimui būtina kartu su pasiūlymu konkursui pateikti atitinkamą tiekėjo ir/arba gamintojo įsipareigojimą</w:t>
            </w:r>
            <w:r w:rsidRPr="0076576C">
              <w:rPr>
                <w:rFonts w:ascii="Times New Roman" w:hAnsi="Times New Roman" w:cs="Times New Roman"/>
              </w:rPr>
              <w:t>).</w:t>
            </w:r>
          </w:p>
        </w:tc>
        <w:tc>
          <w:tcPr>
            <w:tcW w:w="4962" w:type="dxa"/>
          </w:tcPr>
          <w:p w14:paraId="04CC52CA" w14:textId="77777777" w:rsidR="00D87CA5" w:rsidRPr="00A36ADC" w:rsidRDefault="00D87CA5" w:rsidP="00A36ADC">
            <w:pPr>
              <w:pStyle w:val="Default"/>
              <w:ind w:left="318"/>
              <w:jc w:val="both"/>
              <w:rPr>
                <w:color w:val="auto"/>
                <w:sz w:val="22"/>
                <w:szCs w:val="22"/>
              </w:rPr>
            </w:pPr>
          </w:p>
          <w:p w14:paraId="48E93AC8" w14:textId="77777777" w:rsidR="0058251B" w:rsidRDefault="0058251B" w:rsidP="0058251B">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p w14:paraId="04CC52CB" w14:textId="77777777" w:rsidR="00D87CA5" w:rsidRDefault="00D87CA5" w:rsidP="00A36ADC">
            <w:pPr>
              <w:pStyle w:val="Default"/>
              <w:ind w:left="318"/>
              <w:jc w:val="both"/>
              <w:rPr>
                <w:rFonts w:eastAsia="Times New Roman"/>
                <w:color w:val="auto"/>
                <w:sz w:val="22"/>
                <w:szCs w:val="22"/>
                <w:lang w:eastAsia="lt-LT"/>
              </w:rPr>
            </w:pPr>
          </w:p>
          <w:p w14:paraId="04CC52CC" w14:textId="77777777" w:rsidR="00D87CA5" w:rsidRDefault="00D87CA5" w:rsidP="00A36ADC">
            <w:pPr>
              <w:pStyle w:val="Default"/>
              <w:ind w:left="318"/>
              <w:jc w:val="both"/>
              <w:rPr>
                <w:rFonts w:eastAsia="Times New Roman"/>
                <w:color w:val="auto"/>
                <w:sz w:val="22"/>
                <w:szCs w:val="22"/>
                <w:lang w:eastAsia="lt-LT"/>
              </w:rPr>
            </w:pPr>
          </w:p>
          <w:p w14:paraId="04CC52CD" w14:textId="77777777" w:rsidR="00D87CA5" w:rsidRDefault="00D87CA5" w:rsidP="00A36ADC">
            <w:pPr>
              <w:pStyle w:val="Default"/>
              <w:ind w:left="318"/>
              <w:jc w:val="both"/>
              <w:rPr>
                <w:rFonts w:eastAsia="Times New Roman"/>
                <w:color w:val="auto"/>
                <w:sz w:val="22"/>
                <w:szCs w:val="22"/>
                <w:lang w:eastAsia="lt-LT"/>
              </w:rPr>
            </w:pPr>
          </w:p>
          <w:p w14:paraId="04CC52CE" w14:textId="77777777" w:rsidR="00D87CA5" w:rsidRDefault="00D87CA5" w:rsidP="00A36ADC">
            <w:pPr>
              <w:pStyle w:val="Default"/>
              <w:ind w:left="318"/>
              <w:jc w:val="both"/>
              <w:rPr>
                <w:rFonts w:eastAsia="Times New Roman"/>
                <w:color w:val="auto"/>
                <w:sz w:val="22"/>
                <w:szCs w:val="22"/>
                <w:lang w:eastAsia="lt-LT"/>
              </w:rPr>
            </w:pPr>
          </w:p>
          <w:p w14:paraId="04CC52CF" w14:textId="77777777" w:rsidR="00D87CA5" w:rsidRDefault="00D87CA5" w:rsidP="00A36ADC">
            <w:pPr>
              <w:pStyle w:val="Default"/>
              <w:ind w:left="318"/>
              <w:jc w:val="both"/>
              <w:rPr>
                <w:rFonts w:eastAsia="Times New Roman"/>
                <w:color w:val="auto"/>
                <w:sz w:val="22"/>
                <w:szCs w:val="22"/>
                <w:lang w:eastAsia="lt-LT"/>
              </w:rPr>
            </w:pPr>
          </w:p>
          <w:p w14:paraId="04CC52D0" w14:textId="77777777" w:rsidR="00D87CA5" w:rsidRDefault="00D87CA5" w:rsidP="00A36ADC">
            <w:pPr>
              <w:pStyle w:val="Default"/>
              <w:ind w:left="318"/>
              <w:jc w:val="both"/>
              <w:rPr>
                <w:rFonts w:eastAsia="Times New Roman"/>
                <w:color w:val="auto"/>
                <w:sz w:val="22"/>
                <w:szCs w:val="22"/>
                <w:lang w:eastAsia="lt-LT"/>
              </w:rPr>
            </w:pPr>
          </w:p>
          <w:p w14:paraId="04CC52D1" w14:textId="77777777" w:rsidR="00D87CA5" w:rsidRDefault="00D87CA5" w:rsidP="00A36ADC">
            <w:pPr>
              <w:pStyle w:val="Default"/>
              <w:ind w:left="318"/>
              <w:jc w:val="both"/>
              <w:rPr>
                <w:rFonts w:eastAsia="Times New Roman"/>
                <w:color w:val="auto"/>
                <w:sz w:val="22"/>
                <w:szCs w:val="22"/>
                <w:lang w:eastAsia="lt-LT"/>
              </w:rPr>
            </w:pPr>
          </w:p>
          <w:p w14:paraId="04CC52D2" w14:textId="77777777" w:rsidR="00D87CA5" w:rsidRDefault="00D87CA5" w:rsidP="00A36ADC">
            <w:pPr>
              <w:pStyle w:val="Default"/>
              <w:ind w:left="318"/>
              <w:jc w:val="both"/>
              <w:rPr>
                <w:rFonts w:eastAsia="Times New Roman"/>
                <w:color w:val="auto"/>
                <w:sz w:val="22"/>
                <w:szCs w:val="22"/>
                <w:lang w:eastAsia="lt-LT"/>
              </w:rPr>
            </w:pPr>
          </w:p>
          <w:p w14:paraId="04CC52D3" w14:textId="77777777" w:rsidR="00D87CA5" w:rsidRPr="00855DAC" w:rsidRDefault="00D87CA5" w:rsidP="00F40171">
            <w:pPr>
              <w:pStyle w:val="Default"/>
              <w:jc w:val="both"/>
              <w:rPr>
                <w:color w:val="auto"/>
                <w:sz w:val="22"/>
                <w:szCs w:val="22"/>
              </w:rPr>
            </w:pPr>
          </w:p>
        </w:tc>
      </w:tr>
      <w:tr w:rsidR="00D87CA5" w:rsidRPr="00960288" w14:paraId="04CC52D9" w14:textId="77777777" w:rsidTr="00E72419">
        <w:tc>
          <w:tcPr>
            <w:tcW w:w="675" w:type="dxa"/>
          </w:tcPr>
          <w:p w14:paraId="04CC52D5" w14:textId="77777777" w:rsidR="00D87CA5" w:rsidRPr="00960288" w:rsidRDefault="00D87CA5" w:rsidP="00545137">
            <w:pPr>
              <w:pStyle w:val="Default"/>
              <w:jc w:val="center"/>
              <w:rPr>
                <w:color w:val="000000" w:themeColor="text1"/>
                <w:sz w:val="22"/>
                <w:szCs w:val="22"/>
              </w:rPr>
            </w:pPr>
            <w:r w:rsidRPr="00960288">
              <w:rPr>
                <w:color w:val="000000" w:themeColor="text1"/>
                <w:sz w:val="22"/>
                <w:szCs w:val="22"/>
              </w:rPr>
              <w:lastRenderedPageBreak/>
              <w:t>3.</w:t>
            </w:r>
          </w:p>
        </w:tc>
        <w:tc>
          <w:tcPr>
            <w:tcW w:w="3544" w:type="dxa"/>
          </w:tcPr>
          <w:p w14:paraId="04CC52D6" w14:textId="77777777" w:rsidR="00D87CA5" w:rsidRPr="00960288" w:rsidRDefault="00D87CA5" w:rsidP="00545137">
            <w:pPr>
              <w:pStyle w:val="Default"/>
              <w:rPr>
                <w:color w:val="000000" w:themeColor="text1"/>
                <w:sz w:val="22"/>
                <w:szCs w:val="22"/>
              </w:rPr>
            </w:pPr>
            <w:r w:rsidRPr="00960288">
              <w:rPr>
                <w:color w:val="000000" w:themeColor="text1"/>
                <w:sz w:val="22"/>
                <w:szCs w:val="22"/>
              </w:rPr>
              <w:t>Reikalavimai tyrimams</w:t>
            </w:r>
          </w:p>
        </w:tc>
        <w:tc>
          <w:tcPr>
            <w:tcW w:w="5953" w:type="dxa"/>
          </w:tcPr>
          <w:p w14:paraId="04CC52D7" w14:textId="77777777" w:rsidR="00D87CA5" w:rsidRPr="00960288" w:rsidRDefault="00D87CA5" w:rsidP="00545137">
            <w:pPr>
              <w:jc w:val="both"/>
              <w:rPr>
                <w:rFonts w:ascii="Times New Roman" w:hAnsi="Times New Roman" w:cs="Times New Roman"/>
                <w:color w:val="000000" w:themeColor="text1"/>
              </w:rPr>
            </w:pPr>
          </w:p>
        </w:tc>
        <w:tc>
          <w:tcPr>
            <w:tcW w:w="4962" w:type="dxa"/>
          </w:tcPr>
          <w:p w14:paraId="04CC52D8" w14:textId="77777777" w:rsidR="00D87CA5" w:rsidRPr="00960288" w:rsidRDefault="00D87CA5" w:rsidP="00545137">
            <w:pPr>
              <w:jc w:val="center"/>
              <w:rPr>
                <w:rFonts w:ascii="Times New Roman" w:hAnsi="Times New Roman" w:cs="Times New Roman"/>
                <w:i/>
                <w:color w:val="000000" w:themeColor="text1"/>
              </w:rPr>
            </w:pPr>
          </w:p>
        </w:tc>
      </w:tr>
      <w:tr w:rsidR="00D87CA5" w:rsidRPr="00960288" w14:paraId="04CC52DF" w14:textId="77777777" w:rsidTr="00E72419">
        <w:tc>
          <w:tcPr>
            <w:tcW w:w="675" w:type="dxa"/>
          </w:tcPr>
          <w:p w14:paraId="04CC52DA" w14:textId="77777777" w:rsidR="00D87CA5" w:rsidRPr="00960288" w:rsidRDefault="00D87CA5" w:rsidP="00545137">
            <w:pPr>
              <w:pStyle w:val="Default"/>
              <w:jc w:val="center"/>
              <w:rPr>
                <w:color w:val="000000" w:themeColor="text1"/>
                <w:sz w:val="22"/>
                <w:szCs w:val="22"/>
              </w:rPr>
            </w:pPr>
            <w:r w:rsidRPr="00960288">
              <w:rPr>
                <w:color w:val="000000" w:themeColor="text1"/>
                <w:sz w:val="22"/>
                <w:szCs w:val="22"/>
              </w:rPr>
              <w:t>3.1.</w:t>
            </w:r>
          </w:p>
        </w:tc>
        <w:tc>
          <w:tcPr>
            <w:tcW w:w="3544" w:type="dxa"/>
          </w:tcPr>
          <w:p w14:paraId="04CC52DB" w14:textId="77777777" w:rsidR="00D87CA5" w:rsidRPr="00960288" w:rsidRDefault="00D87CA5" w:rsidP="00545137">
            <w:pPr>
              <w:pStyle w:val="Default"/>
              <w:rPr>
                <w:color w:val="000000" w:themeColor="text1"/>
                <w:sz w:val="22"/>
                <w:szCs w:val="22"/>
              </w:rPr>
            </w:pPr>
          </w:p>
        </w:tc>
        <w:tc>
          <w:tcPr>
            <w:tcW w:w="5953" w:type="dxa"/>
          </w:tcPr>
          <w:p w14:paraId="04CC52DC" w14:textId="77777777" w:rsidR="00D87CA5" w:rsidRPr="00960288" w:rsidRDefault="00D87CA5" w:rsidP="00545137">
            <w:pPr>
              <w:jc w:val="both"/>
              <w:rPr>
                <w:rFonts w:ascii="Times New Roman" w:hAnsi="Times New Roman" w:cs="Times New Roman"/>
                <w:color w:val="000000" w:themeColor="text1"/>
              </w:rPr>
            </w:pPr>
            <w:r>
              <w:rPr>
                <w:rFonts w:ascii="Times New Roman" w:hAnsi="Times New Roman" w:cs="Times New Roman"/>
                <w:color w:val="000000" w:themeColor="text1"/>
              </w:rPr>
              <w:t>Turi būti nustatoma kiekybinė gliukozės koncentracija kapiliariniame kraujyje.</w:t>
            </w:r>
          </w:p>
        </w:tc>
        <w:tc>
          <w:tcPr>
            <w:tcW w:w="4962" w:type="dxa"/>
          </w:tcPr>
          <w:p w14:paraId="04CC52DD" w14:textId="77777777" w:rsidR="00D87CA5" w:rsidRPr="00960288" w:rsidRDefault="00D87CA5" w:rsidP="008467A8">
            <w:pPr>
              <w:pStyle w:val="ListParagraph"/>
              <w:ind w:left="360"/>
              <w:jc w:val="center"/>
              <w:rPr>
                <w:rFonts w:ascii="Times New Roman" w:hAnsi="Times New Roman" w:cs="Times New Roman"/>
                <w:bCs/>
                <w:strike/>
                <w:color w:val="000000"/>
              </w:rPr>
            </w:pPr>
            <w:r w:rsidRPr="00960288">
              <w:rPr>
                <w:rFonts w:ascii="Times New Roman" w:hAnsi="Times New Roman" w:cs="Times New Roman"/>
                <w:i/>
                <w:color w:val="000000" w:themeColor="text1"/>
              </w:rPr>
              <w:t>įrašo tiekėjas</w:t>
            </w:r>
          </w:p>
          <w:p w14:paraId="04CC52DE" w14:textId="77777777" w:rsidR="00D87CA5" w:rsidRPr="00960288" w:rsidRDefault="00D87CA5" w:rsidP="008467A8">
            <w:pPr>
              <w:rPr>
                <w:rFonts w:ascii="Times New Roman" w:hAnsi="Times New Roman" w:cs="Times New Roman"/>
                <w:i/>
                <w:color w:val="000000" w:themeColor="text1"/>
              </w:rPr>
            </w:pPr>
          </w:p>
        </w:tc>
      </w:tr>
      <w:tr w:rsidR="00D87CA5" w:rsidRPr="00960288" w14:paraId="04CC52E6" w14:textId="77777777" w:rsidTr="00E72419">
        <w:tc>
          <w:tcPr>
            <w:tcW w:w="675" w:type="dxa"/>
          </w:tcPr>
          <w:p w14:paraId="04CC52E0" w14:textId="77777777" w:rsidR="00D87CA5" w:rsidRPr="00960288" w:rsidRDefault="00D87CA5" w:rsidP="00416960">
            <w:pPr>
              <w:pStyle w:val="Default"/>
              <w:jc w:val="center"/>
              <w:rPr>
                <w:color w:val="000000" w:themeColor="text1"/>
                <w:sz w:val="22"/>
                <w:szCs w:val="22"/>
              </w:rPr>
            </w:pPr>
            <w:r w:rsidRPr="00960288">
              <w:rPr>
                <w:color w:val="000000" w:themeColor="text1"/>
                <w:sz w:val="22"/>
                <w:szCs w:val="22"/>
              </w:rPr>
              <w:t>3.</w:t>
            </w:r>
            <w:r>
              <w:rPr>
                <w:color w:val="000000" w:themeColor="text1"/>
                <w:sz w:val="22"/>
                <w:szCs w:val="22"/>
              </w:rPr>
              <w:t>2</w:t>
            </w:r>
            <w:r w:rsidRPr="00960288">
              <w:rPr>
                <w:color w:val="000000" w:themeColor="text1"/>
                <w:sz w:val="22"/>
                <w:szCs w:val="22"/>
              </w:rPr>
              <w:t>.</w:t>
            </w:r>
          </w:p>
        </w:tc>
        <w:tc>
          <w:tcPr>
            <w:tcW w:w="3544" w:type="dxa"/>
          </w:tcPr>
          <w:p w14:paraId="04CC52E1" w14:textId="77777777" w:rsidR="00D87CA5" w:rsidRPr="00960288" w:rsidRDefault="00D87CA5" w:rsidP="00545137">
            <w:pPr>
              <w:pStyle w:val="Default"/>
              <w:rPr>
                <w:color w:val="000000" w:themeColor="text1"/>
                <w:sz w:val="22"/>
                <w:szCs w:val="22"/>
              </w:rPr>
            </w:pPr>
          </w:p>
        </w:tc>
        <w:tc>
          <w:tcPr>
            <w:tcW w:w="5953" w:type="dxa"/>
          </w:tcPr>
          <w:p w14:paraId="04CC52E2" w14:textId="77777777" w:rsidR="00D87CA5" w:rsidRPr="00CC41BB" w:rsidRDefault="00D87CA5" w:rsidP="00CC4077">
            <w:pPr>
              <w:rPr>
                <w:rFonts w:ascii="Times New Roman" w:hAnsi="Times New Roman" w:cs="Times New Roman"/>
                <w:color w:val="000000" w:themeColor="text1"/>
              </w:rPr>
            </w:pPr>
            <w:r w:rsidRPr="00CC41BB">
              <w:rPr>
                <w:rFonts w:ascii="Times New Roman" w:hAnsi="Times New Roman" w:cs="Times New Roman"/>
                <w:color w:val="000000" w:themeColor="text1"/>
              </w:rPr>
              <w:t xml:space="preserve">Tyrimo metodika, reagentų, kontrolinių medžiagų  aprašymai kartu su pasiūlymu konkursui turi būti pateikti anglų kalba elektronine, o laimėjimo atveju – anglų ir lietuvių kalbomis spausdinta forma </w:t>
            </w:r>
            <w:r w:rsidRPr="00CC41BB">
              <w:rPr>
                <w:rFonts w:ascii="Times New Roman" w:eastAsia="Times New Roman" w:hAnsi="Times New Roman" w:cs="Times New Roman"/>
                <w:color w:val="000000" w:themeColor="text1"/>
                <w:lang w:eastAsia="lt-LT"/>
              </w:rPr>
              <w:t>(</w:t>
            </w:r>
            <w:r w:rsidRPr="00CC41BB">
              <w:rPr>
                <w:rFonts w:ascii="Times New Roman" w:hAnsi="Times New Roman" w:cs="Times New Roman"/>
                <w:b/>
                <w:i/>
                <w:color w:val="000000" w:themeColor="text1"/>
              </w:rPr>
              <w:t>būtinas atitinkamas tiekėjo patvirtinimas</w:t>
            </w:r>
            <w:r w:rsidRPr="00CC41BB">
              <w:rPr>
                <w:rFonts w:ascii="Times New Roman" w:hAnsi="Times New Roman" w:cs="Times New Roman"/>
                <w:color w:val="000000" w:themeColor="text1"/>
              </w:rPr>
              <w:t>).</w:t>
            </w:r>
          </w:p>
        </w:tc>
        <w:tc>
          <w:tcPr>
            <w:tcW w:w="4962" w:type="dxa"/>
          </w:tcPr>
          <w:p w14:paraId="04CC52E3" w14:textId="77777777" w:rsidR="00D87CA5" w:rsidRPr="00960288" w:rsidRDefault="00D87CA5" w:rsidP="00960288">
            <w:pPr>
              <w:pStyle w:val="ListParagraph"/>
              <w:ind w:left="360"/>
              <w:jc w:val="center"/>
              <w:rPr>
                <w:rFonts w:ascii="Times New Roman" w:hAnsi="Times New Roman" w:cs="Times New Roman"/>
                <w:bCs/>
                <w:strike/>
                <w:color w:val="000000"/>
              </w:rPr>
            </w:pPr>
            <w:r w:rsidRPr="00960288">
              <w:rPr>
                <w:rFonts w:ascii="Times New Roman" w:hAnsi="Times New Roman" w:cs="Times New Roman"/>
                <w:i/>
                <w:color w:val="000000" w:themeColor="text1"/>
              </w:rPr>
              <w:t>įrašo tiekėjas</w:t>
            </w:r>
          </w:p>
          <w:p w14:paraId="04CC52E4" w14:textId="77777777" w:rsidR="00D87CA5" w:rsidRPr="00960288" w:rsidRDefault="00D87CA5" w:rsidP="00013CE3">
            <w:pPr>
              <w:pStyle w:val="ListParagraph"/>
              <w:ind w:left="360"/>
              <w:rPr>
                <w:rFonts w:ascii="Times New Roman" w:hAnsi="Times New Roman" w:cs="Times New Roman"/>
                <w:bCs/>
                <w:strike/>
                <w:color w:val="000000"/>
              </w:rPr>
            </w:pPr>
          </w:p>
          <w:p w14:paraId="04CC52E5" w14:textId="77777777" w:rsidR="00D87CA5" w:rsidRPr="00960288" w:rsidRDefault="00D87CA5" w:rsidP="00C021CD">
            <w:pPr>
              <w:rPr>
                <w:rFonts w:ascii="Times New Roman" w:hAnsi="Times New Roman" w:cs="Times New Roman"/>
                <w:i/>
                <w:color w:val="000000" w:themeColor="text1"/>
              </w:rPr>
            </w:pPr>
          </w:p>
        </w:tc>
      </w:tr>
      <w:tr w:rsidR="00D87CA5" w:rsidRPr="00960288" w14:paraId="04CC52EB" w14:textId="77777777" w:rsidTr="00E72419">
        <w:tc>
          <w:tcPr>
            <w:tcW w:w="675" w:type="dxa"/>
          </w:tcPr>
          <w:p w14:paraId="04CC52E7" w14:textId="77777777" w:rsidR="00D87CA5" w:rsidRPr="00960288" w:rsidRDefault="00D87CA5" w:rsidP="00442F08">
            <w:pPr>
              <w:pStyle w:val="Default"/>
              <w:rPr>
                <w:color w:val="000000" w:themeColor="text1"/>
                <w:sz w:val="22"/>
                <w:szCs w:val="22"/>
              </w:rPr>
            </w:pPr>
            <w:r w:rsidRPr="00960288">
              <w:rPr>
                <w:color w:val="000000" w:themeColor="text1"/>
                <w:sz w:val="22"/>
                <w:szCs w:val="22"/>
              </w:rPr>
              <w:t>4.</w:t>
            </w:r>
          </w:p>
        </w:tc>
        <w:tc>
          <w:tcPr>
            <w:tcW w:w="3544" w:type="dxa"/>
          </w:tcPr>
          <w:p w14:paraId="04CC52E8" w14:textId="77777777" w:rsidR="00D87CA5" w:rsidRPr="00960288" w:rsidRDefault="00D87CA5" w:rsidP="00442F08">
            <w:pPr>
              <w:pStyle w:val="Default"/>
              <w:rPr>
                <w:color w:val="000000" w:themeColor="text1"/>
                <w:sz w:val="22"/>
                <w:szCs w:val="22"/>
              </w:rPr>
            </w:pPr>
            <w:r w:rsidRPr="00960288">
              <w:rPr>
                <w:color w:val="000000" w:themeColor="text1"/>
                <w:sz w:val="22"/>
                <w:szCs w:val="22"/>
              </w:rPr>
              <w:t>Reikalavimai reagentams ir papildomoms priemonėms</w:t>
            </w:r>
          </w:p>
        </w:tc>
        <w:tc>
          <w:tcPr>
            <w:tcW w:w="5953" w:type="dxa"/>
          </w:tcPr>
          <w:p w14:paraId="04CC52E9" w14:textId="77777777" w:rsidR="00D87CA5" w:rsidRPr="00CC41BB" w:rsidRDefault="00D87CA5" w:rsidP="00AA2AD4">
            <w:pPr>
              <w:jc w:val="both"/>
              <w:rPr>
                <w:rFonts w:ascii="Times New Roman" w:hAnsi="Times New Roman" w:cs="Times New Roman"/>
                <w:color w:val="000000" w:themeColor="text1"/>
              </w:rPr>
            </w:pPr>
          </w:p>
        </w:tc>
        <w:tc>
          <w:tcPr>
            <w:tcW w:w="4962" w:type="dxa"/>
          </w:tcPr>
          <w:p w14:paraId="04CC52EA" w14:textId="77777777" w:rsidR="00D87CA5" w:rsidRPr="00960288" w:rsidRDefault="00D87CA5" w:rsidP="00545137">
            <w:pPr>
              <w:jc w:val="center"/>
              <w:rPr>
                <w:rFonts w:ascii="Times New Roman" w:hAnsi="Times New Roman" w:cs="Times New Roman"/>
                <w:i/>
                <w:color w:val="000000" w:themeColor="text1"/>
              </w:rPr>
            </w:pPr>
          </w:p>
        </w:tc>
      </w:tr>
      <w:tr w:rsidR="00D87CA5" w:rsidRPr="00960288" w14:paraId="04CC52F0" w14:textId="77777777" w:rsidTr="00E72419">
        <w:tc>
          <w:tcPr>
            <w:tcW w:w="675" w:type="dxa"/>
          </w:tcPr>
          <w:p w14:paraId="04CC52EC" w14:textId="77777777" w:rsidR="00D87CA5" w:rsidRPr="00960288" w:rsidRDefault="00D87CA5" w:rsidP="00730F15">
            <w:pPr>
              <w:pStyle w:val="Default"/>
              <w:rPr>
                <w:color w:val="000000" w:themeColor="text1"/>
                <w:sz w:val="22"/>
                <w:szCs w:val="22"/>
              </w:rPr>
            </w:pPr>
            <w:r w:rsidRPr="00960288">
              <w:rPr>
                <w:color w:val="000000" w:themeColor="text1"/>
                <w:sz w:val="22"/>
                <w:szCs w:val="22"/>
              </w:rPr>
              <w:t>4.1.</w:t>
            </w:r>
          </w:p>
        </w:tc>
        <w:tc>
          <w:tcPr>
            <w:tcW w:w="3544" w:type="dxa"/>
          </w:tcPr>
          <w:p w14:paraId="04CC52ED" w14:textId="77777777" w:rsidR="00D87CA5" w:rsidRPr="00960288" w:rsidRDefault="00D87CA5" w:rsidP="00442F08">
            <w:pPr>
              <w:pStyle w:val="Default"/>
              <w:rPr>
                <w:color w:val="000000" w:themeColor="text1"/>
                <w:sz w:val="22"/>
                <w:szCs w:val="22"/>
              </w:rPr>
            </w:pPr>
          </w:p>
        </w:tc>
        <w:tc>
          <w:tcPr>
            <w:tcW w:w="5953" w:type="dxa"/>
          </w:tcPr>
          <w:p w14:paraId="04CC52EE" w14:textId="77777777" w:rsidR="00D87CA5" w:rsidRPr="00CC41BB" w:rsidRDefault="00D87CA5" w:rsidP="00AA2AD4">
            <w:pPr>
              <w:jc w:val="both"/>
              <w:rPr>
                <w:rFonts w:ascii="Times New Roman" w:hAnsi="Times New Roman" w:cs="Times New Roman"/>
                <w:color w:val="000000" w:themeColor="text1"/>
              </w:rPr>
            </w:pPr>
            <w:r w:rsidRPr="00CC41BB">
              <w:rPr>
                <w:rFonts w:ascii="Times New Roman" w:hAnsi="Times New Roman" w:cs="Times New Roman"/>
                <w:color w:val="000000" w:themeColor="text1"/>
              </w:rPr>
              <w:t>Pasiūlymas turi būti pateiktas visai techninėje specifikacijoje nurodytai apimčiai,  pilnai atitinkantis techninius reikalavimus panaudai teikiamai decentralizuotų kapiliarinės gliukozės tyrimų atlikimo sistemai ir diagnostiniams reagentams bei papildomoms priemonėms.</w:t>
            </w:r>
          </w:p>
        </w:tc>
        <w:tc>
          <w:tcPr>
            <w:tcW w:w="4962" w:type="dxa"/>
          </w:tcPr>
          <w:p w14:paraId="04CC52EF" w14:textId="77777777" w:rsidR="00D87CA5" w:rsidRPr="00960288" w:rsidRDefault="00D87CA5" w:rsidP="009C2208">
            <w:pPr>
              <w:jc w:val="center"/>
              <w:rPr>
                <w:rFonts w:ascii="Times New Roman" w:hAnsi="Times New Roman" w:cs="Times New Roman"/>
                <w:color w:val="000000" w:themeColor="text1"/>
              </w:rPr>
            </w:pPr>
            <w:r w:rsidRPr="00960288">
              <w:rPr>
                <w:rFonts w:ascii="Times New Roman" w:hAnsi="Times New Roman" w:cs="Times New Roman"/>
                <w:i/>
                <w:color w:val="000000" w:themeColor="text1"/>
              </w:rPr>
              <w:t>įrašo tiekėjas</w:t>
            </w:r>
          </w:p>
        </w:tc>
      </w:tr>
      <w:tr w:rsidR="00D87CA5" w:rsidRPr="00960288" w14:paraId="04CC52F7" w14:textId="77777777" w:rsidTr="00E72419">
        <w:tc>
          <w:tcPr>
            <w:tcW w:w="675" w:type="dxa"/>
          </w:tcPr>
          <w:p w14:paraId="04CC52F1" w14:textId="77777777" w:rsidR="00D87CA5" w:rsidRPr="00960288" w:rsidRDefault="00D87CA5" w:rsidP="00730F15">
            <w:pPr>
              <w:pStyle w:val="Default"/>
              <w:rPr>
                <w:color w:val="000000" w:themeColor="text1"/>
                <w:sz w:val="22"/>
                <w:szCs w:val="22"/>
              </w:rPr>
            </w:pPr>
            <w:r w:rsidRPr="00960288">
              <w:rPr>
                <w:color w:val="000000" w:themeColor="text1"/>
                <w:sz w:val="22"/>
                <w:szCs w:val="22"/>
              </w:rPr>
              <w:t>4.2.</w:t>
            </w:r>
          </w:p>
        </w:tc>
        <w:tc>
          <w:tcPr>
            <w:tcW w:w="3544" w:type="dxa"/>
          </w:tcPr>
          <w:p w14:paraId="04CC52F2" w14:textId="77777777" w:rsidR="00D87CA5" w:rsidRPr="00960288" w:rsidRDefault="00D87CA5" w:rsidP="00442F08">
            <w:pPr>
              <w:pStyle w:val="Default"/>
              <w:rPr>
                <w:color w:val="000000" w:themeColor="text1"/>
                <w:sz w:val="22"/>
                <w:szCs w:val="22"/>
              </w:rPr>
            </w:pPr>
          </w:p>
        </w:tc>
        <w:tc>
          <w:tcPr>
            <w:tcW w:w="5953" w:type="dxa"/>
          </w:tcPr>
          <w:p w14:paraId="04CC52F3" w14:textId="77777777" w:rsidR="00D87CA5" w:rsidRPr="006E7F80" w:rsidRDefault="00D87CA5" w:rsidP="0067372A">
            <w:pPr>
              <w:jc w:val="both"/>
              <w:rPr>
                <w:rFonts w:ascii="Times New Roman" w:hAnsi="Times New Roman" w:cs="Times New Roman"/>
                <w:strike/>
              </w:rPr>
            </w:pPr>
            <w:r w:rsidRPr="006E7F80">
              <w:rPr>
                <w:rFonts w:ascii="Times New Roman" w:eastAsia="Times New Roman" w:hAnsi="Times New Roman" w:cs="Times New Roman"/>
                <w:lang w:eastAsia="lt-LT"/>
              </w:rPr>
              <w:t xml:space="preserve">Visos siūlomos priemonės, reikalingos </w:t>
            </w:r>
            <w:r w:rsidRPr="006E7F80">
              <w:rPr>
                <w:rFonts w:ascii="Times New Roman" w:hAnsi="Times New Roman" w:cs="Times New Roman"/>
              </w:rPr>
              <w:t>nurodytų tyrimų  atlikimui</w:t>
            </w:r>
            <w:r w:rsidRPr="006E7F80">
              <w:rPr>
                <w:rFonts w:ascii="Times New Roman" w:eastAsia="Times New Roman" w:hAnsi="Times New Roman" w:cs="Times New Roman"/>
                <w:lang w:eastAsia="lt-LT"/>
              </w:rPr>
              <w:t xml:space="preserve">, turi būti tinkamos darbui su </w:t>
            </w:r>
            <w:r>
              <w:rPr>
                <w:rFonts w:ascii="Times New Roman" w:eastAsia="Times New Roman" w:hAnsi="Times New Roman" w:cs="Times New Roman"/>
                <w:lang w:eastAsia="lt-LT"/>
              </w:rPr>
              <w:t xml:space="preserve">panaudai </w:t>
            </w:r>
            <w:r w:rsidRPr="006E7F80">
              <w:rPr>
                <w:rFonts w:ascii="Times New Roman" w:eastAsia="Times New Roman" w:hAnsi="Times New Roman" w:cs="Times New Roman"/>
                <w:lang w:eastAsia="lt-LT"/>
              </w:rPr>
              <w:t>siūlom</w:t>
            </w:r>
            <w:r>
              <w:rPr>
                <w:rFonts w:ascii="Times New Roman" w:eastAsia="Times New Roman" w:hAnsi="Times New Roman" w:cs="Times New Roman"/>
                <w:lang w:eastAsia="lt-LT"/>
              </w:rPr>
              <w:t>ais</w:t>
            </w:r>
            <w:r w:rsidRPr="006E7F80">
              <w:rPr>
                <w:rFonts w:ascii="Times New Roman" w:eastAsia="Times New Roman" w:hAnsi="Times New Roman" w:cs="Times New Roman"/>
                <w:lang w:eastAsia="lt-LT"/>
              </w:rPr>
              <w:t xml:space="preserve"> analizatori</w:t>
            </w:r>
            <w:r>
              <w:rPr>
                <w:rFonts w:ascii="Times New Roman" w:eastAsia="Times New Roman" w:hAnsi="Times New Roman" w:cs="Times New Roman"/>
                <w:lang w:eastAsia="lt-LT"/>
              </w:rPr>
              <w:t>ais</w:t>
            </w:r>
            <w:r w:rsidRPr="006E7F80">
              <w:rPr>
                <w:rFonts w:ascii="Times New Roman" w:eastAsia="Times New Roman" w:hAnsi="Times New Roman" w:cs="Times New Roman"/>
                <w:lang w:eastAsia="lt-LT"/>
              </w:rPr>
              <w:t xml:space="preserve">. </w:t>
            </w:r>
            <w:r w:rsidRPr="006E7F80">
              <w:rPr>
                <w:rFonts w:ascii="Times New Roman" w:hAnsi="Times New Roman" w:cs="Times New Roman"/>
              </w:rPr>
              <w:t>Jei siūlomi kito gamintojo (nei siūlom</w:t>
            </w:r>
            <w:r>
              <w:rPr>
                <w:rFonts w:ascii="Times New Roman" w:hAnsi="Times New Roman" w:cs="Times New Roman"/>
              </w:rPr>
              <w:t xml:space="preserve">i </w:t>
            </w:r>
            <w:r w:rsidRPr="006E7F80">
              <w:rPr>
                <w:rFonts w:ascii="Times New Roman" w:hAnsi="Times New Roman" w:cs="Times New Roman"/>
              </w:rPr>
              <w:t>analizator</w:t>
            </w:r>
            <w:r>
              <w:rPr>
                <w:rFonts w:ascii="Times New Roman" w:hAnsi="Times New Roman" w:cs="Times New Roman"/>
              </w:rPr>
              <w:t>iai</w:t>
            </w:r>
            <w:r w:rsidRPr="006E7F80">
              <w:rPr>
                <w:rFonts w:ascii="Times New Roman" w:hAnsi="Times New Roman" w:cs="Times New Roman"/>
              </w:rPr>
              <w:t xml:space="preserve">) reagentai (tame tarpe ir kontrolinės medžiagos) ir papildomos priemonės, kartu su pasiūlymu konkursui turi būti pateiktas </w:t>
            </w:r>
            <w:r>
              <w:rPr>
                <w:rFonts w:ascii="Times New Roman" w:hAnsi="Times New Roman" w:cs="Times New Roman"/>
              </w:rPr>
              <w:t>panaud</w:t>
            </w:r>
            <w:r w:rsidRPr="006E7F80">
              <w:rPr>
                <w:rFonts w:ascii="Times New Roman" w:hAnsi="Times New Roman" w:cs="Times New Roman"/>
              </w:rPr>
              <w:t>ai siūlom</w:t>
            </w:r>
            <w:r>
              <w:rPr>
                <w:rFonts w:ascii="Times New Roman" w:hAnsi="Times New Roman" w:cs="Times New Roman"/>
              </w:rPr>
              <w:t>ų</w:t>
            </w:r>
            <w:r w:rsidRPr="006E7F80">
              <w:rPr>
                <w:rFonts w:ascii="Times New Roman" w:hAnsi="Times New Roman" w:cs="Times New Roman"/>
              </w:rPr>
              <w:t xml:space="preserve"> analizatori</w:t>
            </w:r>
            <w:r>
              <w:rPr>
                <w:rFonts w:ascii="Times New Roman" w:hAnsi="Times New Roman" w:cs="Times New Roman"/>
              </w:rPr>
              <w:t>ų</w:t>
            </w:r>
            <w:r w:rsidRPr="006E7F80">
              <w:rPr>
                <w:rFonts w:ascii="Times New Roman" w:hAnsi="Times New Roman" w:cs="Times New Roman"/>
              </w:rPr>
              <w:t xml:space="preserve"> gamintojo arba </w:t>
            </w:r>
            <w:r w:rsidRPr="006E7F80">
              <w:rPr>
                <w:rFonts w:ascii="Times New Roman" w:hAnsi="Times New Roman" w:cs="Times New Roman"/>
                <w:shd w:val="clear" w:color="auto" w:fill="FFFFFF"/>
              </w:rPr>
              <w:t xml:space="preserve">tiekėjo siūlomų reagentų ir papildomų priemonių gamintojo </w:t>
            </w:r>
            <w:r w:rsidRPr="006E7F80">
              <w:rPr>
                <w:rFonts w:ascii="Times New Roman" w:hAnsi="Times New Roman" w:cs="Times New Roman"/>
              </w:rPr>
              <w:t>rašytinis patvirtinimas, kad siūlomi reagentai ir papildomos priemonės tinka ir gali būti naudojami su siūlomais analizatoriais.</w:t>
            </w:r>
          </w:p>
        </w:tc>
        <w:tc>
          <w:tcPr>
            <w:tcW w:w="4962" w:type="dxa"/>
          </w:tcPr>
          <w:p w14:paraId="04CC52F4" w14:textId="77777777" w:rsidR="00D87CA5" w:rsidRDefault="00D87CA5" w:rsidP="00E72419">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p w14:paraId="04CC52F5" w14:textId="77777777" w:rsidR="00D87CA5" w:rsidRDefault="00D87CA5" w:rsidP="00451729">
            <w:pPr>
              <w:jc w:val="both"/>
              <w:rPr>
                <w:rFonts w:ascii="Times New Roman" w:hAnsi="Times New Roman" w:cs="Times New Roman"/>
                <w:i/>
                <w:sz w:val="20"/>
                <w:szCs w:val="20"/>
              </w:rPr>
            </w:pPr>
          </w:p>
          <w:p w14:paraId="04CC52F6" w14:textId="77777777" w:rsidR="00D87CA5" w:rsidRPr="00E72419" w:rsidRDefault="00D87CA5" w:rsidP="004361A7">
            <w:pPr>
              <w:jc w:val="both"/>
              <w:rPr>
                <w:rFonts w:ascii="Times New Roman" w:hAnsi="Times New Roman" w:cs="Times New Roman"/>
                <w:i/>
                <w:color w:val="FF0000"/>
                <w:sz w:val="20"/>
                <w:szCs w:val="20"/>
              </w:rPr>
            </w:pPr>
          </w:p>
        </w:tc>
      </w:tr>
      <w:tr w:rsidR="00D87CA5" w:rsidRPr="00960288" w14:paraId="04CC5302" w14:textId="77777777" w:rsidTr="00E72419">
        <w:tc>
          <w:tcPr>
            <w:tcW w:w="675" w:type="dxa"/>
          </w:tcPr>
          <w:p w14:paraId="04CC52F8" w14:textId="77777777" w:rsidR="00D87CA5" w:rsidRPr="00960288" w:rsidRDefault="00D87CA5" w:rsidP="00730F15">
            <w:pPr>
              <w:pStyle w:val="Default"/>
              <w:rPr>
                <w:color w:val="000000" w:themeColor="text1"/>
                <w:sz w:val="22"/>
                <w:szCs w:val="22"/>
              </w:rPr>
            </w:pPr>
            <w:r w:rsidRPr="00960288">
              <w:rPr>
                <w:color w:val="000000" w:themeColor="text1"/>
                <w:sz w:val="22"/>
                <w:szCs w:val="22"/>
              </w:rPr>
              <w:t>4.3.</w:t>
            </w:r>
          </w:p>
        </w:tc>
        <w:tc>
          <w:tcPr>
            <w:tcW w:w="3544" w:type="dxa"/>
          </w:tcPr>
          <w:p w14:paraId="04CC52F9" w14:textId="77777777" w:rsidR="00D87CA5" w:rsidRPr="00960288" w:rsidRDefault="00D87CA5" w:rsidP="00164CC5">
            <w:pPr>
              <w:tabs>
                <w:tab w:val="left" w:pos="0"/>
              </w:tabs>
              <w:jc w:val="both"/>
              <w:rPr>
                <w:rFonts w:ascii="Times New Roman" w:hAnsi="Times New Roman" w:cs="Times New Roman"/>
                <w:color w:val="000000" w:themeColor="text1"/>
              </w:rPr>
            </w:pPr>
          </w:p>
        </w:tc>
        <w:tc>
          <w:tcPr>
            <w:tcW w:w="5953" w:type="dxa"/>
          </w:tcPr>
          <w:p w14:paraId="04CC52FA" w14:textId="77777777" w:rsidR="00D87CA5" w:rsidRPr="00B454F3" w:rsidRDefault="00D87CA5" w:rsidP="00BF41C9">
            <w:pPr>
              <w:jc w:val="both"/>
              <w:rPr>
                <w:rFonts w:ascii="Times New Roman" w:hAnsi="Times New Roman" w:cs="Times New Roman"/>
              </w:rPr>
            </w:pPr>
            <w:r w:rsidRPr="00B454F3">
              <w:rPr>
                <w:rFonts w:ascii="Times New Roman" w:hAnsi="Times New Roman" w:cs="Times New Roman"/>
              </w:rPr>
              <w:t>Kontrolinės medžiagos turi būti:</w:t>
            </w:r>
          </w:p>
          <w:p w14:paraId="04CC52FB" w14:textId="77777777" w:rsidR="00D87CA5" w:rsidRDefault="00D87CA5" w:rsidP="00BF41C9">
            <w:pPr>
              <w:jc w:val="both"/>
              <w:rPr>
                <w:rFonts w:ascii="Times New Roman" w:hAnsi="Times New Roman" w:cs="Times New Roman"/>
              </w:rPr>
            </w:pPr>
            <w:r w:rsidRPr="00B454F3">
              <w:rPr>
                <w:rFonts w:ascii="Times New Roman" w:hAnsi="Times New Roman" w:cs="Times New Roman"/>
              </w:rPr>
              <w:t>1. Ne mažiau nei 2-jų lygių</w:t>
            </w:r>
            <w:r>
              <w:rPr>
                <w:rFonts w:ascii="Times New Roman" w:hAnsi="Times New Roman" w:cs="Times New Roman"/>
              </w:rPr>
              <w:t>.</w:t>
            </w:r>
          </w:p>
          <w:p w14:paraId="04CC52FC" w14:textId="77777777" w:rsidR="00D87CA5" w:rsidRPr="00B454F3" w:rsidRDefault="00D87CA5" w:rsidP="00BF41C9">
            <w:pPr>
              <w:jc w:val="both"/>
              <w:rPr>
                <w:rFonts w:ascii="Times New Roman" w:hAnsi="Times New Roman" w:cs="Times New Roman"/>
              </w:rPr>
            </w:pPr>
            <w:r w:rsidRPr="00160A22">
              <w:rPr>
                <w:rFonts w:ascii="Times New Roman" w:hAnsi="Times New Roman" w:cs="Times New Roman"/>
                <w:i/>
              </w:rPr>
              <w:t>Pastaba</w:t>
            </w:r>
            <w:r>
              <w:rPr>
                <w:rFonts w:ascii="Times New Roman" w:hAnsi="Times New Roman" w:cs="Times New Roman"/>
              </w:rPr>
              <w:t xml:space="preserve">: </w:t>
            </w:r>
            <w:r w:rsidRPr="00064284">
              <w:rPr>
                <w:rFonts w:ascii="Times New Roman" w:hAnsi="Times New Roman" w:cs="Times New Roman"/>
              </w:rPr>
              <w:t>kiekvienam analizatoriui</w:t>
            </w:r>
            <w:r>
              <w:rPr>
                <w:rFonts w:ascii="Times New Roman" w:hAnsi="Times New Roman" w:cs="Times New Roman"/>
              </w:rPr>
              <w:t xml:space="preserve"> turi būti paskaičiuotas atskiras kontrolės rinkinys.</w:t>
            </w:r>
            <w:r w:rsidRPr="00B454F3">
              <w:rPr>
                <w:rFonts w:ascii="Times New Roman" w:hAnsi="Times New Roman" w:cs="Times New Roman"/>
              </w:rPr>
              <w:t xml:space="preserve"> </w:t>
            </w:r>
          </w:p>
          <w:p w14:paraId="04CC52FD" w14:textId="77777777" w:rsidR="00D87CA5" w:rsidRPr="00B454F3" w:rsidRDefault="00D87CA5" w:rsidP="00BF41C9">
            <w:pPr>
              <w:jc w:val="both"/>
              <w:rPr>
                <w:rFonts w:ascii="Times New Roman" w:hAnsi="Times New Roman" w:cs="Times New Roman"/>
              </w:rPr>
            </w:pPr>
            <w:r w:rsidRPr="00B454F3">
              <w:rPr>
                <w:rFonts w:ascii="Times New Roman" w:hAnsi="Times New Roman" w:cs="Times New Roman"/>
              </w:rPr>
              <w:t xml:space="preserve">2. Paruoštos naudoti. </w:t>
            </w:r>
          </w:p>
          <w:p w14:paraId="04CC52FE" w14:textId="77777777" w:rsidR="00D87CA5" w:rsidRPr="00B454F3" w:rsidRDefault="00D87CA5" w:rsidP="00BF41C9">
            <w:pPr>
              <w:jc w:val="both"/>
              <w:rPr>
                <w:rFonts w:ascii="Times New Roman" w:hAnsi="Times New Roman" w:cs="Times New Roman"/>
              </w:rPr>
            </w:pPr>
            <w:r w:rsidRPr="00B454F3">
              <w:rPr>
                <w:rFonts w:ascii="Times New Roman" w:hAnsi="Times New Roman" w:cs="Times New Roman"/>
              </w:rPr>
              <w:t xml:space="preserve">3. Laikymo temperatūros diapazonas ne siauresnis kaip nuo 15 iki 30°C. </w:t>
            </w:r>
          </w:p>
          <w:p w14:paraId="04CC52FF" w14:textId="77777777" w:rsidR="00D87CA5" w:rsidRPr="00B454F3" w:rsidRDefault="00D87CA5" w:rsidP="00BF41C9">
            <w:pPr>
              <w:jc w:val="both"/>
              <w:rPr>
                <w:rFonts w:ascii="Times New Roman" w:hAnsi="Times New Roman" w:cs="Times New Roman"/>
                <w:highlight w:val="yellow"/>
              </w:rPr>
            </w:pPr>
            <w:r w:rsidRPr="00B454F3">
              <w:rPr>
                <w:rFonts w:ascii="Times New Roman" w:hAnsi="Times New Roman" w:cs="Times New Roman"/>
              </w:rPr>
              <w:t xml:space="preserve">4. </w:t>
            </w:r>
            <w:r w:rsidRPr="00D87CA5">
              <w:rPr>
                <w:rFonts w:ascii="Times New Roman" w:hAnsi="Times New Roman" w:cs="Times New Roman"/>
              </w:rPr>
              <w:t>Atidarius pakuotę, kontrolinio tirpalo stabilumas turi būti ne trumpesnis kaip 90 kalendorinių dienų.</w:t>
            </w:r>
          </w:p>
        </w:tc>
        <w:tc>
          <w:tcPr>
            <w:tcW w:w="4962" w:type="dxa"/>
          </w:tcPr>
          <w:p w14:paraId="04CC5300" w14:textId="77777777" w:rsidR="00D87CA5" w:rsidRDefault="00D87CA5" w:rsidP="00545137">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p w14:paraId="04CC5301" w14:textId="77777777" w:rsidR="00D87CA5" w:rsidRPr="00960288" w:rsidRDefault="00D87CA5" w:rsidP="004361A7">
            <w:pPr>
              <w:jc w:val="center"/>
              <w:rPr>
                <w:rFonts w:ascii="Times New Roman" w:hAnsi="Times New Roman" w:cs="Times New Roman"/>
                <w:color w:val="000000" w:themeColor="text1"/>
              </w:rPr>
            </w:pPr>
          </w:p>
        </w:tc>
      </w:tr>
      <w:tr w:rsidR="00D87CA5" w:rsidRPr="00960288" w14:paraId="04CC530D" w14:textId="77777777" w:rsidTr="00E72419">
        <w:tc>
          <w:tcPr>
            <w:tcW w:w="675" w:type="dxa"/>
          </w:tcPr>
          <w:p w14:paraId="04CC5303" w14:textId="77777777" w:rsidR="00D87CA5" w:rsidRPr="00960288" w:rsidRDefault="00D87CA5" w:rsidP="00D43250">
            <w:pPr>
              <w:pStyle w:val="Default"/>
              <w:rPr>
                <w:color w:val="000000" w:themeColor="text1"/>
                <w:sz w:val="22"/>
                <w:szCs w:val="22"/>
              </w:rPr>
            </w:pPr>
            <w:r w:rsidRPr="00960288">
              <w:rPr>
                <w:color w:val="000000" w:themeColor="text1"/>
                <w:sz w:val="22"/>
                <w:szCs w:val="22"/>
              </w:rPr>
              <w:t>4.4.</w:t>
            </w:r>
          </w:p>
        </w:tc>
        <w:tc>
          <w:tcPr>
            <w:tcW w:w="3544" w:type="dxa"/>
          </w:tcPr>
          <w:p w14:paraId="04CC5304" w14:textId="77777777" w:rsidR="00D87CA5" w:rsidRPr="00960288" w:rsidRDefault="00D87CA5" w:rsidP="00442F08">
            <w:pPr>
              <w:jc w:val="both"/>
              <w:rPr>
                <w:rFonts w:ascii="Times New Roman" w:hAnsi="Times New Roman" w:cs="Times New Roman"/>
                <w:color w:val="FF0000"/>
                <w:highlight w:val="yellow"/>
              </w:rPr>
            </w:pPr>
          </w:p>
        </w:tc>
        <w:tc>
          <w:tcPr>
            <w:tcW w:w="5953" w:type="dxa"/>
          </w:tcPr>
          <w:p w14:paraId="04CC5305" w14:textId="77777777" w:rsidR="00D87CA5" w:rsidRPr="00B454F3" w:rsidRDefault="00D87CA5" w:rsidP="005B1E72">
            <w:pPr>
              <w:pStyle w:val="NormalWeb"/>
              <w:tabs>
                <w:tab w:val="left" w:pos="0"/>
              </w:tabs>
              <w:spacing w:before="0" w:beforeAutospacing="0" w:after="0"/>
              <w:jc w:val="both"/>
              <w:rPr>
                <w:sz w:val="22"/>
                <w:szCs w:val="22"/>
              </w:rPr>
            </w:pPr>
            <w:r w:rsidRPr="00B454F3">
              <w:rPr>
                <w:sz w:val="22"/>
                <w:szCs w:val="22"/>
              </w:rPr>
              <w:t>Reikalavimai tyrimo juostelėms gliukozės kiekiui tirti:</w:t>
            </w:r>
          </w:p>
          <w:p w14:paraId="04CC5306" w14:textId="77777777" w:rsidR="00D87CA5" w:rsidRPr="00B454F3" w:rsidRDefault="00D87CA5" w:rsidP="005B1E72">
            <w:pPr>
              <w:pStyle w:val="NormalWeb"/>
              <w:tabs>
                <w:tab w:val="left" w:pos="0"/>
              </w:tabs>
              <w:spacing w:before="0" w:beforeAutospacing="0" w:after="0"/>
              <w:jc w:val="both"/>
              <w:rPr>
                <w:sz w:val="22"/>
                <w:szCs w:val="22"/>
              </w:rPr>
            </w:pPr>
            <w:r w:rsidRPr="00B454F3">
              <w:rPr>
                <w:sz w:val="22"/>
                <w:szCs w:val="22"/>
              </w:rPr>
              <w:t xml:space="preserve">1. Fasuotė – ne mažiau kaip 50 </w:t>
            </w:r>
            <w:r>
              <w:rPr>
                <w:sz w:val="22"/>
                <w:szCs w:val="22"/>
              </w:rPr>
              <w:t xml:space="preserve">vnt. </w:t>
            </w:r>
            <w:r w:rsidRPr="00B454F3">
              <w:rPr>
                <w:sz w:val="22"/>
                <w:szCs w:val="22"/>
              </w:rPr>
              <w:t>juostelių.</w:t>
            </w:r>
          </w:p>
          <w:p w14:paraId="04CC5307" w14:textId="77777777" w:rsidR="00D87CA5" w:rsidRPr="00B454F3" w:rsidRDefault="00D87CA5" w:rsidP="005B1E72">
            <w:pPr>
              <w:pStyle w:val="NormalWeb"/>
              <w:tabs>
                <w:tab w:val="left" w:pos="0"/>
              </w:tabs>
              <w:spacing w:before="0" w:beforeAutospacing="0" w:after="0"/>
              <w:jc w:val="both"/>
              <w:rPr>
                <w:sz w:val="22"/>
                <w:szCs w:val="22"/>
              </w:rPr>
            </w:pPr>
            <w:r w:rsidRPr="00B454F3">
              <w:rPr>
                <w:sz w:val="22"/>
                <w:szCs w:val="22"/>
              </w:rPr>
              <w:lastRenderedPageBreak/>
              <w:t xml:space="preserve">2. Laikymo temperatūros diapazonas ne siauresnis kaip nuo 15 iki 30°C. </w:t>
            </w:r>
          </w:p>
          <w:p w14:paraId="04CC5308" w14:textId="77777777" w:rsidR="00D87CA5" w:rsidRPr="00B454F3" w:rsidRDefault="00D87CA5" w:rsidP="005B1E72">
            <w:pPr>
              <w:pStyle w:val="NormalWeb"/>
              <w:tabs>
                <w:tab w:val="left" w:pos="0"/>
              </w:tabs>
              <w:spacing w:before="0" w:beforeAutospacing="0" w:after="0"/>
              <w:jc w:val="both"/>
              <w:rPr>
                <w:sz w:val="22"/>
                <w:szCs w:val="22"/>
              </w:rPr>
            </w:pPr>
            <w:r w:rsidRPr="00B454F3">
              <w:rPr>
                <w:sz w:val="22"/>
                <w:szCs w:val="22"/>
              </w:rPr>
              <w:t xml:space="preserve">3. Kiekvienoje pakuotėje kartu su juostelėmis turi būti pateikiama koduota mikroschema, skirta  pakuotėje esančių juostelių duomenų perdavimui į analizatorių arba juostelių duomenų perdavimas į analizatorių turi būti užtikrinamas lygiaverčiu būdu. </w:t>
            </w:r>
          </w:p>
          <w:p w14:paraId="04CC5309" w14:textId="77777777" w:rsidR="00D87CA5" w:rsidRPr="00B454F3" w:rsidRDefault="00D87CA5" w:rsidP="005B1E72">
            <w:pPr>
              <w:pStyle w:val="NormalWeb"/>
              <w:tabs>
                <w:tab w:val="left" w:pos="0"/>
              </w:tabs>
              <w:spacing w:before="0" w:beforeAutospacing="0" w:after="0"/>
              <w:jc w:val="both"/>
              <w:rPr>
                <w:sz w:val="22"/>
                <w:szCs w:val="22"/>
              </w:rPr>
            </w:pPr>
            <w:r w:rsidRPr="00B454F3">
              <w:rPr>
                <w:sz w:val="22"/>
                <w:szCs w:val="22"/>
              </w:rPr>
              <w:t>4. Atidarius pakuotę, tyrimo juostelės turi būti tinkamos naudoti ne trumpiau nei 100 dienų.</w:t>
            </w:r>
          </w:p>
        </w:tc>
        <w:tc>
          <w:tcPr>
            <w:tcW w:w="4962" w:type="dxa"/>
          </w:tcPr>
          <w:p w14:paraId="04CC530A" w14:textId="77777777" w:rsidR="00D87CA5" w:rsidRDefault="00D87CA5" w:rsidP="00442F08">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lastRenderedPageBreak/>
              <w:t>įrašo tiekėjas</w:t>
            </w:r>
          </w:p>
          <w:p w14:paraId="04CC530B" w14:textId="77777777" w:rsidR="00D87CA5" w:rsidRDefault="00D87CA5" w:rsidP="00442F08">
            <w:pPr>
              <w:jc w:val="center"/>
              <w:rPr>
                <w:rFonts w:ascii="Times New Roman" w:hAnsi="Times New Roman" w:cs="Times New Roman"/>
                <w:i/>
                <w:color w:val="000000" w:themeColor="text1"/>
              </w:rPr>
            </w:pPr>
          </w:p>
          <w:p w14:paraId="04CC530C" w14:textId="77777777" w:rsidR="00D87CA5" w:rsidRPr="00960288" w:rsidRDefault="00D87CA5" w:rsidP="00CC41BB">
            <w:pPr>
              <w:jc w:val="center"/>
              <w:rPr>
                <w:rFonts w:ascii="Times New Roman" w:hAnsi="Times New Roman" w:cs="Times New Roman"/>
                <w:color w:val="000000" w:themeColor="text1"/>
              </w:rPr>
            </w:pPr>
          </w:p>
        </w:tc>
      </w:tr>
      <w:tr w:rsidR="00D87CA5" w:rsidRPr="00960288" w14:paraId="04CC5312" w14:textId="77777777" w:rsidTr="00E72419">
        <w:tc>
          <w:tcPr>
            <w:tcW w:w="675" w:type="dxa"/>
          </w:tcPr>
          <w:p w14:paraId="04CC530E" w14:textId="77777777" w:rsidR="00D87CA5" w:rsidRPr="00960288" w:rsidRDefault="00D87CA5" w:rsidP="00D43250">
            <w:pPr>
              <w:pStyle w:val="Default"/>
              <w:rPr>
                <w:color w:val="000000" w:themeColor="text1"/>
                <w:sz w:val="22"/>
                <w:szCs w:val="22"/>
              </w:rPr>
            </w:pPr>
            <w:r w:rsidRPr="00960288">
              <w:rPr>
                <w:color w:val="000000" w:themeColor="text1"/>
                <w:sz w:val="22"/>
                <w:szCs w:val="22"/>
              </w:rPr>
              <w:lastRenderedPageBreak/>
              <w:t>4.5.</w:t>
            </w:r>
          </w:p>
        </w:tc>
        <w:tc>
          <w:tcPr>
            <w:tcW w:w="3544" w:type="dxa"/>
          </w:tcPr>
          <w:p w14:paraId="04CC530F" w14:textId="77777777" w:rsidR="00D87CA5" w:rsidRPr="00960288" w:rsidRDefault="00D87CA5" w:rsidP="00442F08">
            <w:pPr>
              <w:jc w:val="both"/>
              <w:rPr>
                <w:rFonts w:ascii="Times New Roman" w:hAnsi="Times New Roman" w:cs="Times New Roman"/>
                <w:color w:val="FF0000"/>
                <w:highlight w:val="yellow"/>
              </w:rPr>
            </w:pPr>
          </w:p>
        </w:tc>
        <w:tc>
          <w:tcPr>
            <w:tcW w:w="5953" w:type="dxa"/>
          </w:tcPr>
          <w:p w14:paraId="04CC5310" w14:textId="77777777" w:rsidR="00D87CA5" w:rsidRPr="00E72419" w:rsidRDefault="00D87CA5" w:rsidP="00CC41BB">
            <w:pPr>
              <w:pStyle w:val="NormalWeb"/>
              <w:tabs>
                <w:tab w:val="left" w:pos="0"/>
              </w:tabs>
              <w:spacing w:before="0" w:beforeAutospacing="0" w:after="0"/>
              <w:jc w:val="both"/>
              <w:rPr>
                <w:sz w:val="22"/>
                <w:szCs w:val="22"/>
              </w:rPr>
            </w:pPr>
            <w:r w:rsidRPr="00E72419">
              <w:rPr>
                <w:sz w:val="22"/>
                <w:szCs w:val="22"/>
              </w:rPr>
              <w:t>Tiekėjas turi  įvertinti ir pateikti visas sudedamąsias gamintojo nurodytas priemones, reikalingas nurodytų tyrimų atlikimui bei rezultatų pateikimui per 36 mėn. (</w:t>
            </w:r>
            <w:r w:rsidRPr="00E72419">
              <w:rPr>
                <w:b/>
                <w:i/>
                <w:sz w:val="22"/>
                <w:szCs w:val="22"/>
              </w:rPr>
              <w:t>būtinas atitinkamas tiekėjo patvirtinimas</w:t>
            </w:r>
            <w:r w:rsidRPr="00E72419">
              <w:rPr>
                <w:sz w:val="22"/>
                <w:szCs w:val="22"/>
              </w:rPr>
              <w:t>).</w:t>
            </w:r>
          </w:p>
        </w:tc>
        <w:tc>
          <w:tcPr>
            <w:tcW w:w="4962" w:type="dxa"/>
          </w:tcPr>
          <w:p w14:paraId="04CC5311" w14:textId="77777777" w:rsidR="00D87CA5" w:rsidRPr="00960288" w:rsidRDefault="00D87CA5" w:rsidP="00442F08">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D87CA5" w:rsidRPr="00960288" w14:paraId="04CC5318" w14:textId="77777777" w:rsidTr="00E72419">
        <w:tc>
          <w:tcPr>
            <w:tcW w:w="675" w:type="dxa"/>
          </w:tcPr>
          <w:p w14:paraId="04CC5313" w14:textId="77777777" w:rsidR="00D87CA5" w:rsidRPr="00960288" w:rsidRDefault="00D87CA5" w:rsidP="00D43250">
            <w:pPr>
              <w:pStyle w:val="Default"/>
              <w:rPr>
                <w:color w:val="000000" w:themeColor="text1"/>
                <w:sz w:val="22"/>
                <w:szCs w:val="22"/>
              </w:rPr>
            </w:pPr>
            <w:r w:rsidRPr="00960288">
              <w:rPr>
                <w:color w:val="000000" w:themeColor="text1"/>
                <w:sz w:val="22"/>
                <w:szCs w:val="22"/>
              </w:rPr>
              <w:t>4.6.</w:t>
            </w:r>
          </w:p>
        </w:tc>
        <w:tc>
          <w:tcPr>
            <w:tcW w:w="3544" w:type="dxa"/>
          </w:tcPr>
          <w:p w14:paraId="04CC5314" w14:textId="77777777" w:rsidR="00D87CA5" w:rsidRPr="00960288" w:rsidRDefault="00D87CA5" w:rsidP="00164CC5">
            <w:pPr>
              <w:tabs>
                <w:tab w:val="left" w:pos="0"/>
              </w:tabs>
              <w:jc w:val="both"/>
              <w:rPr>
                <w:rFonts w:ascii="Times New Roman" w:hAnsi="Times New Roman" w:cs="Times New Roman"/>
                <w:color w:val="000000" w:themeColor="text1"/>
              </w:rPr>
            </w:pPr>
          </w:p>
        </w:tc>
        <w:tc>
          <w:tcPr>
            <w:tcW w:w="5953" w:type="dxa"/>
          </w:tcPr>
          <w:p w14:paraId="04CC5315" w14:textId="77777777" w:rsidR="00D87CA5" w:rsidRPr="00960288" w:rsidRDefault="00D87CA5" w:rsidP="00064284">
            <w:pPr>
              <w:jc w:val="both"/>
              <w:rPr>
                <w:rFonts w:ascii="Times New Roman" w:eastAsia="Times New Roman" w:hAnsi="Times New Roman" w:cs="Times New Roman"/>
                <w:color w:val="000000" w:themeColor="text1"/>
                <w:lang w:eastAsia="lt-LT"/>
              </w:rPr>
            </w:pPr>
            <w:r w:rsidRPr="006E7F80">
              <w:rPr>
                <w:rFonts w:ascii="Times New Roman" w:hAnsi="Times New Roman" w:cs="Times New Roman"/>
              </w:rPr>
              <w:t xml:space="preserve">Skaičiuojant tyrimų atlikimui reikalingų sudedamųjų priemonių kiekius, tiekėjas turi įvertinti tai, kad visi reagentai ir kt. priemonės bus naudojami atsižvelgiant į gamintojo rekomendacijas, gamintojo nurodytus bei realius galiojimo ir stabilumo, atidarius rinkinį,  terminus bei  kad </w:t>
            </w:r>
            <w:r w:rsidRPr="002E34EC">
              <w:rPr>
                <w:rFonts w:ascii="Times New Roman" w:hAnsi="Times New Roman" w:cs="Times New Roman"/>
              </w:rPr>
              <w:t>su kiekvienu analizatoriumi</w:t>
            </w:r>
            <w:r>
              <w:rPr>
                <w:rFonts w:ascii="Times New Roman" w:hAnsi="Times New Roman" w:cs="Times New Roman"/>
              </w:rPr>
              <w:t xml:space="preserve"> </w:t>
            </w:r>
            <w:r w:rsidRPr="002E34EC">
              <w:rPr>
                <w:rFonts w:ascii="Times New Roman" w:hAnsi="Times New Roman" w:cs="Times New Roman"/>
              </w:rPr>
              <w:t>bus atliekami kasdieniniai (ne mažiau</w:t>
            </w:r>
            <w:r w:rsidRPr="006E7F80">
              <w:rPr>
                <w:rFonts w:ascii="Times New Roman" w:hAnsi="Times New Roman" w:cs="Times New Roman"/>
              </w:rPr>
              <w:t xml:space="preserve"> </w:t>
            </w:r>
            <w:r>
              <w:rPr>
                <w:rFonts w:ascii="Times New Roman" w:hAnsi="Times New Roman" w:cs="Times New Roman"/>
              </w:rPr>
              <w:t>2</w:t>
            </w:r>
            <w:r w:rsidRPr="006E7F80">
              <w:rPr>
                <w:rFonts w:ascii="Times New Roman" w:hAnsi="Times New Roman" w:cs="Times New Roman"/>
              </w:rPr>
              <w:t xml:space="preserve"> lygiai) </w:t>
            </w:r>
            <w:r w:rsidRPr="006E7F80">
              <w:rPr>
                <w:rFonts w:ascii="Times New Roman" w:hAnsi="Times New Roman" w:cs="Times New Roman"/>
                <w:spacing w:val="-2"/>
              </w:rPr>
              <w:t xml:space="preserve">kokybės kontrolės tyrimai, pakartojimai, esant nepatikimiems rezultatams (kontrolinių ar tiriamųjų mėginių). Šie tyrimai neįskaičiuojami į atliktų tyrimų kiekį </w:t>
            </w:r>
            <w:r w:rsidRPr="006E7F80">
              <w:rPr>
                <w:rFonts w:ascii="Times New Roman" w:eastAsia="Times New Roman" w:hAnsi="Times New Roman" w:cs="Times New Roman"/>
                <w:lang w:eastAsia="lt-LT"/>
              </w:rPr>
              <w:t>(</w:t>
            </w:r>
            <w:r w:rsidRPr="006E7F80">
              <w:rPr>
                <w:rFonts w:ascii="Times New Roman" w:hAnsi="Times New Roman" w:cs="Times New Roman"/>
                <w:b/>
                <w:i/>
              </w:rPr>
              <w:t>būtinas atitinkamas tiekėjo patvirtinimas</w:t>
            </w:r>
            <w:r w:rsidRPr="006E7F80">
              <w:rPr>
                <w:rFonts w:ascii="Times New Roman" w:hAnsi="Times New Roman" w:cs="Times New Roman"/>
              </w:rPr>
              <w:t>)</w:t>
            </w:r>
            <w:r w:rsidRPr="006E7F80">
              <w:rPr>
                <w:rFonts w:ascii="Times New Roman" w:eastAsia="Times New Roman" w:hAnsi="Times New Roman" w:cs="Times New Roman"/>
                <w:lang w:eastAsia="lt-LT"/>
              </w:rPr>
              <w:t>.</w:t>
            </w:r>
          </w:p>
        </w:tc>
        <w:tc>
          <w:tcPr>
            <w:tcW w:w="4962" w:type="dxa"/>
          </w:tcPr>
          <w:p w14:paraId="04CC5316" w14:textId="77777777" w:rsidR="00D87CA5" w:rsidRPr="00960288" w:rsidRDefault="00D87CA5" w:rsidP="00E72419">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p w14:paraId="04CC5317" w14:textId="77777777" w:rsidR="00D87CA5" w:rsidRPr="00960288" w:rsidRDefault="00D87CA5" w:rsidP="00545137">
            <w:pPr>
              <w:jc w:val="center"/>
              <w:rPr>
                <w:rFonts w:ascii="Times New Roman" w:hAnsi="Times New Roman" w:cs="Times New Roman"/>
                <w:i/>
                <w:color w:val="000000" w:themeColor="text1"/>
              </w:rPr>
            </w:pPr>
          </w:p>
        </w:tc>
      </w:tr>
      <w:tr w:rsidR="00D87CA5" w:rsidRPr="00960288" w14:paraId="04CC531D" w14:textId="77777777" w:rsidTr="00E72419">
        <w:tc>
          <w:tcPr>
            <w:tcW w:w="675" w:type="dxa"/>
          </w:tcPr>
          <w:p w14:paraId="04CC5319" w14:textId="77777777" w:rsidR="00D87CA5" w:rsidRPr="00960288" w:rsidRDefault="00D87CA5" w:rsidP="008F00DE">
            <w:pPr>
              <w:pStyle w:val="Default"/>
              <w:rPr>
                <w:color w:val="000000" w:themeColor="text1"/>
                <w:sz w:val="22"/>
                <w:szCs w:val="22"/>
              </w:rPr>
            </w:pPr>
            <w:r w:rsidRPr="00960288">
              <w:rPr>
                <w:color w:val="000000" w:themeColor="text1"/>
                <w:sz w:val="22"/>
                <w:szCs w:val="22"/>
              </w:rPr>
              <w:t>4.7.</w:t>
            </w:r>
          </w:p>
        </w:tc>
        <w:tc>
          <w:tcPr>
            <w:tcW w:w="3544" w:type="dxa"/>
          </w:tcPr>
          <w:p w14:paraId="04CC531A" w14:textId="77777777" w:rsidR="00D87CA5" w:rsidRPr="00960288" w:rsidRDefault="00D87CA5" w:rsidP="005E319F">
            <w:pPr>
              <w:pStyle w:val="NormalWeb"/>
              <w:tabs>
                <w:tab w:val="left" w:pos="0"/>
              </w:tabs>
              <w:spacing w:before="0" w:beforeAutospacing="0" w:after="0"/>
              <w:jc w:val="both"/>
              <w:rPr>
                <w:sz w:val="22"/>
                <w:szCs w:val="22"/>
              </w:rPr>
            </w:pPr>
          </w:p>
        </w:tc>
        <w:tc>
          <w:tcPr>
            <w:tcW w:w="5953" w:type="dxa"/>
          </w:tcPr>
          <w:p w14:paraId="04CC531B" w14:textId="77777777" w:rsidR="00D87CA5" w:rsidRPr="006E7F80" w:rsidRDefault="00D87CA5" w:rsidP="00451729">
            <w:pPr>
              <w:jc w:val="both"/>
              <w:rPr>
                <w:rFonts w:ascii="Times New Roman" w:hAnsi="Times New Roman" w:cs="Times New Roman"/>
                <w:shd w:val="clear" w:color="auto" w:fill="FFFFFF"/>
              </w:rPr>
            </w:pPr>
            <w:r w:rsidRPr="006E7F80">
              <w:rPr>
                <w:rFonts w:ascii="Times New Roman" w:hAnsi="Times New Roman" w:cs="Times New Roman"/>
                <w:shd w:val="clear" w:color="auto" w:fill="FFFFFF"/>
              </w:rPr>
              <w:t>Reagentai turi turėti CE ir IVD ženklinimus (</w:t>
            </w:r>
            <w:r w:rsidRPr="006E7F80">
              <w:rPr>
                <w:rFonts w:ascii="Times New Roman" w:hAnsi="Times New Roman" w:cs="Times New Roman"/>
                <w:b/>
                <w:i/>
                <w:shd w:val="clear" w:color="auto" w:fill="FFFFFF"/>
              </w:rPr>
              <w:t xml:space="preserve">kartu su pasiūlymu konkursui privaloma pateikti galiojančių dokumentų, liudijančių reagentų CE sertifikavimą </w:t>
            </w:r>
            <w:r w:rsidRPr="006E7F80">
              <w:rPr>
                <w:rFonts w:ascii="Times New Roman" w:eastAsia="Times New Roman" w:hAnsi="Times New Roman" w:cs="Times New Roman"/>
                <w:b/>
                <w:i/>
                <w:lang w:eastAsia="lt-LT"/>
              </w:rPr>
              <w:t xml:space="preserve">pagal Europos Parlamento ir Tarybos reglamento (ES) 2017/746 dėl </w:t>
            </w:r>
            <w:proofErr w:type="spellStart"/>
            <w:r w:rsidRPr="006E7F80">
              <w:rPr>
                <w:rFonts w:ascii="Times New Roman" w:eastAsia="Times New Roman" w:hAnsi="Times New Roman" w:cs="Times New Roman"/>
                <w:b/>
                <w:i/>
                <w:lang w:eastAsia="lt-LT"/>
              </w:rPr>
              <w:t>in</w:t>
            </w:r>
            <w:proofErr w:type="spellEnd"/>
            <w:r w:rsidRPr="006E7F80">
              <w:rPr>
                <w:rFonts w:ascii="Times New Roman" w:eastAsia="Times New Roman" w:hAnsi="Times New Roman" w:cs="Times New Roman"/>
                <w:b/>
                <w:i/>
                <w:lang w:eastAsia="lt-LT"/>
              </w:rPr>
              <w:t xml:space="preserve"> </w:t>
            </w:r>
            <w:proofErr w:type="spellStart"/>
            <w:r w:rsidRPr="006E7F80">
              <w:rPr>
                <w:rFonts w:ascii="Times New Roman" w:eastAsia="Times New Roman" w:hAnsi="Times New Roman" w:cs="Times New Roman"/>
                <w:b/>
                <w:i/>
                <w:lang w:eastAsia="lt-LT"/>
              </w:rPr>
              <w:t>vitro</w:t>
            </w:r>
            <w:proofErr w:type="spellEnd"/>
            <w:r w:rsidRPr="006E7F80">
              <w:rPr>
                <w:rFonts w:ascii="Times New Roman" w:eastAsia="Times New Roman" w:hAnsi="Times New Roman" w:cs="Times New Roman"/>
                <w:b/>
                <w:i/>
                <w:lang w:eastAsia="lt-LT"/>
              </w:rPr>
              <w:t xml:space="preserve"> diagnostikos medicinos priemonių</w:t>
            </w:r>
            <w:r w:rsidRPr="006E7F80">
              <w:rPr>
                <w:rFonts w:ascii="Times New Roman" w:hAnsi="Times New Roman" w:cs="Times New Roman"/>
                <w:b/>
                <w:i/>
                <w:shd w:val="clear" w:color="auto" w:fill="FFFFFF"/>
              </w:rPr>
              <w:t xml:space="preserve"> reikalavimus arba pagal </w:t>
            </w:r>
            <w:proofErr w:type="spellStart"/>
            <w:r w:rsidRPr="006E7F80">
              <w:rPr>
                <w:rFonts w:ascii="Times New Roman" w:hAnsi="Times New Roman" w:cs="Times New Roman"/>
                <w:b/>
                <w:i/>
                <w:shd w:val="clear" w:color="auto" w:fill="FFFFFF"/>
              </w:rPr>
              <w:t>In</w:t>
            </w:r>
            <w:proofErr w:type="spellEnd"/>
            <w:r w:rsidRPr="006E7F80">
              <w:rPr>
                <w:rFonts w:ascii="Times New Roman" w:hAnsi="Times New Roman" w:cs="Times New Roman"/>
                <w:b/>
                <w:i/>
                <w:shd w:val="clear" w:color="auto" w:fill="FFFFFF"/>
              </w:rPr>
              <w:t xml:space="preserve"> </w:t>
            </w:r>
            <w:proofErr w:type="spellStart"/>
            <w:r w:rsidRPr="006E7F80">
              <w:rPr>
                <w:rFonts w:ascii="Times New Roman" w:hAnsi="Times New Roman" w:cs="Times New Roman"/>
                <w:b/>
                <w:i/>
                <w:shd w:val="clear" w:color="auto" w:fill="FFFFFF"/>
              </w:rPr>
              <w:t>vitro</w:t>
            </w:r>
            <w:proofErr w:type="spellEnd"/>
            <w:r w:rsidRPr="006E7F80">
              <w:rPr>
                <w:rFonts w:ascii="Times New Roman" w:hAnsi="Times New Roman" w:cs="Times New Roman"/>
                <w:b/>
                <w:i/>
                <w:shd w:val="clear" w:color="auto" w:fill="FFFFFF"/>
              </w:rPr>
              <w:t xml:space="preserve"> diagnostikos medicinos prietaisų direktyvos 98/79/EC  reikalavimus, kopijas</w:t>
            </w:r>
            <w:r w:rsidRPr="006E7F80">
              <w:rPr>
                <w:rFonts w:ascii="Times New Roman" w:hAnsi="Times New Roman" w:cs="Times New Roman"/>
                <w:shd w:val="clear" w:color="auto" w:fill="FFFFFF"/>
              </w:rPr>
              <w:t>).</w:t>
            </w:r>
          </w:p>
        </w:tc>
        <w:tc>
          <w:tcPr>
            <w:tcW w:w="4962" w:type="dxa"/>
          </w:tcPr>
          <w:p w14:paraId="04CC531C" w14:textId="77777777" w:rsidR="00D87CA5" w:rsidRPr="00960288" w:rsidRDefault="00D87CA5" w:rsidP="00442F08">
            <w:pPr>
              <w:jc w:val="center"/>
              <w:rPr>
                <w:rFonts w:ascii="Times New Roman" w:hAnsi="Times New Roman" w:cs="Times New Roman"/>
                <w:color w:val="000000" w:themeColor="text1"/>
              </w:rPr>
            </w:pPr>
            <w:r w:rsidRPr="00960288">
              <w:rPr>
                <w:rFonts w:ascii="Times New Roman" w:hAnsi="Times New Roman" w:cs="Times New Roman"/>
                <w:i/>
                <w:color w:val="000000" w:themeColor="text1"/>
              </w:rPr>
              <w:t>įrašo tiekėjas</w:t>
            </w:r>
          </w:p>
        </w:tc>
      </w:tr>
      <w:tr w:rsidR="00D87CA5" w:rsidRPr="00960288" w14:paraId="04CC5322" w14:textId="77777777" w:rsidTr="00E72419">
        <w:tc>
          <w:tcPr>
            <w:tcW w:w="675" w:type="dxa"/>
          </w:tcPr>
          <w:p w14:paraId="04CC531E" w14:textId="77777777" w:rsidR="00D87CA5" w:rsidRPr="00960288" w:rsidRDefault="00D87CA5" w:rsidP="008F00DE">
            <w:pPr>
              <w:pStyle w:val="Default"/>
              <w:rPr>
                <w:color w:val="000000" w:themeColor="text1"/>
                <w:sz w:val="22"/>
                <w:szCs w:val="22"/>
              </w:rPr>
            </w:pPr>
            <w:r w:rsidRPr="00960288">
              <w:rPr>
                <w:color w:val="000000" w:themeColor="text1"/>
                <w:sz w:val="22"/>
                <w:szCs w:val="22"/>
              </w:rPr>
              <w:t>4.8.</w:t>
            </w:r>
          </w:p>
        </w:tc>
        <w:tc>
          <w:tcPr>
            <w:tcW w:w="3544" w:type="dxa"/>
          </w:tcPr>
          <w:p w14:paraId="04CC531F" w14:textId="77777777" w:rsidR="00D87CA5" w:rsidRPr="007B50C6" w:rsidRDefault="00D87CA5" w:rsidP="001C6776">
            <w:pPr>
              <w:pStyle w:val="NormalWeb"/>
              <w:tabs>
                <w:tab w:val="left" w:pos="0"/>
              </w:tabs>
              <w:spacing w:before="0" w:beforeAutospacing="0" w:after="0"/>
              <w:jc w:val="both"/>
              <w:rPr>
                <w:color w:val="000000" w:themeColor="text1"/>
                <w:sz w:val="22"/>
                <w:szCs w:val="22"/>
              </w:rPr>
            </w:pPr>
          </w:p>
        </w:tc>
        <w:tc>
          <w:tcPr>
            <w:tcW w:w="5953" w:type="dxa"/>
          </w:tcPr>
          <w:p w14:paraId="04CC5320" w14:textId="77777777" w:rsidR="00D87CA5" w:rsidRPr="00960288" w:rsidRDefault="00D87CA5" w:rsidP="00451729">
            <w:pPr>
              <w:jc w:val="both"/>
              <w:rPr>
                <w:rFonts w:ascii="Times New Roman" w:hAnsi="Times New Roman" w:cs="Times New Roman"/>
                <w:color w:val="FF0000"/>
                <w:shd w:val="clear" w:color="auto" w:fill="FFFFFF"/>
              </w:rPr>
            </w:pPr>
            <w:r w:rsidRPr="00960288">
              <w:rPr>
                <w:rFonts w:ascii="Times New Roman" w:eastAsia="Times New Roman" w:hAnsi="Times New Roman" w:cs="Times New Roman"/>
                <w:color w:val="000000" w:themeColor="text1"/>
                <w:lang w:eastAsia="lt-LT"/>
              </w:rPr>
              <w:t xml:space="preserve">Reagentų ir papildomų priemonių galiojimo terminas turi būti ne trumpesnis kaip </w:t>
            </w:r>
            <w:r>
              <w:rPr>
                <w:rFonts w:ascii="Times New Roman" w:eastAsia="Times New Roman" w:hAnsi="Times New Roman" w:cs="Times New Roman"/>
                <w:color w:val="000000" w:themeColor="text1"/>
                <w:lang w:eastAsia="lt-LT"/>
              </w:rPr>
              <w:t>6</w:t>
            </w:r>
            <w:r w:rsidRPr="00960288">
              <w:rPr>
                <w:rFonts w:ascii="Times New Roman" w:eastAsia="Times New Roman" w:hAnsi="Times New Roman" w:cs="Times New Roman"/>
                <w:color w:val="000000" w:themeColor="text1"/>
                <w:lang w:eastAsia="lt-LT"/>
              </w:rPr>
              <w:t xml:space="preserve"> mėnesiai nuo pristatymo dienos (</w:t>
            </w:r>
            <w:r w:rsidRPr="00960288">
              <w:rPr>
                <w:rFonts w:ascii="Times New Roman" w:hAnsi="Times New Roman" w:cs="Times New Roman"/>
                <w:b/>
                <w:i/>
                <w:color w:val="000000" w:themeColor="text1"/>
              </w:rPr>
              <w:t>būtinas atitinkamas tiekėjo patvirtinimas</w:t>
            </w:r>
            <w:r w:rsidRPr="00960288">
              <w:rPr>
                <w:rFonts w:ascii="Times New Roman" w:hAnsi="Times New Roman" w:cs="Times New Roman"/>
                <w:color w:val="000000" w:themeColor="text1"/>
              </w:rPr>
              <w:t>)</w:t>
            </w:r>
            <w:r w:rsidRPr="00960288">
              <w:rPr>
                <w:rFonts w:ascii="Times New Roman" w:eastAsia="Times New Roman" w:hAnsi="Times New Roman" w:cs="Times New Roman"/>
                <w:color w:val="000000" w:themeColor="text1"/>
                <w:lang w:eastAsia="lt-LT"/>
              </w:rPr>
              <w:t>.</w:t>
            </w:r>
          </w:p>
        </w:tc>
        <w:tc>
          <w:tcPr>
            <w:tcW w:w="4962" w:type="dxa"/>
          </w:tcPr>
          <w:p w14:paraId="04CC5321" w14:textId="77777777" w:rsidR="00D87CA5" w:rsidRPr="00960288" w:rsidRDefault="00D87CA5" w:rsidP="00545137">
            <w:pPr>
              <w:jc w:val="center"/>
              <w:rPr>
                <w:rFonts w:ascii="Times New Roman" w:hAnsi="Times New Roman" w:cs="Times New Roman"/>
                <w:color w:val="000000" w:themeColor="text1"/>
              </w:rPr>
            </w:pPr>
            <w:r w:rsidRPr="00960288">
              <w:rPr>
                <w:rFonts w:ascii="Times New Roman" w:hAnsi="Times New Roman" w:cs="Times New Roman"/>
                <w:i/>
                <w:color w:val="000000" w:themeColor="text1"/>
              </w:rPr>
              <w:t>įrašo tiekėjas</w:t>
            </w:r>
          </w:p>
        </w:tc>
      </w:tr>
      <w:tr w:rsidR="00D87CA5" w:rsidRPr="00960288" w14:paraId="04CC5329" w14:textId="77777777" w:rsidTr="00E72419">
        <w:tc>
          <w:tcPr>
            <w:tcW w:w="675" w:type="dxa"/>
          </w:tcPr>
          <w:p w14:paraId="04CC5323" w14:textId="77777777" w:rsidR="00D87CA5" w:rsidRPr="00960288" w:rsidRDefault="00D87CA5" w:rsidP="00545137">
            <w:pPr>
              <w:pStyle w:val="Default"/>
              <w:rPr>
                <w:color w:val="000000" w:themeColor="text1"/>
                <w:sz w:val="22"/>
                <w:szCs w:val="22"/>
              </w:rPr>
            </w:pPr>
            <w:r>
              <w:rPr>
                <w:color w:val="000000" w:themeColor="text1"/>
                <w:sz w:val="22"/>
                <w:szCs w:val="22"/>
              </w:rPr>
              <w:t>4.9.</w:t>
            </w:r>
          </w:p>
        </w:tc>
        <w:tc>
          <w:tcPr>
            <w:tcW w:w="3544" w:type="dxa"/>
          </w:tcPr>
          <w:p w14:paraId="04CC5324" w14:textId="77777777" w:rsidR="00D87CA5" w:rsidRPr="00960288" w:rsidRDefault="00D87CA5" w:rsidP="00545137">
            <w:pPr>
              <w:pStyle w:val="Default"/>
              <w:rPr>
                <w:color w:val="000000" w:themeColor="text1"/>
                <w:sz w:val="22"/>
                <w:szCs w:val="22"/>
              </w:rPr>
            </w:pPr>
          </w:p>
        </w:tc>
        <w:tc>
          <w:tcPr>
            <w:tcW w:w="5953" w:type="dxa"/>
          </w:tcPr>
          <w:p w14:paraId="04CC5325" w14:textId="77777777" w:rsidR="00D87CA5" w:rsidRPr="00960288" w:rsidRDefault="00D87CA5" w:rsidP="00AE4BBB">
            <w:pPr>
              <w:jc w:val="both"/>
              <w:rPr>
                <w:rFonts w:ascii="Times New Roman" w:eastAsia="Times New Roman" w:hAnsi="Times New Roman" w:cs="Times New Roman"/>
                <w:color w:val="000000" w:themeColor="text1"/>
                <w:lang w:eastAsia="lt-LT"/>
              </w:rPr>
            </w:pPr>
            <w:r w:rsidRPr="008A36C8">
              <w:rPr>
                <w:rFonts w:ascii="Times New Roman" w:hAnsi="Times New Roman" w:cs="Times New Roman"/>
                <w:color w:val="000000" w:themeColor="text1"/>
              </w:rPr>
              <w:t>Tiekėjas kartu su pasiūlymu turi pateikti visų tyrimų atlikimui pagal gamintojo rekomendacijas reikalingų sudedamųjų priemonių, reikalingų šioje techninėje specifikacijoje nurodytų tyrimų atlikimui ir rezultatų</w:t>
            </w:r>
            <w:r>
              <w:rPr>
                <w:rFonts w:ascii="Times New Roman" w:hAnsi="Times New Roman" w:cs="Times New Roman"/>
              </w:rPr>
              <w:t xml:space="preserve"> pateikimui, </w:t>
            </w:r>
            <w:r w:rsidRPr="00485735">
              <w:rPr>
                <w:rFonts w:ascii="Times New Roman" w:hAnsi="Times New Roman" w:cs="Times New Roman"/>
              </w:rPr>
              <w:t xml:space="preserve"> </w:t>
            </w:r>
            <w:r w:rsidRPr="00485735">
              <w:rPr>
                <w:rFonts w:ascii="Times New Roman" w:hAnsi="Times New Roman" w:cs="Times New Roman"/>
                <w:u w:val="single"/>
              </w:rPr>
              <w:t>sąrašą</w:t>
            </w:r>
            <w:r w:rsidRPr="00485735">
              <w:rPr>
                <w:rFonts w:ascii="Times New Roman" w:eastAsia="Times New Roman" w:hAnsi="Times New Roman" w:cs="Times New Roman"/>
                <w:lang w:eastAsia="lt-LT"/>
              </w:rPr>
              <w:t xml:space="preserve"> </w:t>
            </w:r>
            <w:r w:rsidRPr="00485735">
              <w:rPr>
                <w:rFonts w:ascii="Times New Roman" w:hAnsi="Times New Roman" w:cs="Times New Roman"/>
              </w:rPr>
              <w:t>su nurodytais kiekiais pakuotėje</w:t>
            </w:r>
            <w:r w:rsidRPr="00E642CB">
              <w:rPr>
                <w:rFonts w:ascii="Times New Roman" w:eastAsia="Times New Roman" w:hAnsi="Times New Roman" w:cs="Times New Roman"/>
                <w:color w:val="000000" w:themeColor="text1"/>
                <w:lang w:eastAsia="lt-LT"/>
              </w:rPr>
              <w:t>.</w:t>
            </w:r>
          </w:p>
        </w:tc>
        <w:tc>
          <w:tcPr>
            <w:tcW w:w="4962" w:type="dxa"/>
          </w:tcPr>
          <w:p w14:paraId="04CC5326" w14:textId="77777777" w:rsidR="00D87CA5" w:rsidRDefault="00D87CA5" w:rsidP="00545137">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p w14:paraId="04CC5327" w14:textId="77777777" w:rsidR="00D87CA5" w:rsidRPr="00C15BEB" w:rsidRDefault="00D87CA5" w:rsidP="00545137">
            <w:pPr>
              <w:jc w:val="center"/>
              <w:rPr>
                <w:rFonts w:ascii="Times New Roman" w:hAnsi="Times New Roman" w:cs="Times New Roman"/>
                <w:i/>
                <w:color w:val="FF0000"/>
              </w:rPr>
            </w:pPr>
            <w:r w:rsidRPr="00C15BEB">
              <w:rPr>
                <w:rFonts w:ascii="Times New Roman" w:hAnsi="Times New Roman" w:cs="Times New Roman"/>
                <w:i/>
                <w:color w:val="FF0000"/>
              </w:rPr>
              <w:t xml:space="preserve">. </w:t>
            </w:r>
          </w:p>
          <w:p w14:paraId="04CC5328" w14:textId="77777777" w:rsidR="00D87CA5" w:rsidRPr="00960288" w:rsidRDefault="00D87CA5" w:rsidP="00545137">
            <w:pPr>
              <w:jc w:val="center"/>
              <w:rPr>
                <w:rFonts w:ascii="Times New Roman" w:hAnsi="Times New Roman" w:cs="Times New Roman"/>
                <w:i/>
                <w:color w:val="000000" w:themeColor="text1"/>
              </w:rPr>
            </w:pPr>
          </w:p>
        </w:tc>
      </w:tr>
      <w:tr w:rsidR="00D87CA5" w:rsidRPr="00960288" w14:paraId="04CC532E" w14:textId="77777777" w:rsidTr="00E72419">
        <w:tc>
          <w:tcPr>
            <w:tcW w:w="675" w:type="dxa"/>
          </w:tcPr>
          <w:p w14:paraId="04CC532A" w14:textId="77777777" w:rsidR="00D87CA5" w:rsidRPr="00960288" w:rsidRDefault="00D87CA5" w:rsidP="00545137">
            <w:pPr>
              <w:pStyle w:val="Default"/>
              <w:rPr>
                <w:color w:val="000000" w:themeColor="text1"/>
                <w:sz w:val="22"/>
                <w:szCs w:val="22"/>
              </w:rPr>
            </w:pPr>
            <w:r w:rsidRPr="00960288">
              <w:rPr>
                <w:color w:val="000000" w:themeColor="text1"/>
                <w:sz w:val="22"/>
                <w:szCs w:val="22"/>
              </w:rPr>
              <w:t>5.</w:t>
            </w:r>
          </w:p>
        </w:tc>
        <w:tc>
          <w:tcPr>
            <w:tcW w:w="3544" w:type="dxa"/>
          </w:tcPr>
          <w:p w14:paraId="04CC532B" w14:textId="77777777" w:rsidR="00D87CA5" w:rsidRPr="005D16FF" w:rsidRDefault="00D87CA5" w:rsidP="00CC41BB">
            <w:pPr>
              <w:pStyle w:val="Default"/>
              <w:rPr>
                <w:color w:val="000000" w:themeColor="text1"/>
                <w:sz w:val="22"/>
                <w:szCs w:val="22"/>
              </w:rPr>
            </w:pPr>
            <w:r w:rsidRPr="005D16FF">
              <w:rPr>
                <w:color w:val="000000" w:themeColor="text1"/>
              </w:rPr>
              <w:t>Sistemos</w:t>
            </w:r>
            <w:r w:rsidRPr="005D16FF">
              <w:rPr>
                <w:color w:val="000000" w:themeColor="text1"/>
                <w:sz w:val="22"/>
                <w:szCs w:val="22"/>
              </w:rPr>
              <w:t xml:space="preserve"> įrangos priežiūra bei techninis aptarnavimas</w:t>
            </w:r>
          </w:p>
        </w:tc>
        <w:tc>
          <w:tcPr>
            <w:tcW w:w="5953" w:type="dxa"/>
          </w:tcPr>
          <w:p w14:paraId="04CC532C" w14:textId="77777777" w:rsidR="00D87CA5" w:rsidRPr="005D16FF" w:rsidRDefault="00D87CA5" w:rsidP="00545137">
            <w:pPr>
              <w:jc w:val="both"/>
              <w:rPr>
                <w:rFonts w:ascii="Times New Roman" w:eastAsia="Times New Roman" w:hAnsi="Times New Roman" w:cs="Times New Roman"/>
                <w:color w:val="000000" w:themeColor="text1"/>
                <w:lang w:eastAsia="lt-LT"/>
              </w:rPr>
            </w:pPr>
          </w:p>
        </w:tc>
        <w:tc>
          <w:tcPr>
            <w:tcW w:w="4962" w:type="dxa"/>
          </w:tcPr>
          <w:p w14:paraId="04CC532D" w14:textId="77777777" w:rsidR="00D87CA5" w:rsidRPr="00960288" w:rsidRDefault="00D87CA5" w:rsidP="00545137">
            <w:pPr>
              <w:jc w:val="center"/>
              <w:rPr>
                <w:rFonts w:ascii="Times New Roman" w:hAnsi="Times New Roman" w:cs="Times New Roman"/>
                <w:i/>
                <w:color w:val="000000" w:themeColor="text1"/>
              </w:rPr>
            </w:pPr>
          </w:p>
        </w:tc>
      </w:tr>
      <w:tr w:rsidR="00D87CA5" w:rsidRPr="00960288" w14:paraId="04CC5336" w14:textId="77777777" w:rsidTr="00E72419">
        <w:tc>
          <w:tcPr>
            <w:tcW w:w="675" w:type="dxa"/>
          </w:tcPr>
          <w:p w14:paraId="04CC532F" w14:textId="77777777" w:rsidR="00D87CA5" w:rsidRPr="00960288" w:rsidRDefault="00D87CA5" w:rsidP="00545137">
            <w:pPr>
              <w:pStyle w:val="Default"/>
              <w:rPr>
                <w:color w:val="000000" w:themeColor="text1"/>
                <w:sz w:val="22"/>
                <w:szCs w:val="22"/>
              </w:rPr>
            </w:pPr>
            <w:r w:rsidRPr="00960288">
              <w:rPr>
                <w:color w:val="000000" w:themeColor="text1"/>
                <w:sz w:val="22"/>
                <w:szCs w:val="22"/>
              </w:rPr>
              <w:lastRenderedPageBreak/>
              <w:t>5.1.</w:t>
            </w:r>
          </w:p>
        </w:tc>
        <w:tc>
          <w:tcPr>
            <w:tcW w:w="3544" w:type="dxa"/>
          </w:tcPr>
          <w:p w14:paraId="04CC5330" w14:textId="77777777" w:rsidR="00D87CA5" w:rsidRPr="005D16FF" w:rsidRDefault="00D87CA5" w:rsidP="00164CC5">
            <w:pPr>
              <w:widowControl w:val="0"/>
              <w:shd w:val="clear" w:color="auto" w:fill="FFFFFF"/>
              <w:tabs>
                <w:tab w:val="left" w:pos="0"/>
              </w:tabs>
              <w:autoSpaceDE w:val="0"/>
              <w:autoSpaceDN w:val="0"/>
              <w:adjustRightInd w:val="0"/>
              <w:jc w:val="both"/>
              <w:rPr>
                <w:rFonts w:ascii="Times New Roman" w:hAnsi="Times New Roman" w:cs="Times New Roman"/>
                <w:color w:val="000000" w:themeColor="text1"/>
              </w:rPr>
            </w:pPr>
          </w:p>
        </w:tc>
        <w:tc>
          <w:tcPr>
            <w:tcW w:w="5953" w:type="dxa"/>
          </w:tcPr>
          <w:p w14:paraId="04CC5331" w14:textId="77777777" w:rsidR="00D87CA5" w:rsidRPr="005D16FF" w:rsidRDefault="00D87CA5" w:rsidP="00BF41C9">
            <w:pPr>
              <w:jc w:val="both"/>
              <w:rPr>
                <w:rFonts w:ascii="Times New Roman" w:hAnsi="Times New Roman" w:cs="Times New Roman"/>
                <w:color w:val="000000" w:themeColor="text1"/>
              </w:rPr>
            </w:pPr>
            <w:r w:rsidRPr="005D16FF">
              <w:rPr>
                <w:rFonts w:ascii="Times New Roman" w:hAnsi="Times New Roman" w:cs="Times New Roman"/>
                <w:color w:val="000000" w:themeColor="text1"/>
              </w:rPr>
              <w:t xml:space="preserve">Tiekėjas savo sąskaita  turi užtikrinti sistemos įrangos (aparatūrinės ir programinės) nepertraukiamą techninį aptarnavimą  bei nenutrūkstamą veikimą ir tinkamą funkcionavimą sutarties galiojimo laikotarpiu.  </w:t>
            </w:r>
          </w:p>
          <w:p w14:paraId="04CC5332" w14:textId="77777777" w:rsidR="00D87CA5" w:rsidRPr="002F05A0" w:rsidRDefault="00D87CA5" w:rsidP="00BF41C9">
            <w:pPr>
              <w:jc w:val="both"/>
              <w:rPr>
                <w:rFonts w:ascii="Times New Roman" w:hAnsi="Times New Roman" w:cs="Times New Roman"/>
                <w:color w:val="000000" w:themeColor="text1"/>
              </w:rPr>
            </w:pPr>
            <w:r w:rsidRPr="005D16FF">
              <w:rPr>
                <w:rFonts w:ascii="Times New Roman" w:hAnsi="Times New Roman" w:cs="Times New Roman"/>
                <w:color w:val="000000" w:themeColor="text1"/>
              </w:rPr>
              <w:t xml:space="preserve">Gavus pranešimą apie sistemos įrangos gedimą/veiklos sutrikimą, tiekėjas nedelsiant turi prisijungti prie sistemos ir pašalinti sutrikimus nuotoliniu būdu (reikalavimas netaikomas tuo atveju, jei Sistema neturi nuotolinio serviso priežiūros modulio). Nepavykus/nesant galimybės  pašalinti gedimo nuotoliniu būdu, į Kauno klinikas per 4 val. turi atvykti reikiamą kvalifikaciją turintis darbuotojas ir visiškai pašalinti gedimą arba kitaip užtikrinti sistemos darbą. Visiškai pašalinti sistemos gedimą turi per 24 valandas, o nesant galimybės pašalinti gedimą per 24 val. tiekėjas privalo sugedusią (netinkamai </w:t>
            </w:r>
            <w:r w:rsidRPr="002F05A0">
              <w:rPr>
                <w:rFonts w:ascii="Times New Roman" w:hAnsi="Times New Roman" w:cs="Times New Roman"/>
                <w:color w:val="000000" w:themeColor="text1"/>
              </w:rPr>
              <w:t xml:space="preserve">veikiančią) įrangą laikinai pakeisti lygiaverte arba kitokiu būdu sudaryti sąlygas kokybiškai ir </w:t>
            </w:r>
            <w:proofErr w:type="spellStart"/>
            <w:r w:rsidRPr="002F05A0">
              <w:rPr>
                <w:rFonts w:ascii="Times New Roman" w:hAnsi="Times New Roman" w:cs="Times New Roman"/>
                <w:color w:val="000000" w:themeColor="text1"/>
              </w:rPr>
              <w:t>savalaikiškai</w:t>
            </w:r>
            <w:proofErr w:type="spellEnd"/>
            <w:r w:rsidRPr="002F05A0">
              <w:rPr>
                <w:rFonts w:ascii="Times New Roman" w:hAnsi="Times New Roman" w:cs="Times New Roman"/>
                <w:color w:val="000000" w:themeColor="text1"/>
              </w:rPr>
              <w:t xml:space="preserve"> atlikti tyrimus.</w:t>
            </w:r>
          </w:p>
          <w:p w14:paraId="04CC5333" w14:textId="77777777" w:rsidR="00D87CA5" w:rsidRPr="005D16FF" w:rsidRDefault="00D87CA5" w:rsidP="00BF41C9">
            <w:pPr>
              <w:jc w:val="both"/>
              <w:rPr>
                <w:rFonts w:ascii="Times New Roman" w:eastAsia="Times New Roman" w:hAnsi="Times New Roman" w:cs="Times New Roman"/>
                <w:color w:val="000000" w:themeColor="text1"/>
              </w:rPr>
            </w:pPr>
            <w:r w:rsidRPr="002F05A0">
              <w:rPr>
                <w:rFonts w:ascii="Times New Roman" w:eastAsia="Times New Roman" w:hAnsi="Times New Roman" w:cs="Times New Roman"/>
                <w:color w:val="000000" w:themeColor="text1"/>
                <w:lang w:eastAsia="lt-LT"/>
              </w:rPr>
              <w:t>(</w:t>
            </w:r>
            <w:r w:rsidRPr="002F05A0">
              <w:rPr>
                <w:rFonts w:ascii="Times New Roman" w:eastAsia="Times New Roman" w:hAnsi="Times New Roman" w:cs="Times New Roman"/>
                <w:b/>
                <w:i/>
                <w:color w:val="000000" w:themeColor="text1"/>
                <w:lang w:eastAsia="lt-LT"/>
              </w:rPr>
              <w:t>B</w:t>
            </w:r>
            <w:r w:rsidRPr="002F05A0">
              <w:rPr>
                <w:rFonts w:ascii="Times New Roman" w:hAnsi="Times New Roman" w:cs="Times New Roman"/>
                <w:b/>
                <w:i/>
                <w:color w:val="000000" w:themeColor="text1"/>
              </w:rPr>
              <w:t>ūtinas atitinkamas tiekėjo įsipareigojimas</w:t>
            </w:r>
            <w:r w:rsidRPr="005D16FF">
              <w:rPr>
                <w:rFonts w:ascii="Times New Roman" w:hAnsi="Times New Roman" w:cs="Times New Roman"/>
                <w:color w:val="000000" w:themeColor="text1"/>
              </w:rPr>
              <w:t>).</w:t>
            </w:r>
          </w:p>
        </w:tc>
        <w:tc>
          <w:tcPr>
            <w:tcW w:w="4962" w:type="dxa"/>
          </w:tcPr>
          <w:p w14:paraId="04CC5334" w14:textId="77777777" w:rsidR="00D87CA5" w:rsidRDefault="00D87CA5" w:rsidP="00510D6F">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p w14:paraId="04CC5335" w14:textId="77777777" w:rsidR="00D87CA5" w:rsidRPr="00510D6F" w:rsidRDefault="00D87CA5" w:rsidP="00510D6F">
            <w:pPr>
              <w:jc w:val="center"/>
              <w:rPr>
                <w:rFonts w:ascii="Times New Roman" w:hAnsi="Times New Roman" w:cs="Times New Roman"/>
                <w:i/>
                <w:color w:val="FF0000"/>
              </w:rPr>
            </w:pPr>
          </w:p>
        </w:tc>
      </w:tr>
    </w:tbl>
    <w:p w14:paraId="04CC5337" w14:textId="77777777" w:rsidR="0051398F" w:rsidRDefault="0051398F" w:rsidP="006E7F80">
      <w:pPr>
        <w:pStyle w:val="Default"/>
        <w:tabs>
          <w:tab w:val="left" w:pos="1985"/>
        </w:tabs>
        <w:spacing w:line="276" w:lineRule="auto"/>
        <w:rPr>
          <w:caps/>
        </w:rPr>
      </w:pPr>
    </w:p>
    <w:p w14:paraId="04CC5338" w14:textId="77777777" w:rsidR="001F2D6D" w:rsidRDefault="00442F08">
      <w:pPr>
        <w:rPr>
          <w:rFonts w:ascii="Times New Roman" w:hAnsi="Times New Roman" w:cs="Times New Roman"/>
        </w:rPr>
      </w:pPr>
      <w:r>
        <w:rPr>
          <w:rFonts w:ascii="Times New Roman" w:hAnsi="Times New Roman" w:cs="Times New Roman"/>
        </w:rPr>
        <w:br w:type="page"/>
      </w:r>
    </w:p>
    <w:p w14:paraId="04CC5339" w14:textId="77777777" w:rsidR="0027595C" w:rsidRPr="0027595C" w:rsidRDefault="0027595C" w:rsidP="0027595C">
      <w:pPr>
        <w:pBdr>
          <w:top w:val="nil"/>
          <w:left w:val="nil"/>
          <w:bottom w:val="nil"/>
          <w:right w:val="nil"/>
          <w:between w:val="nil"/>
        </w:pBdr>
        <w:tabs>
          <w:tab w:val="left" w:pos="567"/>
        </w:tabs>
        <w:spacing w:after="0" w:line="240" w:lineRule="auto"/>
        <w:jc w:val="right"/>
        <w:rPr>
          <w:rFonts w:ascii="Times New Roman" w:eastAsia="Times New Roman" w:hAnsi="Times New Roman" w:cs="Times New Roman"/>
          <w:bCs/>
          <w:caps/>
        </w:rPr>
      </w:pPr>
      <w:r w:rsidRPr="0027595C">
        <w:rPr>
          <w:rFonts w:ascii="Times New Roman" w:eastAsia="Times New Roman" w:hAnsi="Times New Roman" w:cs="Times New Roman"/>
          <w:bCs/>
          <w:caps/>
        </w:rPr>
        <w:lastRenderedPageBreak/>
        <w:t xml:space="preserve">1 </w:t>
      </w:r>
      <w:r w:rsidRPr="0027595C">
        <w:rPr>
          <w:rFonts w:ascii="Times New Roman" w:eastAsia="Times New Roman" w:hAnsi="Times New Roman" w:cs="Times New Roman"/>
          <w:bCs/>
        </w:rPr>
        <w:t>priedas</w:t>
      </w:r>
    </w:p>
    <w:p w14:paraId="04CC533A" w14:textId="77777777" w:rsidR="0027595C" w:rsidRPr="001F255B" w:rsidRDefault="0027595C" w:rsidP="0027595C">
      <w:pPr>
        <w:pBdr>
          <w:top w:val="nil"/>
          <w:left w:val="nil"/>
          <w:bottom w:val="nil"/>
          <w:right w:val="nil"/>
          <w:between w:val="nil"/>
        </w:pBdr>
        <w:tabs>
          <w:tab w:val="left" w:pos="567"/>
        </w:tabs>
        <w:spacing w:after="0" w:line="240" w:lineRule="auto"/>
        <w:jc w:val="right"/>
        <w:rPr>
          <w:rFonts w:ascii="Times New Roman" w:eastAsia="Times New Roman" w:hAnsi="Times New Roman" w:cs="Times New Roman"/>
          <w:b/>
          <w:bCs/>
          <w:caps/>
        </w:rPr>
      </w:pPr>
    </w:p>
    <w:p w14:paraId="04CC533B" w14:textId="77777777" w:rsidR="0027595C" w:rsidRDefault="0027595C" w:rsidP="0027595C">
      <w:pPr>
        <w:pBdr>
          <w:top w:val="nil"/>
          <w:left w:val="nil"/>
          <w:bottom w:val="nil"/>
          <w:right w:val="nil"/>
          <w:between w:val="nil"/>
        </w:pBdr>
        <w:tabs>
          <w:tab w:val="left" w:pos="567"/>
        </w:tabs>
        <w:spacing w:after="0" w:line="240" w:lineRule="auto"/>
        <w:ind w:left="-284"/>
        <w:jc w:val="center"/>
        <w:rPr>
          <w:rFonts w:ascii="Times New Roman" w:hAnsi="Times New Roman" w:cs="Times New Roman"/>
          <w:b/>
          <w:caps/>
          <w:sz w:val="23"/>
          <w:szCs w:val="23"/>
        </w:rPr>
      </w:pPr>
      <w:r w:rsidRPr="00A65E0D">
        <w:rPr>
          <w:rFonts w:ascii="Times New Roman" w:hAnsi="Times New Roman" w:cs="Times New Roman"/>
          <w:b/>
          <w:caps/>
          <w:sz w:val="23"/>
          <w:szCs w:val="23"/>
        </w:rPr>
        <w:t>REAGENT</w:t>
      </w:r>
      <w:r>
        <w:rPr>
          <w:rFonts w:ascii="Times New Roman" w:hAnsi="Times New Roman" w:cs="Times New Roman"/>
          <w:b/>
          <w:caps/>
          <w:sz w:val="23"/>
          <w:szCs w:val="23"/>
        </w:rPr>
        <w:t>ai</w:t>
      </w:r>
      <w:r w:rsidRPr="00A65E0D">
        <w:rPr>
          <w:rFonts w:ascii="Times New Roman" w:hAnsi="Times New Roman" w:cs="Times New Roman"/>
          <w:b/>
          <w:caps/>
          <w:sz w:val="23"/>
          <w:szCs w:val="23"/>
        </w:rPr>
        <w:t xml:space="preserve"> </w:t>
      </w:r>
      <w:r>
        <w:rPr>
          <w:rFonts w:ascii="Times New Roman" w:hAnsi="Times New Roman" w:cs="Times New Roman"/>
          <w:b/>
          <w:caps/>
          <w:sz w:val="23"/>
          <w:szCs w:val="23"/>
        </w:rPr>
        <w:t xml:space="preserve">IR papildomos priemonės </w:t>
      </w:r>
      <w:r w:rsidRPr="00A65E0D">
        <w:rPr>
          <w:rFonts w:ascii="Times New Roman" w:hAnsi="Times New Roman" w:cs="Times New Roman"/>
          <w:b/>
          <w:caps/>
          <w:sz w:val="23"/>
          <w:szCs w:val="23"/>
        </w:rPr>
        <w:t xml:space="preserve">DECENTRALIZUOTŲ KAPILIARINĖS GLIKEMIJOS TYRIMŲ ATLIKIMO SISTEMAI </w:t>
      </w:r>
    </w:p>
    <w:p w14:paraId="04CC533C" w14:textId="77777777" w:rsidR="0027595C" w:rsidRPr="001F255B" w:rsidRDefault="0027595C" w:rsidP="0027595C">
      <w:pPr>
        <w:pBdr>
          <w:top w:val="nil"/>
          <w:left w:val="nil"/>
          <w:bottom w:val="nil"/>
          <w:right w:val="nil"/>
          <w:between w:val="nil"/>
        </w:pBdr>
        <w:tabs>
          <w:tab w:val="left" w:pos="567"/>
        </w:tabs>
        <w:spacing w:after="0" w:line="240" w:lineRule="auto"/>
        <w:ind w:left="-284"/>
        <w:rPr>
          <w:rFonts w:ascii="Times New Roman" w:eastAsia="Times New Roman" w:hAnsi="Times New Roman" w:cs="Times New Roman"/>
          <w:color w:val="000000"/>
        </w:rPr>
      </w:pPr>
    </w:p>
    <w:tbl>
      <w:tblPr>
        <w:tblpPr w:leftFromText="180" w:rightFromText="180" w:vertAnchor="text" w:tblpX="-346"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090"/>
        <w:gridCol w:w="1417"/>
        <w:gridCol w:w="1276"/>
        <w:gridCol w:w="1843"/>
        <w:gridCol w:w="1276"/>
        <w:gridCol w:w="1134"/>
        <w:gridCol w:w="1417"/>
        <w:gridCol w:w="1418"/>
        <w:gridCol w:w="1417"/>
      </w:tblGrid>
      <w:tr w:rsidR="0027595C" w:rsidRPr="001F255B" w14:paraId="04CC534D" w14:textId="77777777" w:rsidTr="00154360">
        <w:trPr>
          <w:trHeight w:val="1313"/>
        </w:trPr>
        <w:tc>
          <w:tcPr>
            <w:tcW w:w="704" w:type="dxa"/>
            <w:shd w:val="clear" w:color="auto" w:fill="auto"/>
            <w:hideMark/>
          </w:tcPr>
          <w:p w14:paraId="04CC533D" w14:textId="77777777" w:rsidR="0027595C" w:rsidRPr="001F255B" w:rsidRDefault="0027595C" w:rsidP="00154360">
            <w:pPr>
              <w:spacing w:after="0" w:line="240" w:lineRule="auto"/>
              <w:rPr>
                <w:rFonts w:ascii="Times New Roman" w:eastAsia="Times New Roman" w:hAnsi="Times New Roman" w:cs="Times New Roman"/>
                <w:bCs/>
              </w:rPr>
            </w:pPr>
          </w:p>
          <w:p w14:paraId="04CC533E" w14:textId="77777777" w:rsidR="0027595C" w:rsidRPr="001F255B" w:rsidRDefault="0027595C" w:rsidP="00154360">
            <w:pPr>
              <w:spacing w:after="0" w:line="240" w:lineRule="auto"/>
              <w:rPr>
                <w:rFonts w:ascii="Times New Roman" w:eastAsia="Times New Roman" w:hAnsi="Times New Roman" w:cs="Times New Roman"/>
                <w:bCs/>
              </w:rPr>
            </w:pPr>
          </w:p>
          <w:p w14:paraId="04CC533F" w14:textId="77777777" w:rsidR="0027595C" w:rsidRPr="001F255B" w:rsidRDefault="0027595C" w:rsidP="00154360">
            <w:pPr>
              <w:spacing w:after="0" w:line="240" w:lineRule="auto"/>
              <w:rPr>
                <w:rFonts w:ascii="Times New Roman" w:eastAsia="Times New Roman" w:hAnsi="Times New Roman" w:cs="Times New Roman"/>
                <w:bCs/>
              </w:rPr>
            </w:pPr>
            <w:r w:rsidRPr="001F255B">
              <w:rPr>
                <w:rFonts w:ascii="Times New Roman" w:eastAsia="Times New Roman" w:hAnsi="Times New Roman" w:cs="Times New Roman"/>
                <w:bCs/>
              </w:rPr>
              <w:t>Eil.</w:t>
            </w:r>
            <w:r w:rsidRPr="001F255B">
              <w:rPr>
                <w:rFonts w:ascii="Times New Roman" w:eastAsia="Times New Roman" w:hAnsi="Times New Roman" w:cs="Times New Roman"/>
                <w:bCs/>
              </w:rPr>
              <w:br/>
              <w:t>Nr.</w:t>
            </w:r>
          </w:p>
        </w:tc>
        <w:tc>
          <w:tcPr>
            <w:tcW w:w="3090" w:type="dxa"/>
            <w:shd w:val="clear" w:color="auto" w:fill="auto"/>
            <w:hideMark/>
          </w:tcPr>
          <w:p w14:paraId="04CC5340" w14:textId="77777777" w:rsidR="0027595C" w:rsidRPr="001F255B" w:rsidRDefault="0027595C" w:rsidP="00154360">
            <w:pPr>
              <w:spacing w:after="0" w:line="240" w:lineRule="auto"/>
              <w:rPr>
                <w:rFonts w:ascii="Times New Roman" w:eastAsia="Times New Roman" w:hAnsi="Times New Roman" w:cs="Times New Roman"/>
                <w:bCs/>
              </w:rPr>
            </w:pPr>
          </w:p>
          <w:p w14:paraId="04CC5341" w14:textId="77777777" w:rsidR="0027595C" w:rsidRPr="001F255B" w:rsidRDefault="0027595C" w:rsidP="00154360">
            <w:pPr>
              <w:spacing w:after="0" w:line="240" w:lineRule="auto"/>
              <w:rPr>
                <w:rFonts w:ascii="Times New Roman" w:eastAsia="Times New Roman" w:hAnsi="Times New Roman" w:cs="Times New Roman"/>
                <w:bCs/>
              </w:rPr>
            </w:pPr>
          </w:p>
          <w:p w14:paraId="04CC5342" w14:textId="77777777" w:rsidR="0027595C" w:rsidRPr="001F255B" w:rsidRDefault="0027595C" w:rsidP="00154360">
            <w:pPr>
              <w:spacing w:after="0" w:line="240" w:lineRule="auto"/>
              <w:jc w:val="center"/>
              <w:rPr>
                <w:rFonts w:ascii="Times New Roman" w:eastAsia="Times New Roman" w:hAnsi="Times New Roman" w:cs="Times New Roman"/>
                <w:bCs/>
              </w:rPr>
            </w:pPr>
            <w:r w:rsidRPr="001F255B">
              <w:rPr>
                <w:rFonts w:ascii="Times New Roman" w:eastAsia="Times New Roman" w:hAnsi="Times New Roman" w:cs="Times New Roman"/>
                <w:bCs/>
              </w:rPr>
              <w:t>Diagnostinių reagentų, papildomų medžiagų pavadinimai</w:t>
            </w:r>
          </w:p>
        </w:tc>
        <w:tc>
          <w:tcPr>
            <w:tcW w:w="1417" w:type="dxa"/>
            <w:shd w:val="clear" w:color="auto" w:fill="auto"/>
            <w:hideMark/>
          </w:tcPr>
          <w:p w14:paraId="04CC5343" w14:textId="77777777" w:rsidR="0027595C" w:rsidRPr="001F255B" w:rsidRDefault="0027595C" w:rsidP="00154360">
            <w:pPr>
              <w:spacing w:after="0" w:line="240" w:lineRule="auto"/>
              <w:jc w:val="center"/>
              <w:rPr>
                <w:rFonts w:ascii="Times New Roman" w:eastAsia="Times New Roman" w:hAnsi="Times New Roman" w:cs="Times New Roman"/>
                <w:bCs/>
              </w:rPr>
            </w:pPr>
            <w:r w:rsidRPr="001F255B">
              <w:rPr>
                <w:rFonts w:ascii="Times New Roman" w:eastAsia="Times New Roman" w:hAnsi="Times New Roman" w:cs="Times New Roman"/>
                <w:bCs/>
              </w:rPr>
              <w:t xml:space="preserve">Preliminarus tyrimų skaičius per </w:t>
            </w:r>
            <w:r>
              <w:rPr>
                <w:rFonts w:ascii="Times New Roman" w:eastAsia="Times New Roman" w:hAnsi="Times New Roman" w:cs="Times New Roman"/>
                <w:bCs/>
              </w:rPr>
              <w:t>36</w:t>
            </w:r>
            <w:r w:rsidRPr="001F255B">
              <w:rPr>
                <w:rFonts w:ascii="Times New Roman" w:eastAsia="Times New Roman" w:hAnsi="Times New Roman" w:cs="Times New Roman"/>
                <w:bCs/>
              </w:rPr>
              <w:t xml:space="preserve"> mėn.</w:t>
            </w:r>
          </w:p>
        </w:tc>
        <w:tc>
          <w:tcPr>
            <w:tcW w:w="1276" w:type="dxa"/>
          </w:tcPr>
          <w:p w14:paraId="04CC5344" w14:textId="77777777" w:rsidR="0027595C" w:rsidRPr="001F255B" w:rsidRDefault="0027595C" w:rsidP="00154360">
            <w:pPr>
              <w:shd w:val="clear" w:color="auto" w:fill="FFFFFF"/>
              <w:ind w:left="57" w:right="57"/>
              <w:contextualSpacing/>
              <w:jc w:val="center"/>
              <w:rPr>
                <w:rFonts w:ascii="Times New Roman" w:hAnsi="Times New Roman" w:cs="Times New Roman"/>
                <w:bCs/>
              </w:rPr>
            </w:pPr>
            <w:r w:rsidRPr="001F255B">
              <w:rPr>
                <w:rFonts w:ascii="Times New Roman" w:hAnsi="Times New Roman" w:cs="Times New Roman"/>
                <w:bCs/>
              </w:rPr>
              <w:t>Siūloma pakuotė</w:t>
            </w:r>
          </w:p>
        </w:tc>
        <w:tc>
          <w:tcPr>
            <w:tcW w:w="1843" w:type="dxa"/>
            <w:shd w:val="clear" w:color="auto" w:fill="auto"/>
            <w:hideMark/>
          </w:tcPr>
          <w:p w14:paraId="04CC5345" w14:textId="77777777" w:rsidR="0027595C" w:rsidRPr="001F255B" w:rsidRDefault="0027595C" w:rsidP="00154360">
            <w:pPr>
              <w:shd w:val="clear" w:color="auto" w:fill="FFFFFF"/>
              <w:ind w:left="57" w:right="57"/>
              <w:contextualSpacing/>
              <w:jc w:val="center"/>
              <w:rPr>
                <w:rFonts w:ascii="Times New Roman" w:hAnsi="Times New Roman" w:cs="Times New Roman"/>
                <w:bCs/>
              </w:rPr>
            </w:pPr>
            <w:r w:rsidRPr="001F255B">
              <w:rPr>
                <w:rFonts w:ascii="Times New Roman" w:hAnsi="Times New Roman" w:cs="Times New Roman"/>
                <w:bCs/>
              </w:rPr>
              <w:t>Siūlomų pakuočių kiekis, reikalingas nurodytam tyrimų skaičiui atlikti</w:t>
            </w:r>
          </w:p>
        </w:tc>
        <w:tc>
          <w:tcPr>
            <w:tcW w:w="1276" w:type="dxa"/>
          </w:tcPr>
          <w:p w14:paraId="04CC5346" w14:textId="77777777" w:rsidR="0027595C" w:rsidRPr="001F255B" w:rsidRDefault="0027595C" w:rsidP="00154360">
            <w:pPr>
              <w:shd w:val="clear" w:color="auto" w:fill="FFFFFF"/>
              <w:ind w:left="57" w:right="57"/>
              <w:contextualSpacing/>
              <w:jc w:val="center"/>
              <w:rPr>
                <w:rFonts w:ascii="Times New Roman" w:hAnsi="Times New Roman" w:cs="Times New Roman"/>
                <w:bCs/>
              </w:rPr>
            </w:pPr>
            <w:r w:rsidRPr="001F255B">
              <w:rPr>
                <w:rFonts w:ascii="Times New Roman" w:hAnsi="Times New Roman" w:cs="Times New Roman"/>
                <w:bCs/>
              </w:rPr>
              <w:t>Siūlomos pakuotės kaina EUR be PVM</w:t>
            </w:r>
          </w:p>
        </w:tc>
        <w:tc>
          <w:tcPr>
            <w:tcW w:w="1134" w:type="dxa"/>
            <w:shd w:val="clear" w:color="auto" w:fill="auto"/>
            <w:hideMark/>
          </w:tcPr>
          <w:p w14:paraId="04CC5347" w14:textId="77777777" w:rsidR="0027595C" w:rsidRPr="001F255B" w:rsidRDefault="0027595C" w:rsidP="00154360">
            <w:pPr>
              <w:shd w:val="clear" w:color="auto" w:fill="FFFFFF"/>
              <w:ind w:left="34" w:right="57"/>
              <w:contextualSpacing/>
              <w:jc w:val="center"/>
              <w:rPr>
                <w:rFonts w:ascii="Times New Roman" w:hAnsi="Times New Roman" w:cs="Times New Roman"/>
                <w:bCs/>
              </w:rPr>
            </w:pPr>
            <w:r w:rsidRPr="001F255B">
              <w:rPr>
                <w:rFonts w:ascii="Times New Roman" w:hAnsi="Times New Roman" w:cs="Times New Roman"/>
                <w:bCs/>
              </w:rPr>
              <w:t>PVM tarifas %</w:t>
            </w:r>
          </w:p>
        </w:tc>
        <w:tc>
          <w:tcPr>
            <w:tcW w:w="1417" w:type="dxa"/>
            <w:shd w:val="clear" w:color="auto" w:fill="auto"/>
            <w:hideMark/>
          </w:tcPr>
          <w:p w14:paraId="04CC5348" w14:textId="77777777" w:rsidR="0027595C" w:rsidRPr="001F255B" w:rsidRDefault="0027595C" w:rsidP="00154360">
            <w:pPr>
              <w:shd w:val="clear" w:color="auto" w:fill="FFFFFF"/>
              <w:ind w:left="57" w:right="57"/>
              <w:contextualSpacing/>
              <w:jc w:val="center"/>
              <w:rPr>
                <w:rFonts w:ascii="Times New Roman" w:hAnsi="Times New Roman" w:cs="Times New Roman"/>
                <w:bCs/>
              </w:rPr>
            </w:pPr>
            <w:r w:rsidRPr="001F255B">
              <w:rPr>
                <w:rFonts w:ascii="Times New Roman" w:hAnsi="Times New Roman" w:cs="Times New Roman"/>
                <w:bCs/>
              </w:rPr>
              <w:t>Suma, EUR be PVM</w:t>
            </w:r>
          </w:p>
          <w:p w14:paraId="04CC5349" w14:textId="77777777" w:rsidR="0027595C" w:rsidRPr="001F255B" w:rsidRDefault="0027595C" w:rsidP="00154360">
            <w:pPr>
              <w:shd w:val="clear" w:color="auto" w:fill="FFFFFF"/>
              <w:ind w:left="57" w:right="57"/>
              <w:contextualSpacing/>
              <w:jc w:val="center"/>
              <w:rPr>
                <w:rFonts w:ascii="Times New Roman" w:hAnsi="Times New Roman" w:cs="Times New Roman"/>
                <w:bCs/>
              </w:rPr>
            </w:pPr>
            <w:r>
              <w:rPr>
                <w:rFonts w:ascii="Times New Roman" w:hAnsi="Times New Roman" w:cs="Times New Roman"/>
                <w:bCs/>
              </w:rPr>
              <w:t>36</w:t>
            </w:r>
            <w:r w:rsidRPr="001F255B">
              <w:rPr>
                <w:rFonts w:ascii="Times New Roman" w:hAnsi="Times New Roman" w:cs="Times New Roman"/>
                <w:bCs/>
              </w:rPr>
              <w:t>mėn. laikotarpiui</w:t>
            </w:r>
          </w:p>
        </w:tc>
        <w:tc>
          <w:tcPr>
            <w:tcW w:w="1418" w:type="dxa"/>
          </w:tcPr>
          <w:p w14:paraId="04CC534A" w14:textId="77777777" w:rsidR="0027595C" w:rsidRPr="001F255B" w:rsidRDefault="0027595C" w:rsidP="00154360">
            <w:pPr>
              <w:shd w:val="clear" w:color="auto" w:fill="FFFFFF"/>
              <w:ind w:left="57" w:right="57"/>
              <w:contextualSpacing/>
              <w:jc w:val="center"/>
              <w:rPr>
                <w:rFonts w:ascii="Times New Roman" w:hAnsi="Times New Roman" w:cs="Times New Roman"/>
                <w:bCs/>
              </w:rPr>
            </w:pPr>
            <w:r w:rsidRPr="001F255B">
              <w:rPr>
                <w:rFonts w:ascii="Times New Roman" w:hAnsi="Times New Roman" w:cs="Times New Roman"/>
                <w:bCs/>
              </w:rPr>
              <w:t>Suma, EUR su PVM</w:t>
            </w:r>
          </w:p>
          <w:p w14:paraId="04CC534B" w14:textId="77777777" w:rsidR="0027595C" w:rsidRPr="001F255B" w:rsidRDefault="0027595C" w:rsidP="00154360">
            <w:pPr>
              <w:shd w:val="clear" w:color="auto" w:fill="FFFFFF"/>
              <w:ind w:left="57" w:right="57"/>
              <w:contextualSpacing/>
              <w:jc w:val="center"/>
              <w:rPr>
                <w:rFonts w:ascii="Times New Roman" w:hAnsi="Times New Roman" w:cs="Times New Roman"/>
                <w:bCs/>
              </w:rPr>
            </w:pPr>
            <w:r>
              <w:rPr>
                <w:rFonts w:ascii="Times New Roman" w:hAnsi="Times New Roman" w:cs="Times New Roman"/>
                <w:bCs/>
              </w:rPr>
              <w:t>36</w:t>
            </w:r>
            <w:r w:rsidRPr="001F255B">
              <w:rPr>
                <w:rFonts w:ascii="Times New Roman" w:hAnsi="Times New Roman" w:cs="Times New Roman"/>
                <w:bCs/>
              </w:rPr>
              <w:t>mėn. laikotarpiui</w:t>
            </w:r>
          </w:p>
        </w:tc>
        <w:tc>
          <w:tcPr>
            <w:tcW w:w="1417" w:type="dxa"/>
            <w:shd w:val="clear" w:color="auto" w:fill="auto"/>
            <w:hideMark/>
          </w:tcPr>
          <w:p w14:paraId="04CC534C" w14:textId="77777777" w:rsidR="0027595C" w:rsidRPr="001F255B" w:rsidRDefault="0027595C" w:rsidP="00154360">
            <w:pPr>
              <w:shd w:val="clear" w:color="auto" w:fill="FFFFFF"/>
              <w:ind w:left="57" w:right="57"/>
              <w:contextualSpacing/>
              <w:jc w:val="center"/>
              <w:rPr>
                <w:rFonts w:ascii="Times New Roman" w:hAnsi="Times New Roman" w:cs="Times New Roman"/>
                <w:bCs/>
              </w:rPr>
            </w:pPr>
            <w:r w:rsidRPr="001F255B">
              <w:rPr>
                <w:rFonts w:ascii="Times New Roman" w:hAnsi="Times New Roman" w:cs="Times New Roman"/>
                <w:bCs/>
              </w:rPr>
              <w:t>Gamintojas, prekės katalogo numeris</w:t>
            </w:r>
          </w:p>
        </w:tc>
      </w:tr>
      <w:tr w:rsidR="0027595C" w:rsidRPr="001F255B" w14:paraId="04CC5358" w14:textId="77777777" w:rsidTr="00154360">
        <w:trPr>
          <w:trHeight w:val="300"/>
        </w:trPr>
        <w:tc>
          <w:tcPr>
            <w:tcW w:w="704" w:type="dxa"/>
            <w:shd w:val="clear" w:color="auto" w:fill="auto"/>
            <w:noWrap/>
            <w:hideMark/>
          </w:tcPr>
          <w:p w14:paraId="04CC534E"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1</w:t>
            </w:r>
          </w:p>
        </w:tc>
        <w:tc>
          <w:tcPr>
            <w:tcW w:w="3090" w:type="dxa"/>
            <w:shd w:val="clear" w:color="auto" w:fill="auto"/>
            <w:noWrap/>
            <w:hideMark/>
          </w:tcPr>
          <w:p w14:paraId="04CC534F"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2</w:t>
            </w:r>
          </w:p>
        </w:tc>
        <w:tc>
          <w:tcPr>
            <w:tcW w:w="1417" w:type="dxa"/>
            <w:shd w:val="clear" w:color="auto" w:fill="auto"/>
            <w:noWrap/>
            <w:hideMark/>
          </w:tcPr>
          <w:p w14:paraId="04CC5350"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3</w:t>
            </w:r>
          </w:p>
        </w:tc>
        <w:tc>
          <w:tcPr>
            <w:tcW w:w="1276" w:type="dxa"/>
          </w:tcPr>
          <w:p w14:paraId="04CC5351"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4</w:t>
            </w:r>
          </w:p>
        </w:tc>
        <w:tc>
          <w:tcPr>
            <w:tcW w:w="1843" w:type="dxa"/>
            <w:shd w:val="clear" w:color="auto" w:fill="auto"/>
            <w:noWrap/>
            <w:hideMark/>
          </w:tcPr>
          <w:p w14:paraId="04CC5352"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5</w:t>
            </w:r>
          </w:p>
        </w:tc>
        <w:tc>
          <w:tcPr>
            <w:tcW w:w="1276" w:type="dxa"/>
          </w:tcPr>
          <w:p w14:paraId="04CC5353"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6</w:t>
            </w:r>
          </w:p>
        </w:tc>
        <w:tc>
          <w:tcPr>
            <w:tcW w:w="1134" w:type="dxa"/>
            <w:shd w:val="clear" w:color="auto" w:fill="auto"/>
            <w:noWrap/>
            <w:hideMark/>
          </w:tcPr>
          <w:p w14:paraId="04CC5354"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7</w:t>
            </w:r>
          </w:p>
        </w:tc>
        <w:tc>
          <w:tcPr>
            <w:tcW w:w="1417" w:type="dxa"/>
            <w:shd w:val="clear" w:color="auto" w:fill="auto"/>
            <w:noWrap/>
            <w:hideMark/>
          </w:tcPr>
          <w:p w14:paraId="04CC5355"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8</w:t>
            </w:r>
          </w:p>
        </w:tc>
        <w:tc>
          <w:tcPr>
            <w:tcW w:w="1418" w:type="dxa"/>
          </w:tcPr>
          <w:p w14:paraId="04CC5356"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9</w:t>
            </w:r>
          </w:p>
        </w:tc>
        <w:tc>
          <w:tcPr>
            <w:tcW w:w="1417" w:type="dxa"/>
            <w:shd w:val="clear" w:color="auto" w:fill="auto"/>
            <w:noWrap/>
            <w:hideMark/>
          </w:tcPr>
          <w:p w14:paraId="04CC5357"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10</w:t>
            </w:r>
          </w:p>
        </w:tc>
      </w:tr>
      <w:tr w:rsidR="0027595C" w:rsidRPr="001F255B" w14:paraId="04CC5363" w14:textId="77777777" w:rsidTr="00AB79F4">
        <w:trPr>
          <w:trHeight w:val="574"/>
        </w:trPr>
        <w:tc>
          <w:tcPr>
            <w:tcW w:w="704" w:type="dxa"/>
            <w:shd w:val="clear" w:color="auto" w:fill="auto"/>
            <w:noWrap/>
            <w:hideMark/>
          </w:tcPr>
          <w:p w14:paraId="04CC5359" w14:textId="77777777" w:rsidR="0027595C" w:rsidRPr="001F255B" w:rsidRDefault="0027595C" w:rsidP="00154360">
            <w:pPr>
              <w:spacing w:after="0" w:line="240" w:lineRule="auto"/>
              <w:rPr>
                <w:rFonts w:ascii="Times New Roman" w:eastAsia="Times New Roman" w:hAnsi="Times New Roman" w:cs="Times New Roman"/>
                <w:b/>
              </w:rPr>
            </w:pPr>
            <w:r w:rsidRPr="001F255B">
              <w:rPr>
                <w:rFonts w:ascii="Times New Roman" w:eastAsia="Times New Roman" w:hAnsi="Times New Roman" w:cs="Times New Roman"/>
                <w:b/>
              </w:rPr>
              <w:t>1.</w:t>
            </w:r>
          </w:p>
        </w:tc>
        <w:tc>
          <w:tcPr>
            <w:tcW w:w="3090" w:type="dxa"/>
            <w:shd w:val="clear" w:color="auto" w:fill="auto"/>
            <w:noWrap/>
            <w:hideMark/>
          </w:tcPr>
          <w:p w14:paraId="04CC535A" w14:textId="77777777" w:rsidR="0027595C" w:rsidRPr="001F255B" w:rsidRDefault="0027595C" w:rsidP="00154360">
            <w:pPr>
              <w:spacing w:after="0" w:line="240" w:lineRule="auto"/>
              <w:rPr>
                <w:rFonts w:ascii="Times New Roman" w:hAnsi="Times New Roman" w:cs="Times New Roman"/>
                <w:b/>
              </w:rPr>
            </w:pPr>
            <w:r>
              <w:rPr>
                <w:rFonts w:ascii="Times New Roman" w:hAnsi="Times New Roman" w:cs="Times New Roman"/>
                <w:b/>
                <w:bCs/>
                <w:color w:val="000000"/>
              </w:rPr>
              <w:t xml:space="preserve">Kapiliarinės </w:t>
            </w:r>
            <w:proofErr w:type="spellStart"/>
            <w:r>
              <w:rPr>
                <w:rFonts w:ascii="Times New Roman" w:hAnsi="Times New Roman" w:cs="Times New Roman"/>
                <w:b/>
                <w:bCs/>
                <w:color w:val="000000"/>
              </w:rPr>
              <w:t>glikemijos</w:t>
            </w:r>
            <w:proofErr w:type="spellEnd"/>
            <w:r>
              <w:rPr>
                <w:rFonts w:ascii="Times New Roman" w:hAnsi="Times New Roman" w:cs="Times New Roman"/>
                <w:b/>
                <w:bCs/>
                <w:color w:val="000000"/>
              </w:rPr>
              <w:t xml:space="preserve"> nustatymas</w:t>
            </w:r>
          </w:p>
        </w:tc>
        <w:tc>
          <w:tcPr>
            <w:tcW w:w="1417" w:type="dxa"/>
            <w:shd w:val="clear" w:color="auto" w:fill="auto"/>
            <w:noWrap/>
            <w:hideMark/>
          </w:tcPr>
          <w:p w14:paraId="04CC535B" w14:textId="77777777" w:rsidR="0027595C" w:rsidRPr="001F255B" w:rsidRDefault="0027595C" w:rsidP="003D3799">
            <w:pPr>
              <w:spacing w:after="0" w:line="240" w:lineRule="auto"/>
              <w:jc w:val="center"/>
              <w:rPr>
                <w:rFonts w:ascii="Times New Roman" w:hAnsi="Times New Roman" w:cs="Times New Roman"/>
                <w:b/>
              </w:rPr>
            </w:pPr>
            <w:r>
              <w:rPr>
                <w:rFonts w:ascii="Times New Roman" w:hAnsi="Times New Roman" w:cs="Times New Roman"/>
                <w:b/>
                <w:bCs/>
              </w:rPr>
              <w:t>2</w:t>
            </w:r>
            <w:r w:rsidR="00C858A1">
              <w:rPr>
                <w:rFonts w:ascii="Times New Roman" w:hAnsi="Times New Roman" w:cs="Times New Roman"/>
                <w:b/>
                <w:bCs/>
              </w:rPr>
              <w:t>0</w:t>
            </w:r>
            <w:r w:rsidR="003D3799">
              <w:rPr>
                <w:rFonts w:ascii="Times New Roman" w:hAnsi="Times New Roman" w:cs="Times New Roman"/>
                <w:b/>
                <w:bCs/>
              </w:rPr>
              <w:t>5</w:t>
            </w:r>
            <w:r>
              <w:rPr>
                <w:rFonts w:ascii="Times New Roman" w:hAnsi="Times New Roman" w:cs="Times New Roman"/>
                <w:b/>
                <w:bCs/>
              </w:rPr>
              <w:t xml:space="preserve"> 0</w:t>
            </w:r>
            <w:r w:rsidRPr="001F255B">
              <w:rPr>
                <w:rFonts w:ascii="Times New Roman" w:hAnsi="Times New Roman" w:cs="Times New Roman"/>
                <w:b/>
                <w:bCs/>
              </w:rPr>
              <w:t>00</w:t>
            </w:r>
          </w:p>
        </w:tc>
        <w:tc>
          <w:tcPr>
            <w:tcW w:w="1276" w:type="dxa"/>
          </w:tcPr>
          <w:p w14:paraId="04CC535C" w14:textId="77777777" w:rsidR="0027595C" w:rsidRPr="001F255B" w:rsidRDefault="0027595C" w:rsidP="00154360">
            <w:pPr>
              <w:jc w:val="center"/>
              <w:rPr>
                <w:rFonts w:ascii="Times New Roman" w:hAnsi="Times New Roman" w:cs="Times New Roman"/>
              </w:rPr>
            </w:pPr>
            <w:r w:rsidRPr="001F255B">
              <w:rPr>
                <w:rFonts w:ascii="Times New Roman" w:eastAsia="Times New Roman" w:hAnsi="Times New Roman" w:cs="Times New Roman"/>
              </w:rPr>
              <w:t>x</w:t>
            </w:r>
          </w:p>
        </w:tc>
        <w:tc>
          <w:tcPr>
            <w:tcW w:w="1843" w:type="dxa"/>
            <w:shd w:val="clear" w:color="auto" w:fill="auto"/>
            <w:noWrap/>
            <w:hideMark/>
          </w:tcPr>
          <w:p w14:paraId="04CC535D" w14:textId="77777777" w:rsidR="0027595C" w:rsidRPr="001F255B" w:rsidRDefault="0027595C" w:rsidP="00154360">
            <w:pPr>
              <w:jc w:val="center"/>
              <w:rPr>
                <w:rFonts w:ascii="Times New Roman" w:hAnsi="Times New Roman" w:cs="Times New Roman"/>
              </w:rPr>
            </w:pPr>
            <w:r w:rsidRPr="001F255B">
              <w:rPr>
                <w:rFonts w:ascii="Times New Roman" w:eastAsia="Times New Roman" w:hAnsi="Times New Roman" w:cs="Times New Roman"/>
              </w:rPr>
              <w:t>x</w:t>
            </w:r>
          </w:p>
        </w:tc>
        <w:tc>
          <w:tcPr>
            <w:tcW w:w="1276" w:type="dxa"/>
          </w:tcPr>
          <w:p w14:paraId="04CC535E" w14:textId="77777777" w:rsidR="0027595C" w:rsidRPr="001F255B" w:rsidRDefault="0027595C" w:rsidP="00154360">
            <w:pPr>
              <w:jc w:val="center"/>
              <w:rPr>
                <w:rFonts w:ascii="Times New Roman" w:hAnsi="Times New Roman" w:cs="Times New Roman"/>
              </w:rPr>
            </w:pPr>
            <w:r w:rsidRPr="001F255B">
              <w:rPr>
                <w:rFonts w:ascii="Times New Roman" w:eastAsia="Times New Roman" w:hAnsi="Times New Roman" w:cs="Times New Roman"/>
              </w:rPr>
              <w:t>x</w:t>
            </w:r>
          </w:p>
        </w:tc>
        <w:tc>
          <w:tcPr>
            <w:tcW w:w="1134" w:type="dxa"/>
            <w:shd w:val="clear" w:color="auto" w:fill="auto"/>
            <w:noWrap/>
            <w:hideMark/>
          </w:tcPr>
          <w:p w14:paraId="04CC535F" w14:textId="77777777" w:rsidR="0027595C" w:rsidRPr="001F255B" w:rsidRDefault="0027595C" w:rsidP="00154360">
            <w:pPr>
              <w:jc w:val="center"/>
              <w:rPr>
                <w:rFonts w:ascii="Times New Roman" w:hAnsi="Times New Roman" w:cs="Times New Roman"/>
              </w:rPr>
            </w:pPr>
            <w:r w:rsidRPr="001F255B">
              <w:rPr>
                <w:rFonts w:ascii="Times New Roman" w:eastAsia="Times New Roman" w:hAnsi="Times New Roman" w:cs="Times New Roman"/>
              </w:rPr>
              <w:t>x</w:t>
            </w:r>
          </w:p>
        </w:tc>
        <w:tc>
          <w:tcPr>
            <w:tcW w:w="1417" w:type="dxa"/>
            <w:shd w:val="clear" w:color="auto" w:fill="auto"/>
            <w:noWrap/>
            <w:hideMark/>
          </w:tcPr>
          <w:p w14:paraId="04CC5360" w14:textId="77777777" w:rsidR="0027595C" w:rsidRPr="001F255B" w:rsidRDefault="0027595C" w:rsidP="00154360">
            <w:pPr>
              <w:jc w:val="center"/>
              <w:rPr>
                <w:rFonts w:ascii="Times New Roman" w:hAnsi="Times New Roman" w:cs="Times New Roman"/>
              </w:rPr>
            </w:pPr>
            <w:r w:rsidRPr="001F255B">
              <w:rPr>
                <w:rFonts w:ascii="Times New Roman" w:eastAsia="Times New Roman" w:hAnsi="Times New Roman" w:cs="Times New Roman"/>
              </w:rPr>
              <w:t>x</w:t>
            </w:r>
          </w:p>
        </w:tc>
        <w:tc>
          <w:tcPr>
            <w:tcW w:w="1418" w:type="dxa"/>
          </w:tcPr>
          <w:p w14:paraId="04CC5361" w14:textId="77777777" w:rsidR="0027595C" w:rsidRPr="001F255B" w:rsidRDefault="0027595C" w:rsidP="00154360">
            <w:pPr>
              <w:jc w:val="center"/>
              <w:rPr>
                <w:rFonts w:ascii="Times New Roman" w:hAnsi="Times New Roman" w:cs="Times New Roman"/>
              </w:rPr>
            </w:pPr>
            <w:r w:rsidRPr="001F255B">
              <w:rPr>
                <w:rFonts w:ascii="Times New Roman" w:eastAsia="Times New Roman" w:hAnsi="Times New Roman" w:cs="Times New Roman"/>
              </w:rPr>
              <w:t>x</w:t>
            </w:r>
          </w:p>
        </w:tc>
        <w:tc>
          <w:tcPr>
            <w:tcW w:w="1417" w:type="dxa"/>
            <w:shd w:val="clear" w:color="auto" w:fill="auto"/>
            <w:noWrap/>
            <w:hideMark/>
          </w:tcPr>
          <w:p w14:paraId="04CC5362" w14:textId="77777777" w:rsidR="0027595C" w:rsidRPr="001F255B" w:rsidRDefault="0027595C" w:rsidP="00154360">
            <w:pPr>
              <w:jc w:val="center"/>
              <w:rPr>
                <w:rFonts w:ascii="Times New Roman" w:hAnsi="Times New Roman" w:cs="Times New Roman"/>
              </w:rPr>
            </w:pPr>
            <w:r w:rsidRPr="001F255B">
              <w:rPr>
                <w:rFonts w:ascii="Times New Roman" w:eastAsia="Times New Roman" w:hAnsi="Times New Roman" w:cs="Times New Roman"/>
              </w:rPr>
              <w:t>x</w:t>
            </w:r>
          </w:p>
        </w:tc>
      </w:tr>
      <w:tr w:rsidR="0027595C" w:rsidRPr="001F255B" w14:paraId="04CC536E" w14:textId="77777777" w:rsidTr="00154360">
        <w:trPr>
          <w:trHeight w:val="1035"/>
        </w:trPr>
        <w:tc>
          <w:tcPr>
            <w:tcW w:w="704" w:type="dxa"/>
            <w:shd w:val="clear" w:color="auto" w:fill="auto"/>
            <w:noWrap/>
            <w:hideMark/>
          </w:tcPr>
          <w:p w14:paraId="04CC5364" w14:textId="77777777" w:rsidR="0027595C" w:rsidRPr="00494D95" w:rsidRDefault="0027595C" w:rsidP="00154360">
            <w:pPr>
              <w:spacing w:after="0" w:line="240" w:lineRule="auto"/>
              <w:rPr>
                <w:rFonts w:ascii="Times New Roman" w:eastAsia="Times New Roman" w:hAnsi="Times New Roman" w:cs="Times New Roman"/>
                <w:sz w:val="20"/>
                <w:szCs w:val="20"/>
                <w:lang w:eastAsia="lt-LT"/>
              </w:rPr>
            </w:pPr>
            <w:r w:rsidRPr="00494D95">
              <w:rPr>
                <w:rFonts w:ascii="Times New Roman" w:eastAsia="Times New Roman" w:hAnsi="Times New Roman" w:cs="Times New Roman"/>
                <w:sz w:val="20"/>
                <w:szCs w:val="20"/>
                <w:lang w:eastAsia="lt-LT"/>
              </w:rPr>
              <w:t>1.1.</w:t>
            </w:r>
          </w:p>
        </w:tc>
        <w:tc>
          <w:tcPr>
            <w:tcW w:w="3090" w:type="dxa"/>
            <w:shd w:val="clear" w:color="auto" w:fill="auto"/>
            <w:hideMark/>
          </w:tcPr>
          <w:p w14:paraId="04CC5365" w14:textId="77777777" w:rsidR="0027595C" w:rsidRPr="00494D95" w:rsidRDefault="0027595C" w:rsidP="00154360">
            <w:pPr>
              <w:spacing w:after="0" w:line="240" w:lineRule="auto"/>
              <w:rPr>
                <w:rFonts w:ascii="Times New Roman" w:eastAsia="Times New Roman" w:hAnsi="Times New Roman" w:cs="Times New Roman"/>
                <w:i/>
                <w:iCs/>
                <w:sz w:val="20"/>
                <w:szCs w:val="20"/>
                <w:lang w:eastAsia="lt-LT"/>
              </w:rPr>
            </w:pPr>
            <w:r w:rsidRPr="00494D95">
              <w:rPr>
                <w:rFonts w:ascii="Times New Roman" w:eastAsia="Times New Roman" w:hAnsi="Times New Roman" w:cs="Times New Roman"/>
                <w:i/>
                <w:iCs/>
                <w:sz w:val="20"/>
                <w:szCs w:val="20"/>
                <w:lang w:eastAsia="lt-LT"/>
              </w:rPr>
              <w:t>........................ Reagentai ir/ar papildomos tyrimo priemonės, reikalingos tyrimui atlikti su siūlomu analizatoriumi</w:t>
            </w:r>
            <w:r w:rsidRPr="00494D95">
              <w:rPr>
                <w:rFonts w:ascii="Times New Roman" w:eastAsia="Times New Roman" w:hAnsi="Times New Roman" w:cs="Times New Roman"/>
                <w:i/>
                <w:iCs/>
                <w:sz w:val="20"/>
                <w:szCs w:val="20"/>
                <w:lang w:eastAsia="lt-LT"/>
              </w:rPr>
              <w:br/>
              <w:t>(</w:t>
            </w:r>
            <w:r w:rsidRPr="00494D95">
              <w:rPr>
                <w:rFonts w:ascii="Times New Roman" w:eastAsia="Times New Roman" w:hAnsi="Times New Roman" w:cs="Times New Roman"/>
                <w:b/>
                <w:bCs/>
                <w:i/>
                <w:iCs/>
                <w:sz w:val="20"/>
                <w:szCs w:val="20"/>
                <w:lang w:eastAsia="lt-LT"/>
              </w:rPr>
              <w:t>įrašyti tikslius pavadinimus</w:t>
            </w:r>
            <w:r w:rsidRPr="00494D95">
              <w:rPr>
                <w:rFonts w:ascii="Times New Roman" w:eastAsia="Times New Roman" w:hAnsi="Times New Roman" w:cs="Times New Roman"/>
                <w:i/>
                <w:iCs/>
                <w:sz w:val="20"/>
                <w:szCs w:val="20"/>
                <w:lang w:eastAsia="lt-LT"/>
              </w:rPr>
              <w:t>)</w:t>
            </w:r>
          </w:p>
        </w:tc>
        <w:tc>
          <w:tcPr>
            <w:tcW w:w="1417" w:type="dxa"/>
            <w:shd w:val="clear" w:color="auto" w:fill="auto"/>
            <w:noWrap/>
            <w:hideMark/>
          </w:tcPr>
          <w:p w14:paraId="04CC5366"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x</w:t>
            </w:r>
          </w:p>
        </w:tc>
        <w:tc>
          <w:tcPr>
            <w:tcW w:w="1276" w:type="dxa"/>
          </w:tcPr>
          <w:p w14:paraId="04CC5367"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843" w:type="dxa"/>
            <w:shd w:val="clear" w:color="auto" w:fill="auto"/>
            <w:noWrap/>
            <w:hideMark/>
          </w:tcPr>
          <w:p w14:paraId="04CC5368" w14:textId="77777777" w:rsidR="0027595C" w:rsidRPr="001F255B" w:rsidRDefault="0027595C" w:rsidP="00154360">
            <w:pPr>
              <w:shd w:val="clear" w:color="auto" w:fill="FFFFFF"/>
              <w:ind w:left="57" w:right="57"/>
              <w:contextualSpacing/>
              <w:jc w:val="center"/>
              <w:rPr>
                <w:rFonts w:ascii="Times New Roman" w:hAnsi="Times New Roman" w:cs="Times New Roman"/>
                <w:i/>
                <w:iCs/>
              </w:rPr>
            </w:pPr>
            <w:r w:rsidRPr="001F255B">
              <w:rPr>
                <w:rFonts w:ascii="Times New Roman" w:hAnsi="Times New Roman" w:cs="Times New Roman"/>
                <w:i/>
                <w:iCs/>
              </w:rPr>
              <w:t>įrašo tiekėjas</w:t>
            </w:r>
          </w:p>
        </w:tc>
        <w:tc>
          <w:tcPr>
            <w:tcW w:w="1276" w:type="dxa"/>
          </w:tcPr>
          <w:p w14:paraId="04CC5369" w14:textId="77777777" w:rsidR="0027595C" w:rsidRPr="001F255B" w:rsidRDefault="0027595C" w:rsidP="00154360">
            <w:pPr>
              <w:shd w:val="clear" w:color="auto" w:fill="FFFFFF"/>
              <w:ind w:left="57" w:right="57"/>
              <w:contextualSpacing/>
              <w:jc w:val="center"/>
              <w:rPr>
                <w:rFonts w:ascii="Times New Roman" w:hAnsi="Times New Roman" w:cs="Times New Roman"/>
                <w:i/>
                <w:iCs/>
              </w:rPr>
            </w:pPr>
            <w:r w:rsidRPr="001F255B">
              <w:rPr>
                <w:rFonts w:ascii="Times New Roman" w:hAnsi="Times New Roman" w:cs="Times New Roman"/>
                <w:i/>
                <w:iCs/>
              </w:rPr>
              <w:t>įrašo tiekėjas</w:t>
            </w:r>
          </w:p>
        </w:tc>
        <w:tc>
          <w:tcPr>
            <w:tcW w:w="1134" w:type="dxa"/>
            <w:shd w:val="clear" w:color="auto" w:fill="auto"/>
            <w:noWrap/>
            <w:hideMark/>
          </w:tcPr>
          <w:p w14:paraId="04CC536A"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417" w:type="dxa"/>
            <w:shd w:val="clear" w:color="auto" w:fill="auto"/>
            <w:noWrap/>
            <w:hideMark/>
          </w:tcPr>
          <w:p w14:paraId="04CC536B"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418" w:type="dxa"/>
          </w:tcPr>
          <w:p w14:paraId="04CC536C"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417" w:type="dxa"/>
            <w:shd w:val="clear" w:color="auto" w:fill="auto"/>
            <w:noWrap/>
            <w:hideMark/>
          </w:tcPr>
          <w:p w14:paraId="04CC536D" w14:textId="77777777" w:rsidR="0027595C" w:rsidRPr="001F255B" w:rsidRDefault="0027595C" w:rsidP="00154360">
            <w:pPr>
              <w:shd w:val="clear" w:color="auto" w:fill="FFFFFF"/>
              <w:ind w:left="57" w:right="57"/>
              <w:contextualSpacing/>
              <w:jc w:val="center"/>
              <w:rPr>
                <w:rFonts w:ascii="Times New Roman" w:hAnsi="Times New Roman" w:cs="Times New Roman"/>
                <w:b/>
                <w:bCs/>
                <w:i/>
                <w:iCs/>
              </w:rPr>
            </w:pPr>
            <w:r w:rsidRPr="001F255B">
              <w:rPr>
                <w:rFonts w:ascii="Times New Roman" w:hAnsi="Times New Roman" w:cs="Times New Roman"/>
                <w:i/>
                <w:iCs/>
              </w:rPr>
              <w:t>įrašo tiekėjas</w:t>
            </w:r>
          </w:p>
        </w:tc>
      </w:tr>
      <w:tr w:rsidR="0027595C" w:rsidRPr="001F255B" w14:paraId="04CC5379" w14:textId="77777777" w:rsidTr="00154360">
        <w:trPr>
          <w:trHeight w:val="301"/>
        </w:trPr>
        <w:tc>
          <w:tcPr>
            <w:tcW w:w="704" w:type="dxa"/>
            <w:shd w:val="clear" w:color="auto" w:fill="auto"/>
            <w:noWrap/>
            <w:hideMark/>
          </w:tcPr>
          <w:p w14:paraId="04CC536F" w14:textId="77777777" w:rsidR="0027595C" w:rsidRPr="00494D95" w:rsidRDefault="0027595C" w:rsidP="00154360">
            <w:pPr>
              <w:spacing w:after="0" w:line="240" w:lineRule="auto"/>
              <w:rPr>
                <w:rFonts w:ascii="Times New Roman" w:eastAsia="Times New Roman" w:hAnsi="Times New Roman" w:cs="Times New Roman"/>
                <w:sz w:val="20"/>
                <w:szCs w:val="20"/>
                <w:lang w:eastAsia="lt-LT"/>
              </w:rPr>
            </w:pPr>
            <w:r w:rsidRPr="00494D95">
              <w:rPr>
                <w:rFonts w:ascii="Times New Roman" w:eastAsia="Times New Roman" w:hAnsi="Times New Roman" w:cs="Times New Roman"/>
                <w:sz w:val="20"/>
                <w:szCs w:val="20"/>
                <w:lang w:eastAsia="lt-LT"/>
              </w:rPr>
              <w:t>1.2.</w:t>
            </w:r>
          </w:p>
        </w:tc>
        <w:tc>
          <w:tcPr>
            <w:tcW w:w="3090" w:type="dxa"/>
            <w:shd w:val="clear" w:color="auto" w:fill="auto"/>
            <w:hideMark/>
          </w:tcPr>
          <w:p w14:paraId="04CC5370" w14:textId="77777777" w:rsidR="0027595C" w:rsidRPr="00494D95" w:rsidRDefault="0027595C" w:rsidP="00154360">
            <w:pPr>
              <w:spacing w:after="0" w:line="240" w:lineRule="auto"/>
              <w:rPr>
                <w:rFonts w:ascii="Times New Roman" w:eastAsia="Times New Roman" w:hAnsi="Times New Roman" w:cs="Times New Roman"/>
                <w:i/>
                <w:iCs/>
                <w:sz w:val="20"/>
                <w:szCs w:val="20"/>
                <w:lang w:eastAsia="lt-LT"/>
              </w:rPr>
            </w:pPr>
            <w:r w:rsidRPr="00494D95">
              <w:rPr>
                <w:rFonts w:ascii="Times New Roman" w:eastAsia="Times New Roman" w:hAnsi="Times New Roman" w:cs="Times New Roman"/>
                <w:i/>
                <w:iCs/>
                <w:sz w:val="20"/>
                <w:szCs w:val="20"/>
                <w:lang w:eastAsia="lt-LT"/>
              </w:rPr>
              <w:t>........................ Reagentai ir/ar papildomos tyrimo priemonės, reikalingos tyrimui atlikti su siūlomu analizatoriumi</w:t>
            </w:r>
            <w:r w:rsidRPr="00494D95">
              <w:rPr>
                <w:rFonts w:ascii="Times New Roman" w:eastAsia="Times New Roman" w:hAnsi="Times New Roman" w:cs="Times New Roman"/>
                <w:i/>
                <w:iCs/>
                <w:sz w:val="20"/>
                <w:szCs w:val="20"/>
                <w:lang w:eastAsia="lt-LT"/>
              </w:rPr>
              <w:br/>
              <w:t>(</w:t>
            </w:r>
            <w:r w:rsidRPr="00494D95">
              <w:rPr>
                <w:rFonts w:ascii="Times New Roman" w:eastAsia="Times New Roman" w:hAnsi="Times New Roman" w:cs="Times New Roman"/>
                <w:b/>
                <w:bCs/>
                <w:i/>
                <w:iCs/>
                <w:sz w:val="20"/>
                <w:szCs w:val="20"/>
                <w:lang w:eastAsia="lt-LT"/>
              </w:rPr>
              <w:t>įrašyti tikslius pavadinimus</w:t>
            </w:r>
            <w:r w:rsidRPr="00494D95">
              <w:rPr>
                <w:rFonts w:ascii="Times New Roman" w:eastAsia="Times New Roman" w:hAnsi="Times New Roman" w:cs="Times New Roman"/>
                <w:i/>
                <w:iCs/>
                <w:sz w:val="20"/>
                <w:szCs w:val="20"/>
                <w:lang w:eastAsia="lt-LT"/>
              </w:rPr>
              <w:t>)</w:t>
            </w:r>
          </w:p>
        </w:tc>
        <w:tc>
          <w:tcPr>
            <w:tcW w:w="1417" w:type="dxa"/>
            <w:shd w:val="clear" w:color="auto" w:fill="auto"/>
            <w:noWrap/>
            <w:hideMark/>
          </w:tcPr>
          <w:p w14:paraId="04CC5371"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x</w:t>
            </w:r>
          </w:p>
        </w:tc>
        <w:tc>
          <w:tcPr>
            <w:tcW w:w="1276" w:type="dxa"/>
          </w:tcPr>
          <w:p w14:paraId="04CC5372"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843" w:type="dxa"/>
            <w:shd w:val="clear" w:color="auto" w:fill="auto"/>
            <w:noWrap/>
            <w:hideMark/>
          </w:tcPr>
          <w:p w14:paraId="04CC5373" w14:textId="77777777" w:rsidR="0027595C" w:rsidRPr="001F255B" w:rsidRDefault="0027595C" w:rsidP="00154360">
            <w:pPr>
              <w:shd w:val="clear" w:color="auto" w:fill="FFFFFF"/>
              <w:ind w:left="57" w:right="57"/>
              <w:contextualSpacing/>
              <w:jc w:val="center"/>
              <w:rPr>
                <w:rFonts w:ascii="Times New Roman" w:hAnsi="Times New Roman" w:cs="Times New Roman"/>
                <w:i/>
                <w:iCs/>
              </w:rPr>
            </w:pPr>
            <w:r w:rsidRPr="001F255B">
              <w:rPr>
                <w:rFonts w:ascii="Times New Roman" w:hAnsi="Times New Roman" w:cs="Times New Roman"/>
                <w:i/>
                <w:iCs/>
              </w:rPr>
              <w:t>įrašo tiekėjas</w:t>
            </w:r>
          </w:p>
        </w:tc>
        <w:tc>
          <w:tcPr>
            <w:tcW w:w="1276" w:type="dxa"/>
          </w:tcPr>
          <w:p w14:paraId="04CC5374" w14:textId="77777777" w:rsidR="0027595C" w:rsidRPr="001F255B" w:rsidRDefault="0027595C" w:rsidP="00154360">
            <w:pPr>
              <w:shd w:val="clear" w:color="auto" w:fill="FFFFFF"/>
              <w:ind w:left="57" w:right="57"/>
              <w:contextualSpacing/>
              <w:jc w:val="center"/>
              <w:rPr>
                <w:rFonts w:ascii="Times New Roman" w:hAnsi="Times New Roman" w:cs="Times New Roman"/>
                <w:i/>
                <w:iCs/>
              </w:rPr>
            </w:pPr>
            <w:r w:rsidRPr="001F255B">
              <w:rPr>
                <w:rFonts w:ascii="Times New Roman" w:hAnsi="Times New Roman" w:cs="Times New Roman"/>
                <w:i/>
                <w:iCs/>
              </w:rPr>
              <w:t>įrašo tiekėjas</w:t>
            </w:r>
          </w:p>
        </w:tc>
        <w:tc>
          <w:tcPr>
            <w:tcW w:w="1134" w:type="dxa"/>
            <w:shd w:val="clear" w:color="auto" w:fill="auto"/>
            <w:noWrap/>
            <w:hideMark/>
          </w:tcPr>
          <w:p w14:paraId="04CC5375"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417" w:type="dxa"/>
            <w:shd w:val="clear" w:color="auto" w:fill="auto"/>
            <w:noWrap/>
            <w:hideMark/>
          </w:tcPr>
          <w:p w14:paraId="04CC5376"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418" w:type="dxa"/>
          </w:tcPr>
          <w:p w14:paraId="04CC5377"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417" w:type="dxa"/>
            <w:shd w:val="clear" w:color="auto" w:fill="auto"/>
            <w:noWrap/>
            <w:hideMark/>
          </w:tcPr>
          <w:p w14:paraId="04CC5378" w14:textId="77777777" w:rsidR="0027595C" w:rsidRPr="001F255B" w:rsidRDefault="0027595C" w:rsidP="00154360">
            <w:pPr>
              <w:shd w:val="clear" w:color="auto" w:fill="FFFFFF"/>
              <w:ind w:left="57" w:right="57"/>
              <w:contextualSpacing/>
              <w:jc w:val="center"/>
              <w:rPr>
                <w:rFonts w:ascii="Times New Roman" w:hAnsi="Times New Roman" w:cs="Times New Roman"/>
                <w:b/>
                <w:bCs/>
                <w:i/>
                <w:iCs/>
              </w:rPr>
            </w:pPr>
            <w:r w:rsidRPr="001F255B">
              <w:rPr>
                <w:rFonts w:ascii="Times New Roman" w:hAnsi="Times New Roman" w:cs="Times New Roman"/>
                <w:i/>
                <w:iCs/>
              </w:rPr>
              <w:t>įrašo tiekėjas</w:t>
            </w:r>
          </w:p>
        </w:tc>
      </w:tr>
      <w:tr w:rsidR="0027595C" w:rsidRPr="001F255B" w14:paraId="04CC5384" w14:textId="77777777" w:rsidTr="00154360">
        <w:trPr>
          <w:trHeight w:val="300"/>
        </w:trPr>
        <w:tc>
          <w:tcPr>
            <w:tcW w:w="704" w:type="dxa"/>
            <w:shd w:val="clear" w:color="auto" w:fill="auto"/>
            <w:noWrap/>
            <w:hideMark/>
          </w:tcPr>
          <w:p w14:paraId="04CC537A" w14:textId="77777777" w:rsidR="0027595C" w:rsidRPr="00494D95" w:rsidRDefault="0027595C" w:rsidP="00154360">
            <w:pPr>
              <w:spacing w:after="0" w:line="240" w:lineRule="auto"/>
              <w:rPr>
                <w:rFonts w:ascii="Times New Roman" w:eastAsia="Times New Roman" w:hAnsi="Times New Roman" w:cs="Times New Roman"/>
                <w:sz w:val="20"/>
                <w:szCs w:val="20"/>
                <w:lang w:eastAsia="lt-LT"/>
              </w:rPr>
            </w:pPr>
            <w:r w:rsidRPr="00494D95">
              <w:rPr>
                <w:rFonts w:ascii="Times New Roman" w:eastAsia="Times New Roman" w:hAnsi="Times New Roman" w:cs="Times New Roman"/>
                <w:sz w:val="20"/>
                <w:szCs w:val="20"/>
                <w:lang w:eastAsia="lt-LT"/>
              </w:rPr>
              <w:t>1.3.</w:t>
            </w:r>
          </w:p>
        </w:tc>
        <w:tc>
          <w:tcPr>
            <w:tcW w:w="3090" w:type="dxa"/>
            <w:shd w:val="clear" w:color="auto" w:fill="auto"/>
            <w:noWrap/>
            <w:vAlign w:val="bottom"/>
            <w:hideMark/>
          </w:tcPr>
          <w:p w14:paraId="04CC537B" w14:textId="77777777" w:rsidR="0027595C" w:rsidRPr="00494D95" w:rsidRDefault="0027595C" w:rsidP="00154360">
            <w:pPr>
              <w:spacing w:after="0" w:line="240" w:lineRule="auto"/>
              <w:rPr>
                <w:rFonts w:ascii="Times New Roman" w:eastAsia="Times New Roman" w:hAnsi="Times New Roman" w:cs="Times New Roman"/>
                <w:sz w:val="20"/>
                <w:szCs w:val="20"/>
                <w:lang w:eastAsia="lt-LT"/>
              </w:rPr>
            </w:pPr>
            <w:r w:rsidRPr="00494D95">
              <w:rPr>
                <w:rFonts w:ascii="Times New Roman" w:eastAsia="Times New Roman" w:hAnsi="Times New Roman" w:cs="Times New Roman"/>
                <w:sz w:val="20"/>
                <w:szCs w:val="20"/>
                <w:lang w:eastAsia="lt-LT"/>
              </w:rPr>
              <w:t>...</w:t>
            </w:r>
          </w:p>
        </w:tc>
        <w:tc>
          <w:tcPr>
            <w:tcW w:w="1417" w:type="dxa"/>
            <w:shd w:val="clear" w:color="auto" w:fill="auto"/>
            <w:noWrap/>
            <w:hideMark/>
          </w:tcPr>
          <w:p w14:paraId="04CC537C" w14:textId="77777777" w:rsidR="0027595C" w:rsidRPr="001F255B" w:rsidRDefault="0027595C" w:rsidP="00154360">
            <w:pPr>
              <w:spacing w:after="0" w:line="240" w:lineRule="auto"/>
              <w:jc w:val="center"/>
              <w:rPr>
                <w:rFonts w:ascii="Times New Roman" w:eastAsia="Times New Roman" w:hAnsi="Times New Roman" w:cs="Times New Roman"/>
              </w:rPr>
            </w:pPr>
            <w:r w:rsidRPr="001F255B">
              <w:rPr>
                <w:rFonts w:ascii="Times New Roman" w:eastAsia="Times New Roman" w:hAnsi="Times New Roman" w:cs="Times New Roman"/>
              </w:rPr>
              <w:t>x</w:t>
            </w:r>
          </w:p>
        </w:tc>
        <w:tc>
          <w:tcPr>
            <w:tcW w:w="1276" w:type="dxa"/>
          </w:tcPr>
          <w:p w14:paraId="04CC537D"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843" w:type="dxa"/>
            <w:shd w:val="clear" w:color="auto" w:fill="auto"/>
            <w:noWrap/>
            <w:hideMark/>
          </w:tcPr>
          <w:p w14:paraId="04CC537E" w14:textId="77777777" w:rsidR="0027595C" w:rsidRPr="001F255B" w:rsidRDefault="0027595C" w:rsidP="00154360">
            <w:pPr>
              <w:shd w:val="clear" w:color="auto" w:fill="FFFFFF"/>
              <w:ind w:left="57" w:right="57"/>
              <w:contextualSpacing/>
              <w:jc w:val="center"/>
              <w:rPr>
                <w:rFonts w:ascii="Times New Roman" w:hAnsi="Times New Roman" w:cs="Times New Roman"/>
                <w:i/>
                <w:iCs/>
              </w:rPr>
            </w:pPr>
            <w:r w:rsidRPr="001F255B">
              <w:rPr>
                <w:rFonts w:ascii="Times New Roman" w:hAnsi="Times New Roman" w:cs="Times New Roman"/>
                <w:i/>
                <w:iCs/>
              </w:rPr>
              <w:t>įrašo tiekėjas</w:t>
            </w:r>
          </w:p>
        </w:tc>
        <w:tc>
          <w:tcPr>
            <w:tcW w:w="1276" w:type="dxa"/>
          </w:tcPr>
          <w:p w14:paraId="04CC537F" w14:textId="77777777" w:rsidR="0027595C" w:rsidRPr="001F255B" w:rsidRDefault="0027595C" w:rsidP="00154360">
            <w:pPr>
              <w:shd w:val="clear" w:color="auto" w:fill="FFFFFF"/>
              <w:ind w:left="57" w:right="57"/>
              <w:contextualSpacing/>
              <w:jc w:val="center"/>
              <w:rPr>
                <w:rFonts w:ascii="Times New Roman" w:hAnsi="Times New Roman" w:cs="Times New Roman"/>
                <w:i/>
                <w:iCs/>
              </w:rPr>
            </w:pPr>
            <w:r w:rsidRPr="001F255B">
              <w:rPr>
                <w:rFonts w:ascii="Times New Roman" w:hAnsi="Times New Roman" w:cs="Times New Roman"/>
                <w:i/>
                <w:iCs/>
              </w:rPr>
              <w:t>įrašo tiekėjas</w:t>
            </w:r>
          </w:p>
        </w:tc>
        <w:tc>
          <w:tcPr>
            <w:tcW w:w="1134" w:type="dxa"/>
            <w:shd w:val="clear" w:color="auto" w:fill="auto"/>
            <w:noWrap/>
            <w:hideMark/>
          </w:tcPr>
          <w:p w14:paraId="04CC5380"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417" w:type="dxa"/>
            <w:shd w:val="clear" w:color="auto" w:fill="auto"/>
            <w:noWrap/>
            <w:hideMark/>
          </w:tcPr>
          <w:p w14:paraId="04CC5381"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418" w:type="dxa"/>
          </w:tcPr>
          <w:p w14:paraId="04CC5382" w14:textId="77777777" w:rsidR="0027595C" w:rsidRPr="001F255B" w:rsidRDefault="0027595C" w:rsidP="00154360">
            <w:pPr>
              <w:shd w:val="clear" w:color="auto" w:fill="FFFFFF"/>
              <w:ind w:left="57" w:right="57"/>
              <w:contextualSpacing/>
              <w:jc w:val="center"/>
              <w:rPr>
                <w:rFonts w:ascii="Times New Roman" w:hAnsi="Times New Roman" w:cs="Times New Roman"/>
                <w:bCs/>
                <w:i/>
                <w:iCs/>
              </w:rPr>
            </w:pPr>
            <w:r w:rsidRPr="001F255B">
              <w:rPr>
                <w:rFonts w:ascii="Times New Roman" w:hAnsi="Times New Roman" w:cs="Times New Roman"/>
                <w:bCs/>
                <w:i/>
                <w:iCs/>
              </w:rPr>
              <w:t>įrašo tiekėjas</w:t>
            </w:r>
          </w:p>
        </w:tc>
        <w:tc>
          <w:tcPr>
            <w:tcW w:w="1417" w:type="dxa"/>
            <w:shd w:val="clear" w:color="auto" w:fill="auto"/>
            <w:noWrap/>
            <w:hideMark/>
          </w:tcPr>
          <w:p w14:paraId="04CC5383" w14:textId="77777777" w:rsidR="0027595C" w:rsidRPr="001F255B" w:rsidRDefault="0027595C" w:rsidP="00154360">
            <w:pPr>
              <w:shd w:val="clear" w:color="auto" w:fill="FFFFFF"/>
              <w:ind w:left="57" w:right="57"/>
              <w:contextualSpacing/>
              <w:jc w:val="center"/>
              <w:rPr>
                <w:rFonts w:ascii="Times New Roman" w:hAnsi="Times New Roman" w:cs="Times New Roman"/>
                <w:b/>
                <w:bCs/>
                <w:i/>
                <w:iCs/>
              </w:rPr>
            </w:pPr>
            <w:r w:rsidRPr="001F255B">
              <w:rPr>
                <w:rFonts w:ascii="Times New Roman" w:hAnsi="Times New Roman" w:cs="Times New Roman"/>
                <w:i/>
                <w:iCs/>
              </w:rPr>
              <w:t>įrašo tiekėjas</w:t>
            </w:r>
          </w:p>
        </w:tc>
      </w:tr>
      <w:tr w:rsidR="0027595C" w:rsidRPr="001F255B" w14:paraId="04CC538E" w14:textId="77777777" w:rsidTr="00154360">
        <w:trPr>
          <w:trHeight w:val="300"/>
        </w:trPr>
        <w:tc>
          <w:tcPr>
            <w:tcW w:w="3794" w:type="dxa"/>
            <w:gridSpan w:val="2"/>
            <w:shd w:val="clear" w:color="auto" w:fill="auto"/>
            <w:noWrap/>
          </w:tcPr>
          <w:p w14:paraId="04CC5385" w14:textId="77777777" w:rsidR="0027595C" w:rsidRPr="001F255B" w:rsidRDefault="0027595C" w:rsidP="00154360">
            <w:pPr>
              <w:spacing w:after="0" w:line="240" w:lineRule="auto"/>
              <w:rPr>
                <w:rFonts w:ascii="Times New Roman" w:eastAsia="Times New Roman" w:hAnsi="Times New Roman" w:cs="Times New Roman"/>
              </w:rPr>
            </w:pPr>
            <w:r w:rsidRPr="001F255B">
              <w:rPr>
                <w:rFonts w:ascii="Times New Roman" w:hAnsi="Times New Roman" w:cs="Times New Roman"/>
                <w:b/>
                <w:bCs/>
              </w:rPr>
              <w:t>Pasiūlymo kaina iš viso:</w:t>
            </w:r>
          </w:p>
        </w:tc>
        <w:tc>
          <w:tcPr>
            <w:tcW w:w="1417" w:type="dxa"/>
            <w:shd w:val="clear" w:color="auto" w:fill="auto"/>
            <w:noWrap/>
            <w:vAlign w:val="center"/>
          </w:tcPr>
          <w:p w14:paraId="04CC5386" w14:textId="77777777" w:rsidR="0027595C" w:rsidRPr="001F255B" w:rsidRDefault="0027595C" w:rsidP="00154360">
            <w:pPr>
              <w:shd w:val="clear" w:color="auto" w:fill="FFFFFF"/>
              <w:ind w:left="57" w:right="57"/>
              <w:contextualSpacing/>
              <w:jc w:val="center"/>
              <w:rPr>
                <w:rFonts w:ascii="Times New Roman" w:hAnsi="Times New Roman" w:cs="Times New Roman"/>
              </w:rPr>
            </w:pPr>
            <w:r w:rsidRPr="001F255B">
              <w:rPr>
                <w:rFonts w:ascii="Times New Roman" w:hAnsi="Times New Roman" w:cs="Times New Roman"/>
                <w:bCs/>
              </w:rPr>
              <w:t>x</w:t>
            </w:r>
          </w:p>
        </w:tc>
        <w:tc>
          <w:tcPr>
            <w:tcW w:w="1276" w:type="dxa"/>
            <w:vAlign w:val="center"/>
          </w:tcPr>
          <w:p w14:paraId="04CC5387" w14:textId="77777777" w:rsidR="0027595C" w:rsidRPr="001F255B" w:rsidRDefault="0027595C" w:rsidP="00154360">
            <w:pPr>
              <w:shd w:val="clear" w:color="auto" w:fill="FFFFFF"/>
              <w:ind w:left="57" w:right="57"/>
              <w:contextualSpacing/>
              <w:jc w:val="center"/>
              <w:rPr>
                <w:rFonts w:ascii="Times New Roman" w:hAnsi="Times New Roman" w:cs="Times New Roman"/>
              </w:rPr>
            </w:pPr>
            <w:r w:rsidRPr="001F255B">
              <w:rPr>
                <w:rFonts w:ascii="Times New Roman" w:hAnsi="Times New Roman" w:cs="Times New Roman"/>
                <w:bCs/>
              </w:rPr>
              <w:t>x</w:t>
            </w:r>
          </w:p>
        </w:tc>
        <w:tc>
          <w:tcPr>
            <w:tcW w:w="1843" w:type="dxa"/>
            <w:shd w:val="clear" w:color="auto" w:fill="auto"/>
            <w:noWrap/>
            <w:vAlign w:val="center"/>
          </w:tcPr>
          <w:p w14:paraId="04CC5388" w14:textId="77777777" w:rsidR="0027595C" w:rsidRPr="001F255B" w:rsidRDefault="0027595C" w:rsidP="00154360">
            <w:pPr>
              <w:shd w:val="clear" w:color="auto" w:fill="FFFFFF"/>
              <w:ind w:left="57" w:right="57"/>
              <w:contextualSpacing/>
              <w:jc w:val="center"/>
              <w:rPr>
                <w:rFonts w:ascii="Times New Roman" w:hAnsi="Times New Roman" w:cs="Times New Roman"/>
              </w:rPr>
            </w:pPr>
            <w:r w:rsidRPr="001F255B">
              <w:rPr>
                <w:rFonts w:ascii="Times New Roman" w:hAnsi="Times New Roman" w:cs="Times New Roman"/>
                <w:bCs/>
              </w:rPr>
              <w:t>x</w:t>
            </w:r>
          </w:p>
        </w:tc>
        <w:tc>
          <w:tcPr>
            <w:tcW w:w="1276" w:type="dxa"/>
            <w:vAlign w:val="center"/>
          </w:tcPr>
          <w:p w14:paraId="04CC5389" w14:textId="77777777" w:rsidR="0027595C" w:rsidRPr="001F255B" w:rsidRDefault="0027595C" w:rsidP="00154360">
            <w:pPr>
              <w:shd w:val="clear" w:color="auto" w:fill="FFFFFF"/>
              <w:ind w:left="57" w:right="57"/>
              <w:contextualSpacing/>
              <w:jc w:val="center"/>
              <w:rPr>
                <w:rFonts w:ascii="Times New Roman" w:hAnsi="Times New Roman" w:cs="Times New Roman"/>
              </w:rPr>
            </w:pPr>
            <w:r w:rsidRPr="001F255B">
              <w:rPr>
                <w:rFonts w:ascii="Times New Roman" w:hAnsi="Times New Roman" w:cs="Times New Roman"/>
                <w:bCs/>
              </w:rPr>
              <w:t>x</w:t>
            </w:r>
          </w:p>
        </w:tc>
        <w:tc>
          <w:tcPr>
            <w:tcW w:w="1134" w:type="dxa"/>
            <w:shd w:val="clear" w:color="auto" w:fill="auto"/>
            <w:noWrap/>
            <w:vAlign w:val="center"/>
          </w:tcPr>
          <w:p w14:paraId="04CC538A" w14:textId="77777777" w:rsidR="0027595C" w:rsidRPr="001F255B" w:rsidRDefault="0027595C" w:rsidP="00154360">
            <w:pPr>
              <w:shd w:val="clear" w:color="auto" w:fill="FFFFFF"/>
              <w:ind w:left="57" w:right="57"/>
              <w:contextualSpacing/>
              <w:jc w:val="center"/>
              <w:rPr>
                <w:rFonts w:ascii="Times New Roman" w:hAnsi="Times New Roman" w:cs="Times New Roman"/>
              </w:rPr>
            </w:pPr>
            <w:r w:rsidRPr="001F255B">
              <w:rPr>
                <w:rFonts w:ascii="Times New Roman" w:hAnsi="Times New Roman" w:cs="Times New Roman"/>
                <w:bCs/>
              </w:rPr>
              <w:t>x</w:t>
            </w:r>
          </w:p>
        </w:tc>
        <w:tc>
          <w:tcPr>
            <w:tcW w:w="1417" w:type="dxa"/>
            <w:shd w:val="clear" w:color="auto" w:fill="auto"/>
            <w:noWrap/>
            <w:vAlign w:val="center"/>
          </w:tcPr>
          <w:p w14:paraId="04CC538B" w14:textId="77777777" w:rsidR="0027595C" w:rsidRPr="001F255B" w:rsidRDefault="0027595C" w:rsidP="00154360">
            <w:pPr>
              <w:shd w:val="clear" w:color="auto" w:fill="FFFFFF"/>
              <w:ind w:left="57" w:right="57"/>
              <w:contextualSpacing/>
              <w:jc w:val="center"/>
              <w:rPr>
                <w:rFonts w:ascii="Times New Roman" w:hAnsi="Times New Roman" w:cs="Times New Roman"/>
                <w:bCs/>
              </w:rPr>
            </w:pPr>
            <w:r w:rsidRPr="001F255B">
              <w:rPr>
                <w:rFonts w:ascii="Times New Roman" w:hAnsi="Times New Roman" w:cs="Times New Roman"/>
                <w:bCs/>
                <w:i/>
                <w:iCs/>
              </w:rPr>
              <w:t>įrašo tiekėjas</w:t>
            </w:r>
          </w:p>
        </w:tc>
        <w:tc>
          <w:tcPr>
            <w:tcW w:w="1418" w:type="dxa"/>
            <w:vAlign w:val="center"/>
          </w:tcPr>
          <w:p w14:paraId="04CC538C" w14:textId="77777777" w:rsidR="0027595C" w:rsidRPr="001F255B" w:rsidRDefault="0027595C" w:rsidP="00154360">
            <w:pPr>
              <w:shd w:val="clear" w:color="auto" w:fill="FFFFFF"/>
              <w:ind w:left="57" w:right="57"/>
              <w:contextualSpacing/>
              <w:jc w:val="center"/>
              <w:rPr>
                <w:rFonts w:ascii="Times New Roman" w:hAnsi="Times New Roman" w:cs="Times New Roman"/>
                <w:bCs/>
              </w:rPr>
            </w:pPr>
            <w:r w:rsidRPr="001F255B">
              <w:rPr>
                <w:rFonts w:ascii="Times New Roman" w:hAnsi="Times New Roman" w:cs="Times New Roman"/>
                <w:bCs/>
                <w:i/>
                <w:iCs/>
              </w:rPr>
              <w:t>įrašo tiekėjas</w:t>
            </w:r>
          </w:p>
        </w:tc>
        <w:tc>
          <w:tcPr>
            <w:tcW w:w="1417" w:type="dxa"/>
            <w:shd w:val="clear" w:color="auto" w:fill="auto"/>
            <w:noWrap/>
            <w:vAlign w:val="center"/>
          </w:tcPr>
          <w:p w14:paraId="04CC538D" w14:textId="77777777" w:rsidR="0027595C" w:rsidRPr="001F255B" w:rsidRDefault="0027595C" w:rsidP="00154360">
            <w:pPr>
              <w:shd w:val="clear" w:color="auto" w:fill="FFFFFF"/>
              <w:ind w:left="57" w:right="57"/>
              <w:contextualSpacing/>
              <w:jc w:val="center"/>
              <w:rPr>
                <w:rFonts w:ascii="Times New Roman" w:hAnsi="Times New Roman" w:cs="Times New Roman"/>
                <w:i/>
                <w:iCs/>
              </w:rPr>
            </w:pPr>
            <w:r w:rsidRPr="001F255B">
              <w:rPr>
                <w:rFonts w:ascii="Times New Roman" w:hAnsi="Times New Roman" w:cs="Times New Roman"/>
                <w:bCs/>
              </w:rPr>
              <w:t>x</w:t>
            </w:r>
          </w:p>
        </w:tc>
      </w:tr>
    </w:tbl>
    <w:p w14:paraId="04CC538F" w14:textId="77777777" w:rsidR="00CC41BB" w:rsidRDefault="00CC41BB" w:rsidP="0027595C">
      <w:pPr>
        <w:pStyle w:val="NormalWeb"/>
        <w:spacing w:before="0" w:beforeAutospacing="0" w:after="0" w:line="276" w:lineRule="auto"/>
        <w:jc w:val="both"/>
        <w:rPr>
          <w:color w:val="000000" w:themeColor="text1"/>
        </w:rPr>
      </w:pPr>
    </w:p>
    <w:p w14:paraId="04CC5390" w14:textId="77777777" w:rsidR="0027595C" w:rsidRDefault="0027595C" w:rsidP="0027595C">
      <w:pPr>
        <w:pStyle w:val="NormalWeb"/>
        <w:spacing w:before="0" w:beforeAutospacing="0" w:after="0" w:line="276" w:lineRule="auto"/>
        <w:jc w:val="both"/>
        <w:rPr>
          <w:color w:val="000000" w:themeColor="text1"/>
        </w:rPr>
      </w:pPr>
      <w:r w:rsidRPr="0019775F">
        <w:rPr>
          <w:color w:val="000000" w:themeColor="text1"/>
        </w:rPr>
        <w:t>PASTABOS, PAPILDOMI REIKALAVIMAI:</w:t>
      </w:r>
    </w:p>
    <w:p w14:paraId="04CC5391" w14:textId="77777777" w:rsidR="0076576C" w:rsidRPr="00CC41BB" w:rsidRDefault="0076576C" w:rsidP="0076576C">
      <w:pPr>
        <w:pStyle w:val="ListParagraph"/>
        <w:numPr>
          <w:ilvl w:val="0"/>
          <w:numId w:val="11"/>
        </w:numPr>
        <w:spacing w:after="0" w:line="240" w:lineRule="auto"/>
        <w:jc w:val="both"/>
        <w:rPr>
          <w:color w:val="000000" w:themeColor="text1"/>
          <w:lang w:eastAsia="lt-LT"/>
        </w:rPr>
      </w:pPr>
      <w:r>
        <w:rPr>
          <w:rFonts w:ascii="Times New Roman" w:eastAsia="Times New Roman" w:hAnsi="Times New Roman" w:cs="Times New Roman"/>
          <w:b/>
          <w:bCs/>
          <w:color w:val="000000" w:themeColor="text1"/>
          <w:lang w:eastAsia="lt-LT"/>
        </w:rPr>
        <w:t>Tyrimo priemones reikalingas tiksliniam tyrimui atlikti tiekėjai privalo nurodyti patys užpildydami specifikacijoje pateiktas lenteles, nebūtinai vadovaujantis tuo, kas dalinai nurodyta specifikacijoje, tačiau būtinai nurodant visą spektrą priemonių, užtikrinančių kokybišką tyrimo atlikimą. Tyrimams, kurių atlikimui nenaudojamos pagalbinės priemonės ar reagentai, nurodoma 0 (nulis).</w:t>
      </w:r>
    </w:p>
    <w:p w14:paraId="04CC5392" w14:textId="77777777" w:rsidR="0076576C" w:rsidRDefault="0076576C" w:rsidP="0027595C">
      <w:pPr>
        <w:pStyle w:val="NormalWeb"/>
        <w:spacing w:before="0" w:beforeAutospacing="0" w:after="0" w:line="276" w:lineRule="auto"/>
        <w:jc w:val="both"/>
        <w:rPr>
          <w:color w:val="000000" w:themeColor="text1"/>
        </w:rPr>
      </w:pPr>
    </w:p>
    <w:p w14:paraId="04CC5393" w14:textId="77777777" w:rsidR="005D16FF" w:rsidRDefault="005D16FF" w:rsidP="0076576C">
      <w:pPr>
        <w:pStyle w:val="NormalWeb"/>
        <w:spacing w:before="0" w:beforeAutospacing="0" w:after="0" w:line="276" w:lineRule="auto"/>
        <w:jc w:val="both"/>
        <w:rPr>
          <w:sz w:val="22"/>
          <w:szCs w:val="22"/>
        </w:rPr>
      </w:pPr>
    </w:p>
    <w:sectPr w:rsidR="005D16FF" w:rsidSect="0076576C">
      <w:pgSz w:w="16838" w:h="11906" w:orient="landscape"/>
      <w:pgMar w:top="993" w:right="138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1EA2CFC"/>
    <w:multiLevelType w:val="hybridMultilevel"/>
    <w:tmpl w:val="9050B320"/>
    <w:lvl w:ilvl="0" w:tplc="75D83DB0">
      <w:start w:val="1"/>
      <w:numFmt w:val="decimal"/>
      <w:lvlText w:val="%1."/>
      <w:lvlJc w:val="left"/>
      <w:pPr>
        <w:ind w:left="2061"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E2106B"/>
    <w:multiLevelType w:val="hybridMultilevel"/>
    <w:tmpl w:val="08D6706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632F36"/>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4"/>
  </w:num>
  <w:num w:numId="2">
    <w:abstractNumId w:val="3"/>
  </w:num>
  <w:num w:numId="3">
    <w:abstractNumId w:val="7"/>
  </w:num>
  <w:num w:numId="4">
    <w:abstractNumId w:val="8"/>
  </w:num>
  <w:num w:numId="5">
    <w:abstractNumId w:val="6"/>
  </w:num>
  <w:num w:numId="6">
    <w:abstractNumId w:val="0"/>
  </w:num>
  <w:num w:numId="7">
    <w:abstractNumId w:val="5"/>
  </w:num>
  <w:num w:numId="8">
    <w:abstractNumId w:val="2"/>
  </w:num>
  <w:num w:numId="9">
    <w:abstractNumId w:val="9"/>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03F99"/>
    <w:rsid w:val="0000535D"/>
    <w:rsid w:val="00013ACF"/>
    <w:rsid w:val="00013CE3"/>
    <w:rsid w:val="00014CD8"/>
    <w:rsid w:val="000160C5"/>
    <w:rsid w:val="00020681"/>
    <w:rsid w:val="00024667"/>
    <w:rsid w:val="00030DBF"/>
    <w:rsid w:val="0003578F"/>
    <w:rsid w:val="00045A1F"/>
    <w:rsid w:val="000560F6"/>
    <w:rsid w:val="0005621C"/>
    <w:rsid w:val="000624FE"/>
    <w:rsid w:val="00062DF8"/>
    <w:rsid w:val="00064284"/>
    <w:rsid w:val="00064832"/>
    <w:rsid w:val="0006489D"/>
    <w:rsid w:val="00065356"/>
    <w:rsid w:val="00070431"/>
    <w:rsid w:val="00071B83"/>
    <w:rsid w:val="00074E47"/>
    <w:rsid w:val="00074E53"/>
    <w:rsid w:val="0007623C"/>
    <w:rsid w:val="000766C0"/>
    <w:rsid w:val="000801D1"/>
    <w:rsid w:val="00080575"/>
    <w:rsid w:val="00082440"/>
    <w:rsid w:val="00083BA9"/>
    <w:rsid w:val="0009655F"/>
    <w:rsid w:val="00097FDD"/>
    <w:rsid w:val="000A12A1"/>
    <w:rsid w:val="000A4F82"/>
    <w:rsid w:val="000C55AA"/>
    <w:rsid w:val="000D7F91"/>
    <w:rsid w:val="000F4AD0"/>
    <w:rsid w:val="000F66EA"/>
    <w:rsid w:val="0010047D"/>
    <w:rsid w:val="0011121C"/>
    <w:rsid w:val="00111F11"/>
    <w:rsid w:val="00111F31"/>
    <w:rsid w:val="001148A6"/>
    <w:rsid w:val="0013052B"/>
    <w:rsid w:val="001308DA"/>
    <w:rsid w:val="00131281"/>
    <w:rsid w:val="00131E2E"/>
    <w:rsid w:val="00132EC4"/>
    <w:rsid w:val="0013449E"/>
    <w:rsid w:val="00136440"/>
    <w:rsid w:val="00137B6C"/>
    <w:rsid w:val="00140FBB"/>
    <w:rsid w:val="0014558C"/>
    <w:rsid w:val="00146E22"/>
    <w:rsid w:val="00147EB0"/>
    <w:rsid w:val="00160A22"/>
    <w:rsid w:val="001639A6"/>
    <w:rsid w:val="00164CC5"/>
    <w:rsid w:val="00165C27"/>
    <w:rsid w:val="0017459E"/>
    <w:rsid w:val="00185409"/>
    <w:rsid w:val="001956C8"/>
    <w:rsid w:val="0019775F"/>
    <w:rsid w:val="001A161F"/>
    <w:rsid w:val="001A7C06"/>
    <w:rsid w:val="001B30EC"/>
    <w:rsid w:val="001B7AE2"/>
    <w:rsid w:val="001C0DB7"/>
    <w:rsid w:val="001C52AE"/>
    <w:rsid w:val="001C6776"/>
    <w:rsid w:val="001D1CBC"/>
    <w:rsid w:val="001E1C58"/>
    <w:rsid w:val="001E2C4C"/>
    <w:rsid w:val="001E4443"/>
    <w:rsid w:val="001F2D6D"/>
    <w:rsid w:val="00200DA4"/>
    <w:rsid w:val="002013FE"/>
    <w:rsid w:val="00203819"/>
    <w:rsid w:val="00203EBE"/>
    <w:rsid w:val="00216727"/>
    <w:rsid w:val="0023113C"/>
    <w:rsid w:val="002319E5"/>
    <w:rsid w:val="00237DB8"/>
    <w:rsid w:val="00237FDA"/>
    <w:rsid w:val="00245CA7"/>
    <w:rsid w:val="00246FD8"/>
    <w:rsid w:val="00253BE6"/>
    <w:rsid w:val="00254E80"/>
    <w:rsid w:val="002562CC"/>
    <w:rsid w:val="0025730B"/>
    <w:rsid w:val="00264692"/>
    <w:rsid w:val="00266E4B"/>
    <w:rsid w:val="0027595C"/>
    <w:rsid w:val="002835F5"/>
    <w:rsid w:val="0029003C"/>
    <w:rsid w:val="00295967"/>
    <w:rsid w:val="002A67F3"/>
    <w:rsid w:val="002B004F"/>
    <w:rsid w:val="002B76FD"/>
    <w:rsid w:val="002C479B"/>
    <w:rsid w:val="002C7C6C"/>
    <w:rsid w:val="002E1697"/>
    <w:rsid w:val="002E2E7B"/>
    <w:rsid w:val="002E34EC"/>
    <w:rsid w:val="002E5616"/>
    <w:rsid w:val="002F05A0"/>
    <w:rsid w:val="002F12A2"/>
    <w:rsid w:val="002F5555"/>
    <w:rsid w:val="002F5E46"/>
    <w:rsid w:val="002F63D2"/>
    <w:rsid w:val="00306E5B"/>
    <w:rsid w:val="003230CA"/>
    <w:rsid w:val="00335417"/>
    <w:rsid w:val="0033790A"/>
    <w:rsid w:val="003443D8"/>
    <w:rsid w:val="00345957"/>
    <w:rsid w:val="003472C9"/>
    <w:rsid w:val="00352A9D"/>
    <w:rsid w:val="00355398"/>
    <w:rsid w:val="00355BF9"/>
    <w:rsid w:val="00356009"/>
    <w:rsid w:val="00357860"/>
    <w:rsid w:val="003645E1"/>
    <w:rsid w:val="003717CD"/>
    <w:rsid w:val="003725E0"/>
    <w:rsid w:val="00374BD2"/>
    <w:rsid w:val="00397185"/>
    <w:rsid w:val="003A005D"/>
    <w:rsid w:val="003A2DF6"/>
    <w:rsid w:val="003A460D"/>
    <w:rsid w:val="003B483F"/>
    <w:rsid w:val="003B650C"/>
    <w:rsid w:val="003C766D"/>
    <w:rsid w:val="003D1D7A"/>
    <w:rsid w:val="003D3799"/>
    <w:rsid w:val="003D76CD"/>
    <w:rsid w:val="003E342F"/>
    <w:rsid w:val="003E5699"/>
    <w:rsid w:val="00400B79"/>
    <w:rsid w:val="0041128E"/>
    <w:rsid w:val="00414ED9"/>
    <w:rsid w:val="00416960"/>
    <w:rsid w:val="004226DC"/>
    <w:rsid w:val="004316A8"/>
    <w:rsid w:val="004361A7"/>
    <w:rsid w:val="00436BCD"/>
    <w:rsid w:val="00442F08"/>
    <w:rsid w:val="004453CE"/>
    <w:rsid w:val="00451729"/>
    <w:rsid w:val="004548C8"/>
    <w:rsid w:val="0045733A"/>
    <w:rsid w:val="00461F4A"/>
    <w:rsid w:val="00466E56"/>
    <w:rsid w:val="00476EB5"/>
    <w:rsid w:val="004806EE"/>
    <w:rsid w:val="0049239B"/>
    <w:rsid w:val="00495CCD"/>
    <w:rsid w:val="00496A98"/>
    <w:rsid w:val="0049700B"/>
    <w:rsid w:val="004A00ED"/>
    <w:rsid w:val="004A0702"/>
    <w:rsid w:val="004A2713"/>
    <w:rsid w:val="004A3F27"/>
    <w:rsid w:val="004B5A18"/>
    <w:rsid w:val="004C1224"/>
    <w:rsid w:val="004D00EE"/>
    <w:rsid w:val="004D132B"/>
    <w:rsid w:val="004D23AF"/>
    <w:rsid w:val="004D6413"/>
    <w:rsid w:val="004E1562"/>
    <w:rsid w:val="004E3681"/>
    <w:rsid w:val="004E4427"/>
    <w:rsid w:val="004E63E4"/>
    <w:rsid w:val="004F48D9"/>
    <w:rsid w:val="00501666"/>
    <w:rsid w:val="005076FB"/>
    <w:rsid w:val="00510D6F"/>
    <w:rsid w:val="00510F16"/>
    <w:rsid w:val="0051398F"/>
    <w:rsid w:val="0051631B"/>
    <w:rsid w:val="00521875"/>
    <w:rsid w:val="00533A36"/>
    <w:rsid w:val="00545137"/>
    <w:rsid w:val="00545799"/>
    <w:rsid w:val="005473BD"/>
    <w:rsid w:val="00556AF1"/>
    <w:rsid w:val="005605B3"/>
    <w:rsid w:val="00575D74"/>
    <w:rsid w:val="00575EE5"/>
    <w:rsid w:val="0058251B"/>
    <w:rsid w:val="005849E3"/>
    <w:rsid w:val="005866EC"/>
    <w:rsid w:val="00590455"/>
    <w:rsid w:val="00597222"/>
    <w:rsid w:val="005A7060"/>
    <w:rsid w:val="005B0606"/>
    <w:rsid w:val="005B1E72"/>
    <w:rsid w:val="005C6929"/>
    <w:rsid w:val="005D16FF"/>
    <w:rsid w:val="005D3BEF"/>
    <w:rsid w:val="005D653F"/>
    <w:rsid w:val="005D6C02"/>
    <w:rsid w:val="005D701C"/>
    <w:rsid w:val="005E1AF6"/>
    <w:rsid w:val="005E293F"/>
    <w:rsid w:val="005E319F"/>
    <w:rsid w:val="005E7A5D"/>
    <w:rsid w:val="005F0069"/>
    <w:rsid w:val="005F4907"/>
    <w:rsid w:val="005F6423"/>
    <w:rsid w:val="006019E8"/>
    <w:rsid w:val="00601E21"/>
    <w:rsid w:val="00602337"/>
    <w:rsid w:val="00604050"/>
    <w:rsid w:val="00607F60"/>
    <w:rsid w:val="006203CA"/>
    <w:rsid w:val="006234DE"/>
    <w:rsid w:val="00623A46"/>
    <w:rsid w:val="00625EFE"/>
    <w:rsid w:val="006342D5"/>
    <w:rsid w:val="00637EF6"/>
    <w:rsid w:val="00657FE7"/>
    <w:rsid w:val="006602FD"/>
    <w:rsid w:val="00662C56"/>
    <w:rsid w:val="006670BC"/>
    <w:rsid w:val="0067372A"/>
    <w:rsid w:val="00674042"/>
    <w:rsid w:val="0067507E"/>
    <w:rsid w:val="00675A0C"/>
    <w:rsid w:val="0067669A"/>
    <w:rsid w:val="00681132"/>
    <w:rsid w:val="00685D07"/>
    <w:rsid w:val="00686525"/>
    <w:rsid w:val="006877C9"/>
    <w:rsid w:val="0069070A"/>
    <w:rsid w:val="00692D20"/>
    <w:rsid w:val="00697966"/>
    <w:rsid w:val="006A42B6"/>
    <w:rsid w:val="006A6959"/>
    <w:rsid w:val="006B61BA"/>
    <w:rsid w:val="006C3AC1"/>
    <w:rsid w:val="006C4FEC"/>
    <w:rsid w:val="006D2D27"/>
    <w:rsid w:val="006D4982"/>
    <w:rsid w:val="006E2285"/>
    <w:rsid w:val="006E7F80"/>
    <w:rsid w:val="006F36C6"/>
    <w:rsid w:val="006F3AF4"/>
    <w:rsid w:val="00704951"/>
    <w:rsid w:val="00710B07"/>
    <w:rsid w:val="00713E6E"/>
    <w:rsid w:val="0072133A"/>
    <w:rsid w:val="007238E3"/>
    <w:rsid w:val="0072777E"/>
    <w:rsid w:val="007411FB"/>
    <w:rsid w:val="00743F05"/>
    <w:rsid w:val="007464E2"/>
    <w:rsid w:val="0075724C"/>
    <w:rsid w:val="007603F1"/>
    <w:rsid w:val="00762329"/>
    <w:rsid w:val="007640E5"/>
    <w:rsid w:val="00764515"/>
    <w:rsid w:val="0076576C"/>
    <w:rsid w:val="00767771"/>
    <w:rsid w:val="0077133E"/>
    <w:rsid w:val="007735D2"/>
    <w:rsid w:val="0077546A"/>
    <w:rsid w:val="0077587E"/>
    <w:rsid w:val="00776E8F"/>
    <w:rsid w:val="007803F9"/>
    <w:rsid w:val="0079044E"/>
    <w:rsid w:val="00792B9F"/>
    <w:rsid w:val="00793415"/>
    <w:rsid w:val="007A310A"/>
    <w:rsid w:val="007B104C"/>
    <w:rsid w:val="007B4041"/>
    <w:rsid w:val="007B50C6"/>
    <w:rsid w:val="007B7266"/>
    <w:rsid w:val="007C4419"/>
    <w:rsid w:val="007D1557"/>
    <w:rsid w:val="007D423F"/>
    <w:rsid w:val="00821FAE"/>
    <w:rsid w:val="00823F44"/>
    <w:rsid w:val="0083543E"/>
    <w:rsid w:val="00842815"/>
    <w:rsid w:val="008467A8"/>
    <w:rsid w:val="00853213"/>
    <w:rsid w:val="0085327C"/>
    <w:rsid w:val="00855B69"/>
    <w:rsid w:val="00865261"/>
    <w:rsid w:val="00877A58"/>
    <w:rsid w:val="00881B44"/>
    <w:rsid w:val="00892EAB"/>
    <w:rsid w:val="00897412"/>
    <w:rsid w:val="008A0196"/>
    <w:rsid w:val="008A36C8"/>
    <w:rsid w:val="008A669C"/>
    <w:rsid w:val="008A6763"/>
    <w:rsid w:val="008B2854"/>
    <w:rsid w:val="008B2DB3"/>
    <w:rsid w:val="008C2536"/>
    <w:rsid w:val="008C3634"/>
    <w:rsid w:val="008C3D85"/>
    <w:rsid w:val="008C688E"/>
    <w:rsid w:val="008D4E9B"/>
    <w:rsid w:val="008D5D81"/>
    <w:rsid w:val="008D717E"/>
    <w:rsid w:val="008E00EA"/>
    <w:rsid w:val="008E1679"/>
    <w:rsid w:val="008E1D4E"/>
    <w:rsid w:val="008E3801"/>
    <w:rsid w:val="008E3B73"/>
    <w:rsid w:val="00901B28"/>
    <w:rsid w:val="00914CD3"/>
    <w:rsid w:val="00926A0F"/>
    <w:rsid w:val="009359BC"/>
    <w:rsid w:val="0094768C"/>
    <w:rsid w:val="00947AB5"/>
    <w:rsid w:val="009515FC"/>
    <w:rsid w:val="00952BFC"/>
    <w:rsid w:val="00960288"/>
    <w:rsid w:val="0096042C"/>
    <w:rsid w:val="00970D50"/>
    <w:rsid w:val="00973FC1"/>
    <w:rsid w:val="00976004"/>
    <w:rsid w:val="00984979"/>
    <w:rsid w:val="00986EAA"/>
    <w:rsid w:val="009A5F6E"/>
    <w:rsid w:val="009A749F"/>
    <w:rsid w:val="009B643D"/>
    <w:rsid w:val="009D75C5"/>
    <w:rsid w:val="009F4330"/>
    <w:rsid w:val="00A038AD"/>
    <w:rsid w:val="00A14C14"/>
    <w:rsid w:val="00A169A0"/>
    <w:rsid w:val="00A218C2"/>
    <w:rsid w:val="00A21CA2"/>
    <w:rsid w:val="00A239D2"/>
    <w:rsid w:val="00A308EC"/>
    <w:rsid w:val="00A3284F"/>
    <w:rsid w:val="00A34FF7"/>
    <w:rsid w:val="00A35F70"/>
    <w:rsid w:val="00A36ADC"/>
    <w:rsid w:val="00A4010E"/>
    <w:rsid w:val="00A5193B"/>
    <w:rsid w:val="00A52C13"/>
    <w:rsid w:val="00A628C1"/>
    <w:rsid w:val="00A62FA9"/>
    <w:rsid w:val="00A65E0D"/>
    <w:rsid w:val="00A67011"/>
    <w:rsid w:val="00A670C9"/>
    <w:rsid w:val="00A77782"/>
    <w:rsid w:val="00A907A3"/>
    <w:rsid w:val="00A913C3"/>
    <w:rsid w:val="00A9480E"/>
    <w:rsid w:val="00A961ED"/>
    <w:rsid w:val="00AA2A6A"/>
    <w:rsid w:val="00AA2AD4"/>
    <w:rsid w:val="00AA2BD1"/>
    <w:rsid w:val="00AB133A"/>
    <w:rsid w:val="00AB323D"/>
    <w:rsid w:val="00AB79F4"/>
    <w:rsid w:val="00AD3323"/>
    <w:rsid w:val="00AE1692"/>
    <w:rsid w:val="00AE4BBB"/>
    <w:rsid w:val="00AF0019"/>
    <w:rsid w:val="00AF138D"/>
    <w:rsid w:val="00AF2F4A"/>
    <w:rsid w:val="00AF779D"/>
    <w:rsid w:val="00B000E5"/>
    <w:rsid w:val="00B003E1"/>
    <w:rsid w:val="00B06310"/>
    <w:rsid w:val="00B11E27"/>
    <w:rsid w:val="00B14051"/>
    <w:rsid w:val="00B20125"/>
    <w:rsid w:val="00B20A4F"/>
    <w:rsid w:val="00B275B6"/>
    <w:rsid w:val="00B3339D"/>
    <w:rsid w:val="00B35128"/>
    <w:rsid w:val="00B454F3"/>
    <w:rsid w:val="00B46973"/>
    <w:rsid w:val="00B47058"/>
    <w:rsid w:val="00B5043B"/>
    <w:rsid w:val="00B617FD"/>
    <w:rsid w:val="00B64D8F"/>
    <w:rsid w:val="00B71C24"/>
    <w:rsid w:val="00B7246E"/>
    <w:rsid w:val="00B73658"/>
    <w:rsid w:val="00B75C45"/>
    <w:rsid w:val="00B81229"/>
    <w:rsid w:val="00B82D97"/>
    <w:rsid w:val="00B84831"/>
    <w:rsid w:val="00B84A12"/>
    <w:rsid w:val="00B967EB"/>
    <w:rsid w:val="00B972E4"/>
    <w:rsid w:val="00B97C6E"/>
    <w:rsid w:val="00BA3026"/>
    <w:rsid w:val="00BA70C0"/>
    <w:rsid w:val="00BB36BA"/>
    <w:rsid w:val="00BB52AB"/>
    <w:rsid w:val="00BC438C"/>
    <w:rsid w:val="00BD4FDE"/>
    <w:rsid w:val="00BD68F2"/>
    <w:rsid w:val="00BE02BC"/>
    <w:rsid w:val="00BE1DEA"/>
    <w:rsid w:val="00BE2CF3"/>
    <w:rsid w:val="00BF41C9"/>
    <w:rsid w:val="00BF4A88"/>
    <w:rsid w:val="00BF70A8"/>
    <w:rsid w:val="00C021CD"/>
    <w:rsid w:val="00C07138"/>
    <w:rsid w:val="00C15BEB"/>
    <w:rsid w:val="00C1793C"/>
    <w:rsid w:val="00C23294"/>
    <w:rsid w:val="00C2432C"/>
    <w:rsid w:val="00C2466F"/>
    <w:rsid w:val="00C33900"/>
    <w:rsid w:val="00C41739"/>
    <w:rsid w:val="00C439F8"/>
    <w:rsid w:val="00C447F4"/>
    <w:rsid w:val="00C44F04"/>
    <w:rsid w:val="00C474B7"/>
    <w:rsid w:val="00C55060"/>
    <w:rsid w:val="00C60E84"/>
    <w:rsid w:val="00C63142"/>
    <w:rsid w:val="00C66110"/>
    <w:rsid w:val="00C70395"/>
    <w:rsid w:val="00C73877"/>
    <w:rsid w:val="00C74D7B"/>
    <w:rsid w:val="00C858A1"/>
    <w:rsid w:val="00C9125C"/>
    <w:rsid w:val="00C932EF"/>
    <w:rsid w:val="00C93CEA"/>
    <w:rsid w:val="00CA39E3"/>
    <w:rsid w:val="00CB096A"/>
    <w:rsid w:val="00CB0AFD"/>
    <w:rsid w:val="00CB33DB"/>
    <w:rsid w:val="00CB62E7"/>
    <w:rsid w:val="00CC4077"/>
    <w:rsid w:val="00CC41BB"/>
    <w:rsid w:val="00CC5AF4"/>
    <w:rsid w:val="00CC674C"/>
    <w:rsid w:val="00CD504B"/>
    <w:rsid w:val="00CD71EC"/>
    <w:rsid w:val="00CE09BE"/>
    <w:rsid w:val="00CF7E35"/>
    <w:rsid w:val="00D01CCB"/>
    <w:rsid w:val="00D116D6"/>
    <w:rsid w:val="00D1227C"/>
    <w:rsid w:val="00D1307F"/>
    <w:rsid w:val="00D14E2D"/>
    <w:rsid w:val="00D1757C"/>
    <w:rsid w:val="00D20422"/>
    <w:rsid w:val="00D204EE"/>
    <w:rsid w:val="00D20E50"/>
    <w:rsid w:val="00D21E28"/>
    <w:rsid w:val="00D22357"/>
    <w:rsid w:val="00D23745"/>
    <w:rsid w:val="00D23D1B"/>
    <w:rsid w:val="00D23FC0"/>
    <w:rsid w:val="00D26FCB"/>
    <w:rsid w:val="00D3167A"/>
    <w:rsid w:val="00D40DF8"/>
    <w:rsid w:val="00D40EEE"/>
    <w:rsid w:val="00D51B9D"/>
    <w:rsid w:val="00D54E6B"/>
    <w:rsid w:val="00D57EF2"/>
    <w:rsid w:val="00D62123"/>
    <w:rsid w:val="00D64291"/>
    <w:rsid w:val="00D67520"/>
    <w:rsid w:val="00D74E4E"/>
    <w:rsid w:val="00D75690"/>
    <w:rsid w:val="00D76BC9"/>
    <w:rsid w:val="00D87CA5"/>
    <w:rsid w:val="00D9093C"/>
    <w:rsid w:val="00D92909"/>
    <w:rsid w:val="00D94D0D"/>
    <w:rsid w:val="00D972E6"/>
    <w:rsid w:val="00DA0A34"/>
    <w:rsid w:val="00DA356D"/>
    <w:rsid w:val="00DA561E"/>
    <w:rsid w:val="00DB2B3E"/>
    <w:rsid w:val="00DB7F9F"/>
    <w:rsid w:val="00DD11E5"/>
    <w:rsid w:val="00DD28FD"/>
    <w:rsid w:val="00DD42DF"/>
    <w:rsid w:val="00E0618C"/>
    <w:rsid w:val="00E11FC6"/>
    <w:rsid w:val="00E123C7"/>
    <w:rsid w:val="00E17C32"/>
    <w:rsid w:val="00E24263"/>
    <w:rsid w:val="00E278BE"/>
    <w:rsid w:val="00E343D4"/>
    <w:rsid w:val="00E35ABB"/>
    <w:rsid w:val="00E43511"/>
    <w:rsid w:val="00E531B5"/>
    <w:rsid w:val="00E62451"/>
    <w:rsid w:val="00E661A7"/>
    <w:rsid w:val="00E70EF7"/>
    <w:rsid w:val="00E72419"/>
    <w:rsid w:val="00E74243"/>
    <w:rsid w:val="00E765AC"/>
    <w:rsid w:val="00E91B4C"/>
    <w:rsid w:val="00EA2C76"/>
    <w:rsid w:val="00EA3C01"/>
    <w:rsid w:val="00EA45B2"/>
    <w:rsid w:val="00EA699B"/>
    <w:rsid w:val="00ED016D"/>
    <w:rsid w:val="00ED3A27"/>
    <w:rsid w:val="00EE52B7"/>
    <w:rsid w:val="00EF6C5D"/>
    <w:rsid w:val="00F003DB"/>
    <w:rsid w:val="00F1190D"/>
    <w:rsid w:val="00F14F20"/>
    <w:rsid w:val="00F15A45"/>
    <w:rsid w:val="00F40DF7"/>
    <w:rsid w:val="00F47F05"/>
    <w:rsid w:val="00F56B40"/>
    <w:rsid w:val="00F5703D"/>
    <w:rsid w:val="00F61267"/>
    <w:rsid w:val="00F612AC"/>
    <w:rsid w:val="00F64DDF"/>
    <w:rsid w:val="00F7127A"/>
    <w:rsid w:val="00F75298"/>
    <w:rsid w:val="00F76E55"/>
    <w:rsid w:val="00F81BCD"/>
    <w:rsid w:val="00F82A3E"/>
    <w:rsid w:val="00F933B9"/>
    <w:rsid w:val="00FA184C"/>
    <w:rsid w:val="00FA6B9A"/>
    <w:rsid w:val="00FB1747"/>
    <w:rsid w:val="00FB2750"/>
    <w:rsid w:val="00FB64DC"/>
    <w:rsid w:val="00FB7308"/>
    <w:rsid w:val="00FC52DE"/>
    <w:rsid w:val="00FC5805"/>
    <w:rsid w:val="00FC586A"/>
    <w:rsid w:val="00FD0C62"/>
    <w:rsid w:val="00FD4895"/>
    <w:rsid w:val="00FD70EC"/>
    <w:rsid w:val="00FE13AA"/>
    <w:rsid w:val="00FE31C9"/>
    <w:rsid w:val="00FE52F5"/>
    <w:rsid w:val="00FE5926"/>
    <w:rsid w:val="00FF05C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5247"/>
  <w15:docId w15:val="{4819A18A-4ED3-40A4-A2C2-548B4C32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character" w:customStyle="1" w:styleId="apple-converted-space">
    <w:name w:val="apple-converted-space"/>
    <w:basedOn w:val="DefaultParagraphFont"/>
    <w:rsid w:val="00495CCD"/>
  </w:style>
  <w:style w:type="paragraph" w:styleId="BalloonText">
    <w:name w:val="Balloon Text"/>
    <w:basedOn w:val="Normal"/>
    <w:link w:val="BalloonTextChar"/>
    <w:uiPriority w:val="99"/>
    <w:semiHidden/>
    <w:unhideWhenUsed/>
    <w:rsid w:val="007D4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2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11482">
      <w:bodyDiv w:val="1"/>
      <w:marLeft w:val="0"/>
      <w:marRight w:val="0"/>
      <w:marTop w:val="0"/>
      <w:marBottom w:val="0"/>
      <w:divBdr>
        <w:top w:val="none" w:sz="0" w:space="0" w:color="auto"/>
        <w:left w:val="none" w:sz="0" w:space="0" w:color="auto"/>
        <w:bottom w:val="none" w:sz="0" w:space="0" w:color="auto"/>
        <w:right w:val="none" w:sz="0" w:space="0" w:color="auto"/>
      </w:divBdr>
    </w:div>
    <w:div w:id="320618236">
      <w:bodyDiv w:val="1"/>
      <w:marLeft w:val="0"/>
      <w:marRight w:val="0"/>
      <w:marTop w:val="0"/>
      <w:marBottom w:val="0"/>
      <w:divBdr>
        <w:top w:val="none" w:sz="0" w:space="0" w:color="auto"/>
        <w:left w:val="none" w:sz="0" w:space="0" w:color="auto"/>
        <w:bottom w:val="none" w:sz="0" w:space="0" w:color="auto"/>
        <w:right w:val="none" w:sz="0" w:space="0" w:color="auto"/>
      </w:divBdr>
    </w:div>
    <w:div w:id="354498176">
      <w:bodyDiv w:val="1"/>
      <w:marLeft w:val="0"/>
      <w:marRight w:val="0"/>
      <w:marTop w:val="0"/>
      <w:marBottom w:val="0"/>
      <w:divBdr>
        <w:top w:val="none" w:sz="0" w:space="0" w:color="auto"/>
        <w:left w:val="none" w:sz="0" w:space="0" w:color="auto"/>
        <w:bottom w:val="none" w:sz="0" w:space="0" w:color="auto"/>
        <w:right w:val="none" w:sz="0" w:space="0" w:color="auto"/>
      </w:divBdr>
    </w:div>
    <w:div w:id="377704682">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 w:id="1492795458">
      <w:bodyDiv w:val="1"/>
      <w:marLeft w:val="0"/>
      <w:marRight w:val="0"/>
      <w:marTop w:val="0"/>
      <w:marBottom w:val="0"/>
      <w:divBdr>
        <w:top w:val="none" w:sz="0" w:space="0" w:color="auto"/>
        <w:left w:val="none" w:sz="0" w:space="0" w:color="auto"/>
        <w:bottom w:val="none" w:sz="0" w:space="0" w:color="auto"/>
        <w:right w:val="none" w:sz="0" w:space="0" w:color="auto"/>
      </w:divBdr>
    </w:div>
    <w:div w:id="1717512532">
      <w:bodyDiv w:val="1"/>
      <w:marLeft w:val="0"/>
      <w:marRight w:val="0"/>
      <w:marTop w:val="0"/>
      <w:marBottom w:val="0"/>
      <w:divBdr>
        <w:top w:val="none" w:sz="0" w:space="0" w:color="auto"/>
        <w:left w:val="none" w:sz="0" w:space="0" w:color="auto"/>
        <w:bottom w:val="none" w:sz="0" w:space="0" w:color="auto"/>
        <w:right w:val="none" w:sz="0" w:space="0" w:color="auto"/>
      </w:divBdr>
    </w:div>
    <w:div w:id="1943683054">
      <w:bodyDiv w:val="1"/>
      <w:marLeft w:val="0"/>
      <w:marRight w:val="0"/>
      <w:marTop w:val="0"/>
      <w:marBottom w:val="0"/>
      <w:divBdr>
        <w:top w:val="none" w:sz="0" w:space="0" w:color="auto"/>
        <w:left w:val="none" w:sz="0" w:space="0" w:color="auto"/>
        <w:bottom w:val="none" w:sz="0" w:space="0" w:color="auto"/>
        <w:right w:val="none" w:sz="0" w:space="0" w:color="auto"/>
      </w:divBdr>
    </w:div>
    <w:div w:id="195764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287BA-4854-4980-86FB-D6F68FFF3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039566-57A8-48B1-A089-00D6A34E3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8402</Words>
  <Characters>4790</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3</cp:revision>
  <cp:lastPrinted>2025-07-09T05:19:00Z</cp:lastPrinted>
  <dcterms:created xsi:type="dcterms:W3CDTF">2025-07-09T05:20:00Z</dcterms:created>
  <dcterms:modified xsi:type="dcterms:W3CDTF">2025-07-09T05:20:00Z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