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60476" w14:textId="41E0FF4E" w:rsidR="00DA481E" w:rsidRPr="003F523F" w:rsidRDefault="003F523F" w:rsidP="00DA481E">
      <w:pPr>
        <w:pStyle w:val="Pagrindinistekstas2"/>
        <w:widowControl w:val="0"/>
        <w:shd w:val="clear" w:color="auto" w:fill="auto"/>
        <w:suppressAutoHyphens/>
        <w:spacing w:before="0" w:after="0" w:line="240" w:lineRule="auto"/>
        <w:ind w:firstLine="0"/>
        <w:rPr>
          <w:rFonts w:ascii="Times New Roman" w:hAnsi="Times New Roman" w:cs="Times New Roman"/>
          <w:i/>
          <w:iCs/>
          <w:sz w:val="24"/>
          <w:szCs w:val="24"/>
          <w:lang w:val="lt-LT"/>
        </w:rPr>
      </w:pPr>
      <w:r w:rsidRPr="003F523F">
        <w:rPr>
          <w:rFonts w:ascii="Times New Roman" w:hAnsi="Times New Roman" w:cs="Times New Roman"/>
          <w:i/>
          <w:iCs/>
          <w:sz w:val="24"/>
          <w:szCs w:val="24"/>
          <w:lang w:val="lt-LT"/>
        </w:rPr>
        <w:t>Projektas</w:t>
      </w:r>
    </w:p>
    <w:p w14:paraId="2DBB50A7" w14:textId="77777777" w:rsidR="003F523F" w:rsidRDefault="003F523F"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7567A962" w14:textId="77777777" w:rsidR="003F523F" w:rsidRPr="006D345F" w:rsidRDefault="003F523F"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Atsiskaitomosios (-ųjų) sąskaitos (-ų) numeris (-iai)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DBF6F67"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211C6FF2" w14:textId="326D0DD7" w:rsidR="00DA481E" w:rsidRPr="004226BF" w:rsidRDefault="00DA481E" w:rsidP="004226BF">
      <w:pPr>
        <w:pStyle w:val="Pagrindinistekstas2"/>
        <w:widowControl w:val="0"/>
        <w:numPr>
          <w:ilvl w:val="0"/>
          <w:numId w:val="17"/>
        </w:numPr>
        <w:shd w:val="clear" w:color="auto" w:fill="auto"/>
        <w:tabs>
          <w:tab w:val="left" w:pos="426"/>
        </w:tabs>
        <w:suppressAutoHyphens/>
        <w:spacing w:before="0" w:after="0" w:line="240" w:lineRule="auto"/>
        <w:ind w:left="0"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Šia Sutartimi Rangovas įsipareigoja per Sutartyje nustatytą darbų atlikimo terminą ir</w:t>
      </w:r>
      <w:r w:rsidR="004226BF">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Sutartyje nustatytomis sąlygomis atlikti ir perduoti šiuos darbus (toliau – darbai):</w:t>
      </w:r>
      <w:r w:rsidR="00644A89">
        <w:rPr>
          <w:rFonts w:ascii="Times New Roman" w:hAnsi="Times New Roman" w:cs="Times New Roman"/>
          <w:b/>
          <w:sz w:val="24"/>
          <w:szCs w:val="24"/>
          <w:lang w:val="lt-LT"/>
        </w:rPr>
        <w:t xml:space="preserve"> </w:t>
      </w:r>
      <w:r w:rsidR="00B53DBE" w:rsidRPr="00B53DBE">
        <w:rPr>
          <w:rFonts w:ascii="Times New Roman" w:hAnsi="Times New Roman" w:cs="Times New Roman"/>
          <w:bCs/>
          <w:sz w:val="24"/>
          <w:szCs w:val="24"/>
          <w:lang w:val="lt-LT"/>
        </w:rPr>
        <w:t>Ignalinos miesto kultūros namų, Ateities g. 43 Ignalinoje rekonstravimo darbai</w:t>
      </w:r>
      <w:r w:rsidR="00323115">
        <w:rPr>
          <w:rFonts w:ascii="Times New Roman" w:hAnsi="Times New Roman" w:cs="Times New Roman"/>
          <w:bCs/>
          <w:sz w:val="24"/>
          <w:szCs w:val="24"/>
          <w:lang w:val="lt-LT"/>
        </w:rPr>
        <w:t xml:space="preserve"> </w:t>
      </w:r>
      <w:r w:rsidR="00B53DBE">
        <w:rPr>
          <w:rFonts w:ascii="Times New Roman" w:hAnsi="Times New Roman" w:cs="Times New Roman"/>
          <w:b/>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w:t>
      </w:r>
      <w:r w:rsidR="003A3244">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r w:rsidR="004226BF">
        <w:rPr>
          <w:rFonts w:ascii="Times New Roman" w:hAnsi="Times New Roman" w:cs="Times New Roman"/>
          <w:sz w:val="24"/>
          <w:szCs w:val="24"/>
          <w:lang w:val="lt-LT"/>
        </w:rPr>
        <w:t xml:space="preserve"> </w:t>
      </w:r>
      <w:r w:rsidR="00134065" w:rsidRPr="004226BF">
        <w:rPr>
          <w:rFonts w:ascii="Times New Roman" w:hAnsi="Times New Roman" w:cs="Times New Roman"/>
          <w:sz w:val="24"/>
          <w:szCs w:val="24"/>
          <w:lang w:val="lt-LT"/>
        </w:rPr>
        <w:t>Darbų techninė specifikacija, apimtys, pagrindiniai reikalavimai nurodyti techniniame darbo projekte Nr.ATR17-102-TDP ir yra privalomi Sutarties Šalims.</w:t>
      </w: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35EB6867"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00CF09DA">
        <w:rPr>
          <w:rFonts w:ascii="Times New Roman" w:hAnsi="Times New Roman" w:cs="Times New Roman"/>
          <w:sz w:val="24"/>
          <w:szCs w:val="24"/>
          <w:lang w:val="lt-LT"/>
        </w:rPr>
        <w:t xml:space="preserve"> </w:t>
      </w:r>
      <w:r w:rsidR="00A71F1D">
        <w:rPr>
          <w:rFonts w:ascii="Times New Roman" w:eastAsia="Times New Roman" w:hAnsi="Times New Roman"/>
          <w:bCs/>
          <w:color w:val="000000"/>
          <w:sz w:val="24"/>
          <w:szCs w:val="24"/>
          <w:bdr w:val="none" w:sz="0" w:space="0" w:color="auto" w:frame="1"/>
          <w:lang w:val="lt-LT"/>
        </w:rPr>
        <w:t>Ateities</w:t>
      </w:r>
      <w:r w:rsidR="00047DDC" w:rsidRPr="00DA1903">
        <w:rPr>
          <w:rFonts w:ascii="Times New Roman" w:eastAsia="Times New Roman" w:hAnsi="Times New Roman"/>
          <w:bCs/>
          <w:color w:val="000000"/>
          <w:sz w:val="24"/>
          <w:szCs w:val="24"/>
          <w:bdr w:val="none" w:sz="0" w:space="0" w:color="auto" w:frame="1"/>
          <w:lang w:val="lt-LT"/>
        </w:rPr>
        <w:t xml:space="preserve"> g. </w:t>
      </w:r>
      <w:r w:rsidR="00A71F1D">
        <w:rPr>
          <w:rFonts w:ascii="Times New Roman" w:eastAsia="Times New Roman" w:hAnsi="Times New Roman"/>
          <w:bCs/>
          <w:color w:val="000000"/>
          <w:sz w:val="24"/>
          <w:szCs w:val="24"/>
          <w:bdr w:val="none" w:sz="0" w:space="0" w:color="auto" w:frame="1"/>
          <w:lang w:val="lt-LT"/>
        </w:rPr>
        <w:t>43</w:t>
      </w:r>
      <w:r w:rsidR="00047DDC" w:rsidRPr="00DA1903">
        <w:rPr>
          <w:rFonts w:ascii="Times New Roman" w:eastAsia="Times New Roman" w:hAnsi="Times New Roman"/>
          <w:bCs/>
          <w:color w:val="000000"/>
          <w:sz w:val="24"/>
          <w:szCs w:val="24"/>
          <w:bdr w:val="none" w:sz="0" w:space="0" w:color="auto" w:frame="1"/>
          <w:lang w:val="lt-LT"/>
        </w:rPr>
        <w:t>, Igna</w:t>
      </w:r>
      <w:r w:rsidR="00E968FF">
        <w:rPr>
          <w:rFonts w:ascii="Times New Roman" w:eastAsia="Times New Roman" w:hAnsi="Times New Roman"/>
          <w:bCs/>
          <w:color w:val="000000"/>
          <w:sz w:val="24"/>
          <w:szCs w:val="24"/>
          <w:bdr w:val="none" w:sz="0" w:space="0" w:color="auto" w:frame="1"/>
          <w:lang w:val="lt-LT"/>
        </w:rPr>
        <w:t>linos mieste.</w:t>
      </w:r>
    </w:p>
    <w:p w14:paraId="647C7BAD" w14:textId="50AA4DF2"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 xml:space="preserve">Darbų atlikimo terminas: ne ilgiau kaip per </w:t>
      </w:r>
      <w:r w:rsidR="00DE0C0D">
        <w:rPr>
          <w:rFonts w:ascii="Times New Roman" w:hAnsi="Times New Roman" w:cs="Times New Roman"/>
          <w:sz w:val="24"/>
          <w:szCs w:val="24"/>
          <w:lang w:val="lt-LT"/>
        </w:rPr>
        <w:t>1</w:t>
      </w:r>
      <w:r w:rsidR="00A71F1D">
        <w:rPr>
          <w:rFonts w:ascii="Times New Roman" w:hAnsi="Times New Roman" w:cs="Times New Roman"/>
          <w:sz w:val="24"/>
          <w:szCs w:val="24"/>
          <w:lang w:val="lt-LT"/>
        </w:rPr>
        <w:t>50</w:t>
      </w:r>
      <w:r w:rsidRPr="006D345F">
        <w:rPr>
          <w:rFonts w:ascii="Times New Roman" w:hAnsi="Times New Roman" w:cs="Times New Roman"/>
          <w:sz w:val="24"/>
          <w:szCs w:val="24"/>
          <w:lang w:val="lt-LT"/>
        </w:rPr>
        <w:t xml:space="preserve"> (</w:t>
      </w:r>
      <w:r w:rsidR="00523406">
        <w:rPr>
          <w:rFonts w:ascii="Times New Roman" w:hAnsi="Times New Roman" w:cs="Times New Roman"/>
          <w:sz w:val="24"/>
          <w:szCs w:val="24"/>
          <w:lang w:val="lt-LT"/>
        </w:rPr>
        <w:t xml:space="preserve">vienas šimtas </w:t>
      </w:r>
      <w:r w:rsidR="00A71F1D">
        <w:rPr>
          <w:rFonts w:ascii="Times New Roman" w:hAnsi="Times New Roman" w:cs="Times New Roman"/>
          <w:sz w:val="24"/>
          <w:szCs w:val="24"/>
          <w:lang w:val="lt-LT"/>
        </w:rPr>
        <w:t>penkiasdešimt</w:t>
      </w:r>
      <w:r w:rsidR="0032683D">
        <w:rPr>
          <w:rFonts w:ascii="Times New Roman" w:hAnsi="Times New Roman" w:cs="Times New Roman"/>
          <w:sz w:val="24"/>
          <w:szCs w:val="24"/>
          <w:lang w:val="lt-LT"/>
        </w:rPr>
        <w:t>)</w:t>
      </w:r>
      <w:r w:rsidRPr="006D345F">
        <w:rPr>
          <w:rFonts w:ascii="Times New Roman" w:hAnsi="Times New Roman" w:cs="Times New Roman"/>
          <w:sz w:val="24"/>
          <w:szCs w:val="24"/>
          <w:lang w:val="lt-LT"/>
        </w:rPr>
        <w:t xml:space="preserve"> kalendorinių 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1626A7E6"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pabaiga pagal Sutartį bus laikomas momentas, kai bus užbaigti visi Sutartyje numatyti darbai, ištaisyti defektai ir pasirašytas darbų perdavimo–priėmimo aktas ir statybos užbaigimo </w:t>
      </w:r>
      <w:r w:rsidRPr="002B3B7F">
        <w:rPr>
          <w:rFonts w:ascii="Times New Roman" w:hAnsi="Times New Roman" w:cs="Times New Roman"/>
          <w:sz w:val="24"/>
          <w:szCs w:val="24"/>
          <w:lang w:val="lt-LT"/>
        </w:rPr>
        <w:t>aktas</w:t>
      </w:r>
      <w:r w:rsidR="00F57938">
        <w:rPr>
          <w:rFonts w:ascii="Times New Roman" w:hAnsi="Times New Roman" w:cs="Times New Roman"/>
          <w:sz w:val="24"/>
          <w:szCs w:val="24"/>
          <w:lang w:val="lt-LT"/>
        </w:rPr>
        <w:t>.</w:t>
      </w:r>
    </w:p>
    <w:p w14:paraId="37DBA089" w14:textId="5182ED14" w:rsidR="00DA481E" w:rsidRPr="00323115" w:rsidRDefault="00FC7938"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FC7938">
        <w:rPr>
          <w:rFonts w:ascii="Times New Roman" w:hAnsi="Times New Roman" w:cs="Times New Roman"/>
          <w:sz w:val="24"/>
          <w:szCs w:val="24"/>
          <w:lang w:val="lt-LT"/>
        </w:rPr>
        <w:t>Darbų atlikimo terminas, Sutarties šalims raštu išreiškus sutikimą, gali būti pratęstas</w:t>
      </w:r>
      <w:r>
        <w:rPr>
          <w:rFonts w:ascii="Times New Roman" w:hAnsi="Times New Roman" w:cs="Times New Roman"/>
          <w:sz w:val="24"/>
          <w:szCs w:val="24"/>
          <w:lang w:val="lt-LT"/>
        </w:rPr>
        <w:t xml:space="preserve"> vieną</w:t>
      </w:r>
      <w:r w:rsidRPr="00FC7938">
        <w:rPr>
          <w:rFonts w:ascii="Times New Roman" w:hAnsi="Times New Roman" w:cs="Times New Roman"/>
          <w:sz w:val="24"/>
          <w:szCs w:val="24"/>
          <w:lang w:val="lt-LT"/>
        </w:rPr>
        <w:t xml:space="preserve"> kartą </w:t>
      </w:r>
      <w:r>
        <w:rPr>
          <w:rFonts w:ascii="Times New Roman" w:hAnsi="Times New Roman" w:cs="Times New Roman"/>
          <w:sz w:val="24"/>
          <w:szCs w:val="24"/>
          <w:lang w:val="lt-LT"/>
        </w:rPr>
        <w:t>30 (trisdešimt)</w:t>
      </w:r>
      <w:r w:rsidRPr="00FC7938">
        <w:rPr>
          <w:rFonts w:ascii="Times New Roman" w:hAnsi="Times New Roman" w:cs="Times New Roman"/>
          <w:sz w:val="24"/>
          <w:szCs w:val="24"/>
          <w:lang w:val="lt-LT"/>
        </w:rPr>
        <w:t xml:space="preserve"> kalendorinių dienų.</w:t>
      </w:r>
    </w:p>
    <w:p w14:paraId="7FAA84D4" w14:textId="77777777" w:rsidR="00DA481E" w:rsidRPr="00323115"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trike/>
          <w:sz w:val="24"/>
          <w:szCs w:val="24"/>
          <w:lang w:val="lt-LT"/>
        </w:rPr>
      </w:pPr>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6838D904" w:rsidR="00DA481E" w:rsidRPr="00323115"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FB0745">
        <w:rPr>
          <w:rFonts w:ascii="Times New Roman" w:hAnsi="Times New Roman" w:cs="Times New Roman"/>
          <w:sz w:val="24"/>
          <w:szCs w:val="24"/>
          <w:lang w:val="lt-LT"/>
        </w:rPr>
        <w:t>.</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77777777"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Atliekami šie darbai:</w:t>
      </w:r>
    </w:p>
    <w:tbl>
      <w:tblPr>
        <w:tblW w:w="0" w:type="auto"/>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DA481E" w:rsidRPr="006D345F" w14:paraId="03EA1A58"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3284A3DC" w:rsidR="00DA481E" w:rsidRPr="00AE72C7" w:rsidRDefault="00F60895" w:rsidP="009C6BB8">
            <w:pPr>
              <w:widowControl w:val="0"/>
              <w:rPr>
                <w:color w:val="FF0000"/>
                <w:lang w:val="pt-BR"/>
              </w:rPr>
            </w:pPr>
            <w:r w:rsidRPr="00B53DBE">
              <w:rPr>
                <w:bCs/>
                <w:szCs w:val="24"/>
                <w:lang w:val="lt-LT"/>
              </w:rPr>
              <w:t>Ignalinos miesto kultūros namų, Ateities g. 43 Ignalinoje rekonstravimo darbai</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7EFD4CC" w14:textId="77777777" w:rsidTr="009C6BB8">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571A8D7A" w:rsidR="00DA481E" w:rsidRPr="00F60895" w:rsidRDefault="00F60895" w:rsidP="009C6BB8">
            <w:pPr>
              <w:widowControl w:val="0"/>
              <w:rPr>
                <w:color w:val="FF0000"/>
                <w:lang w:val="lt-LT"/>
              </w:rPr>
            </w:pPr>
            <w:r w:rsidRPr="00F60895">
              <w:rPr>
                <w:szCs w:val="24"/>
                <w:lang w:val="lt-LT"/>
              </w:rPr>
              <w:t xml:space="preserve">Pastato </w:t>
            </w:r>
            <w:r w:rsidRPr="00F60895">
              <w:rPr>
                <w:color w:val="000000" w:themeColor="text1"/>
                <w:szCs w:val="24"/>
                <w:lang w:val="lt-LT"/>
              </w:rPr>
              <w:t>kadastrinių matavimų by</w:t>
            </w:r>
            <w:r>
              <w:rPr>
                <w:color w:val="000000" w:themeColor="text1"/>
                <w:szCs w:val="24"/>
                <w:lang w:val="lt-LT"/>
              </w:rPr>
              <w:t>los</w:t>
            </w:r>
            <w:r w:rsidRPr="00F60895">
              <w:rPr>
                <w:color w:val="000000" w:themeColor="text1"/>
                <w:szCs w:val="24"/>
                <w:lang w:val="lt-LT"/>
              </w:rPr>
              <w:t xml:space="preserve"> su atitinkančia patikra registracijai VĮ Registrų centre</w:t>
            </w:r>
            <w:r>
              <w:rPr>
                <w:color w:val="000000" w:themeColor="text1"/>
                <w:szCs w:val="24"/>
                <w:lang w:val="lt-LT"/>
              </w:rPr>
              <w:t xml:space="preserve"> parengimas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DCB7ED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6150C096" w14:textId="77777777" w:rsidTr="009C6BB8">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DA481E" w:rsidRPr="006D345F" w:rsidRDefault="00DA481E" w:rsidP="009C6BB8">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DA481E" w:rsidRPr="006D345F" w:rsidRDefault="00DA481E" w:rsidP="009C6BB8">
            <w:pPr>
              <w:widowControl w:val="0"/>
              <w:rPr>
                <w:color w:val="FF0000"/>
                <w:lang w:val="lt-LT"/>
              </w:rPr>
            </w:pPr>
            <w:r w:rsidRPr="006D345F">
              <w:rPr>
                <w:color w:val="FF0000"/>
                <w:lang w:val="lt-LT"/>
              </w:rPr>
              <w:t>įrašyti</w:t>
            </w:r>
          </w:p>
        </w:tc>
      </w:tr>
      <w:tr w:rsidR="00DA481E" w:rsidRPr="006D345F" w14:paraId="16DA4437" w14:textId="77777777" w:rsidTr="009C6BB8">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DA481E" w:rsidRPr="006D345F" w:rsidRDefault="00DA481E" w:rsidP="009C6BB8">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DA481E" w:rsidRPr="006D345F" w:rsidRDefault="00DA481E" w:rsidP="009C6BB8">
            <w:pPr>
              <w:widowControl w:val="0"/>
              <w:rPr>
                <w:color w:val="FF0000"/>
                <w:lang w:val="lt-LT"/>
              </w:rPr>
            </w:pPr>
            <w:r w:rsidRPr="006D345F">
              <w:rPr>
                <w:color w:val="FF0000"/>
                <w:lang w:val="lt-LT"/>
              </w:rPr>
              <w:lastRenderedPageBreak/>
              <w:t>įrašyti</w:t>
            </w:r>
          </w:p>
        </w:tc>
      </w:tr>
      <w:tr w:rsidR="00DA481E" w:rsidRPr="006D345F" w14:paraId="5DF0F83C" w14:textId="77777777" w:rsidTr="009C6BB8">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Sn</w:t>
      </w:r>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r w:rsidRPr="006D345F">
        <w:rPr>
          <w:sz w:val="20"/>
          <w:lang w:val="lt-LT"/>
        </w:rPr>
        <w:t xml:space="preserve">Sn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Tn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6D345F">
        <w:rPr>
          <w:rFonts w:ascii="Times New Roman" w:eastAsia="Arial Unicode MS" w:hAnsi="Times New Roman" w:cs="Times New Roman"/>
          <w:sz w:val="24"/>
          <w:szCs w:val="24"/>
          <w:lang w:val="lt-LT"/>
        </w:rPr>
        <w:t>per 5 (penkias) darbo dienas nuo Pirkėjo pareikalavimo pateikimo dienos.</w:t>
      </w:r>
    </w:p>
    <w:p w14:paraId="6E6ECBF1" w14:textId="31217A0C"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eastAsia="Arial Unicode MS" w:hAnsi="Times New Roman" w:cs="Times New Roman"/>
          <w:sz w:val="24"/>
          <w:szCs w:val="24"/>
          <w:lang w:val="lt-LT"/>
        </w:rPr>
      </w:pPr>
    </w:p>
    <w:p w14:paraId="4ABF5372"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3378658B" w14:textId="7B810FC8" w:rsidR="00850509" w:rsidRPr="00776298" w:rsidRDefault="00850509" w:rsidP="00850509">
      <w:pPr>
        <w:tabs>
          <w:tab w:val="left" w:pos="2127"/>
        </w:tabs>
        <w:ind w:firstLine="1134"/>
        <w:jc w:val="both"/>
        <w:rPr>
          <w:strike/>
          <w:lang w:val="lt-LT"/>
        </w:rPr>
      </w:pPr>
      <w:r w:rsidRPr="00776298">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w:t>
      </w:r>
      <w:r w:rsidR="00CB096E" w:rsidRPr="00CB096E">
        <w:rPr>
          <w:lang w:val="lt-LT"/>
        </w:rPr>
        <w:t>.</w:t>
      </w:r>
    </w:p>
    <w:p w14:paraId="2CDC58F8" w14:textId="5EC02C32" w:rsidR="00850509" w:rsidRPr="00776298" w:rsidRDefault="00850509" w:rsidP="009E630A">
      <w:pPr>
        <w:ind w:firstLine="1276"/>
        <w:jc w:val="both"/>
        <w:rPr>
          <w:lang w:val="lt-LT"/>
        </w:rPr>
      </w:pPr>
      <w:r w:rsidRPr="00776298">
        <w:rPr>
          <w:lang w:val="lt-LT"/>
        </w:rPr>
        <w:t>Rangovas vykdant Sutartį privalo užtikrinti, kad nurodyti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C4DE2E9" w14:textId="6D34459D" w:rsidR="00850509" w:rsidRPr="00776298" w:rsidRDefault="00850509" w:rsidP="009E630A">
      <w:pPr>
        <w:ind w:firstLine="1134"/>
        <w:jc w:val="both"/>
        <w:rPr>
          <w:lang w:val="lt-LT"/>
        </w:rPr>
      </w:pPr>
      <w:r w:rsidRPr="00776298">
        <w:rPr>
          <w:lang w:val="lt-LT"/>
        </w:rPr>
        <w:lastRenderedPageBreak/>
        <w:t>Užsakovui paprašius, Rangovas turi per 10 (dešimt) kalendorinių dienų nuo prašymo gavimo dienos pateikti Užsakovui ataskaitą ir (ar) dokumentus, patvirtinančius nurodytų įsipareigojimų laikymąsi</w:t>
      </w:r>
    </w:p>
    <w:p w14:paraId="7306BCB0" w14:textId="77777777" w:rsidR="00850509" w:rsidRPr="00A561D9" w:rsidRDefault="00850509" w:rsidP="00850509">
      <w:pPr>
        <w:tabs>
          <w:tab w:val="left" w:pos="2127"/>
        </w:tabs>
        <w:ind w:firstLine="1134"/>
        <w:jc w:val="both"/>
        <w:rPr>
          <w:lang w:val="lt-LT"/>
        </w:rPr>
      </w:pPr>
      <w:r w:rsidRPr="00776298">
        <w:rPr>
          <w:szCs w:val="24"/>
          <w:lang w:val="lt-LT"/>
        </w:rPr>
        <w:t xml:space="preserve"> </w:t>
      </w:r>
      <w:r w:rsidRPr="00776298">
        <w:rPr>
          <w:strike/>
          <w:lang w:val="lt-LT"/>
        </w:rPr>
        <w:t xml:space="preserve"> </w:t>
      </w:r>
      <w:r w:rsidRPr="00776298">
        <w:rPr>
          <w:lang w:val="lt-LT"/>
        </w:rPr>
        <w:t>Pažeidus šiame punkte numatytus reikalavimus, Rangovas įsipareigoja sumokėti Užsakovui 1 proc. nuo Sutarties vertės dydžio baudą.</w:t>
      </w:r>
      <w:r w:rsidRPr="00A561D9">
        <w:rPr>
          <w:lang w:val="lt-LT"/>
        </w:rPr>
        <w:t xml:space="preserve"> </w:t>
      </w:r>
    </w:p>
    <w:p w14:paraId="67C5BB27" w14:textId="77777777" w:rsidR="00850509" w:rsidRPr="006D345F" w:rsidRDefault="0085050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57D003C7" w14:textId="77777777" w:rsidR="007E2FF9" w:rsidRPr="006D345F" w:rsidRDefault="007E2FF9"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6D345F"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Techninės specifikacijos, darbų kiekių </w:t>
      </w:r>
      <w:r w:rsidR="00F905FC" w:rsidRPr="006D345F">
        <w:rPr>
          <w:rFonts w:ascii="Times New Roman" w:hAnsi="Times New Roman" w:cs="Times New Roman"/>
          <w:sz w:val="24"/>
          <w:szCs w:val="24"/>
          <w:lang w:val="lt-LT"/>
        </w:rPr>
        <w:t>žiniaraščiai</w:t>
      </w:r>
      <w:r w:rsidRPr="006D345F">
        <w:rPr>
          <w:rFonts w:ascii="Times New Roman" w:hAnsi="Times New Roman" w:cs="Times New Roman"/>
          <w:sz w:val="24"/>
          <w:szCs w:val="24"/>
          <w:lang w:val="lt-LT"/>
        </w:rPr>
        <w:t xml:space="preserve"> ir perkančiosios organizacijos iki pasiūlymų pateikimo termino išsiųsti paaiškinimai</w:t>
      </w:r>
      <w:r w:rsidRPr="006D345F">
        <w:rPr>
          <w:rStyle w:val="PagrindinistekstasKursyvas"/>
          <w:rFonts w:ascii="Times New Roman" w:hAnsi="Times New Roman" w:cs="Times New Roman"/>
          <w:sz w:val="24"/>
          <w:szCs w:val="24"/>
          <w:lang w:val="lt-LT"/>
        </w:rPr>
        <w:t xml:space="preserve"> (jei jų bus).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0"/>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t>as) atsiskaitomąją (-ąsias) banko sąskaitą (-as). Rangovas raštu privalo informuoti Pirkėją apie atsiskaitomosios (-ųjų)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7D73553B"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62.</w:t>
      </w:r>
      <w:r w:rsidRPr="006D345F">
        <w:rPr>
          <w:rFonts w:ascii="Times New Roman" w:hAnsi="Times New Roman" w:cs="Times New Roman"/>
          <w:sz w:val="24"/>
          <w:szCs w:val="24"/>
          <w:lang w:val="lt-LT"/>
        </w:rPr>
        <w:tab/>
        <w:t xml:space="preserve">Elektroninės sąskaitos teikiamos per sistemą </w:t>
      </w:r>
      <w:r w:rsidR="00CC25F5">
        <w:rPr>
          <w:rFonts w:ascii="Times New Roman" w:hAnsi="Times New Roman" w:cs="Times New Roman"/>
          <w:sz w:val="24"/>
          <w:szCs w:val="24"/>
          <w:lang w:val="lt-LT"/>
        </w:rPr>
        <w:t>SABIS.</w:t>
      </w:r>
      <w:r w:rsidRPr="006D345F">
        <w:rPr>
          <w:rFonts w:ascii="Times New Roman" w:hAnsi="Times New Roman" w:cs="Times New Roman"/>
          <w:sz w:val="24"/>
          <w:szCs w:val="24"/>
          <w:lang w:val="lt-LT"/>
        </w:rPr>
        <w:t xml:space="preserve">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„Incoterms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1"/>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sandėliuoti arba išvežti perteklines medžiagas ir nereikalingus Rangovo įrengiius;</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2"/>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kai Rangovas pakeičia subrangovą ar sudaro naują subtiekimo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 xml:space="preserve">Šalys įsipareigoja tinkamai informuoti visus fizinius asmenis (darbuotojus, įgaliotinius, </w:t>
      </w:r>
      <w:r w:rsidRPr="006D345F">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6D345F">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0"/>
        <w:gridCol w:w="1883"/>
        <w:gridCol w:w="1102"/>
        <w:gridCol w:w="1417"/>
        <w:gridCol w:w="1417"/>
        <w:gridCol w:w="1419"/>
        <w:gridCol w:w="1150"/>
        <w:gridCol w:w="1018"/>
      </w:tblGrid>
      <w:tr w:rsidR="00A01340" w:rsidRPr="00847486" w14:paraId="17EA0E34" w14:textId="77777777" w:rsidTr="008B0362">
        <w:trPr>
          <w:trHeight w:val="624"/>
        </w:trPr>
        <w:tc>
          <w:tcPr>
            <w:tcW w:w="295" w:type="pct"/>
            <w:vMerge w:val="restart"/>
            <w:vAlign w:val="center"/>
          </w:tcPr>
          <w:p w14:paraId="5AA3E064" w14:textId="77777777" w:rsidR="00A01340" w:rsidRPr="00847486" w:rsidRDefault="00A01340" w:rsidP="00E144A9">
            <w:pPr>
              <w:widowControl w:val="0"/>
              <w:ind w:right="-113"/>
              <w:jc w:val="center"/>
              <w:rPr>
                <w:b/>
                <w:iCs/>
                <w:szCs w:val="24"/>
              </w:rPr>
            </w:pPr>
            <w:r w:rsidRPr="00847486">
              <w:rPr>
                <w:b/>
                <w:szCs w:val="24"/>
              </w:rPr>
              <w:t>Eil. Nr.</w:t>
            </w:r>
          </w:p>
        </w:tc>
        <w:tc>
          <w:tcPr>
            <w:tcW w:w="942" w:type="pct"/>
            <w:vMerge w:val="restart"/>
            <w:vAlign w:val="center"/>
          </w:tcPr>
          <w:p w14:paraId="5BE44779" w14:textId="77777777" w:rsidR="00A01340" w:rsidRPr="001E2549" w:rsidRDefault="00A01340" w:rsidP="00E144A9">
            <w:pPr>
              <w:jc w:val="center"/>
              <w:rPr>
                <w:b/>
                <w:bCs/>
                <w:szCs w:val="24"/>
                <w:lang w:val="lt-LT"/>
              </w:rPr>
            </w:pPr>
            <w:r w:rsidRPr="001E2549">
              <w:rPr>
                <w:b/>
                <w:bCs/>
                <w:szCs w:val="24"/>
                <w:lang w:val="lt-LT"/>
              </w:rPr>
              <w:t>Darbų gupių (etapų) pavadinimai</w:t>
            </w:r>
          </w:p>
        </w:tc>
        <w:tc>
          <w:tcPr>
            <w:tcW w:w="551" w:type="pct"/>
          </w:tcPr>
          <w:p w14:paraId="342A9922" w14:textId="77777777" w:rsidR="00A01340" w:rsidRPr="001E2549" w:rsidRDefault="00A01340" w:rsidP="00E144A9">
            <w:pPr>
              <w:widowControl w:val="0"/>
              <w:jc w:val="center"/>
              <w:rPr>
                <w:b/>
                <w:i/>
                <w:szCs w:val="24"/>
                <w:lang w:val="lt-LT"/>
              </w:rPr>
            </w:pPr>
          </w:p>
        </w:tc>
        <w:tc>
          <w:tcPr>
            <w:tcW w:w="2703" w:type="pct"/>
            <w:gridSpan w:val="4"/>
          </w:tcPr>
          <w:p w14:paraId="5F49A2AC" w14:textId="3BC94A0D" w:rsidR="00A01340" w:rsidRPr="001E2549" w:rsidRDefault="00A01340"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509" w:type="pct"/>
            <w:vMerge w:val="restart"/>
            <w:vAlign w:val="center"/>
          </w:tcPr>
          <w:p w14:paraId="3A9F6061" w14:textId="57F14DFC" w:rsidR="00A01340" w:rsidRPr="001E2549" w:rsidRDefault="00A01340" w:rsidP="00E144A9">
            <w:pPr>
              <w:widowControl w:val="0"/>
              <w:jc w:val="center"/>
              <w:rPr>
                <w:b/>
                <w:i/>
                <w:szCs w:val="24"/>
                <w:lang w:val="lt-LT"/>
              </w:rPr>
            </w:pPr>
            <w:bookmarkStart w:id="3" w:name="_Toc73434231"/>
            <w:bookmarkStart w:id="4" w:name="_Toc73434344"/>
            <w:bookmarkStart w:id="5" w:name="_Toc76448822"/>
            <w:bookmarkStart w:id="6" w:name="_Toc112567501"/>
          </w:p>
          <w:p w14:paraId="0F414148" w14:textId="77777777" w:rsidR="00A01340" w:rsidRPr="001E2549" w:rsidRDefault="00A01340" w:rsidP="00E144A9">
            <w:pPr>
              <w:widowControl w:val="0"/>
              <w:jc w:val="center"/>
              <w:rPr>
                <w:b/>
                <w:i/>
                <w:szCs w:val="24"/>
                <w:lang w:val="lt-LT"/>
              </w:rPr>
            </w:pPr>
            <w:r w:rsidRPr="001E2549">
              <w:rPr>
                <w:b/>
                <w:i/>
                <w:szCs w:val="24"/>
                <w:lang w:val="lt-LT"/>
              </w:rPr>
              <w:t xml:space="preserve">Kaina </w:t>
            </w:r>
            <w:bookmarkStart w:id="7" w:name="_Toc42509141"/>
            <w:r w:rsidRPr="001E2549">
              <w:rPr>
                <w:b/>
                <w:i/>
                <w:szCs w:val="24"/>
                <w:lang w:val="lt-LT"/>
              </w:rPr>
              <w:t>(Eur) be PVM</w:t>
            </w:r>
            <w:bookmarkEnd w:id="3"/>
            <w:bookmarkEnd w:id="4"/>
            <w:bookmarkEnd w:id="5"/>
            <w:bookmarkEnd w:id="6"/>
            <w:bookmarkEnd w:id="7"/>
            <w:r w:rsidRPr="001E2549">
              <w:rPr>
                <w:b/>
                <w:i/>
                <w:szCs w:val="24"/>
                <w:lang w:val="lt-LT"/>
              </w:rPr>
              <w:t xml:space="preserve"> </w:t>
            </w:r>
          </w:p>
          <w:p w14:paraId="55722B0A" w14:textId="77777777" w:rsidR="00A01340" w:rsidRPr="001E2549" w:rsidRDefault="00A01340" w:rsidP="00E144A9">
            <w:pPr>
              <w:widowControl w:val="0"/>
              <w:jc w:val="center"/>
              <w:rPr>
                <w:i/>
                <w:szCs w:val="24"/>
                <w:lang w:val="lt-LT"/>
              </w:rPr>
            </w:pPr>
          </w:p>
        </w:tc>
      </w:tr>
      <w:tr w:rsidR="00A01340" w:rsidRPr="00F766FA" w14:paraId="0BED48DC" w14:textId="77777777" w:rsidTr="008B0362">
        <w:trPr>
          <w:cantSplit/>
          <w:trHeight w:val="1343"/>
        </w:trPr>
        <w:tc>
          <w:tcPr>
            <w:tcW w:w="295" w:type="pct"/>
            <w:vMerge/>
          </w:tcPr>
          <w:p w14:paraId="092FA621" w14:textId="77777777" w:rsidR="00A01340" w:rsidRPr="00847486" w:rsidRDefault="00A01340" w:rsidP="00E144A9">
            <w:pPr>
              <w:widowControl w:val="0"/>
              <w:ind w:left="175"/>
              <w:rPr>
                <w:b/>
                <w:szCs w:val="24"/>
              </w:rPr>
            </w:pPr>
          </w:p>
        </w:tc>
        <w:tc>
          <w:tcPr>
            <w:tcW w:w="942" w:type="pct"/>
            <w:vMerge/>
          </w:tcPr>
          <w:p w14:paraId="0404ED2D" w14:textId="77777777" w:rsidR="00A01340" w:rsidRPr="001E2549" w:rsidRDefault="00A01340" w:rsidP="00E144A9">
            <w:pPr>
              <w:widowControl w:val="0"/>
              <w:rPr>
                <w:b/>
                <w:szCs w:val="24"/>
                <w:lang w:val="lt-LT"/>
              </w:rPr>
            </w:pPr>
          </w:p>
        </w:tc>
        <w:tc>
          <w:tcPr>
            <w:tcW w:w="551" w:type="pct"/>
            <w:textDirection w:val="btLr"/>
          </w:tcPr>
          <w:p w14:paraId="1C81D9D6" w14:textId="77777777" w:rsidR="00A01340" w:rsidRDefault="00A01340" w:rsidP="00A01340">
            <w:pPr>
              <w:widowControl w:val="0"/>
              <w:ind w:left="113" w:right="113"/>
              <w:rPr>
                <w:b/>
                <w:bCs/>
                <w:szCs w:val="24"/>
                <w:lang w:val="lt-LT"/>
              </w:rPr>
            </w:pPr>
          </w:p>
          <w:p w14:paraId="0E9D04C2" w14:textId="3C8EB39F" w:rsidR="00A01340" w:rsidRPr="0072338D" w:rsidRDefault="00A01340" w:rsidP="00A01340">
            <w:pPr>
              <w:widowControl w:val="0"/>
              <w:ind w:left="113" w:right="113"/>
              <w:rPr>
                <w:b/>
                <w:bCs/>
                <w:szCs w:val="24"/>
                <w:lang w:val="lt-LT"/>
              </w:rPr>
            </w:pPr>
            <w:r w:rsidRPr="0072338D">
              <w:rPr>
                <w:b/>
                <w:bCs/>
                <w:szCs w:val="24"/>
                <w:lang w:val="lt-LT"/>
              </w:rPr>
              <w:t>I mėnuo</w:t>
            </w:r>
          </w:p>
        </w:tc>
        <w:tc>
          <w:tcPr>
            <w:tcW w:w="709" w:type="pct"/>
            <w:textDirection w:val="btLr"/>
            <w:vAlign w:val="center"/>
          </w:tcPr>
          <w:p w14:paraId="56D32FC1" w14:textId="7EBA3591" w:rsidR="00A01340" w:rsidRPr="00CB096E" w:rsidRDefault="00A01340" w:rsidP="00A01340">
            <w:pPr>
              <w:widowControl w:val="0"/>
              <w:ind w:left="113" w:right="113"/>
              <w:rPr>
                <w:b/>
                <w:bCs/>
                <w:szCs w:val="24"/>
                <w:lang w:val="lt-LT"/>
              </w:rPr>
            </w:pPr>
            <w:r>
              <w:rPr>
                <w:b/>
                <w:bCs/>
                <w:szCs w:val="24"/>
                <w:lang w:val="lt-LT"/>
              </w:rPr>
              <w:t>I</w:t>
            </w:r>
            <w:r w:rsidRPr="0072338D">
              <w:rPr>
                <w:b/>
                <w:bCs/>
                <w:szCs w:val="24"/>
                <w:lang w:val="lt-LT"/>
              </w:rPr>
              <w:t>I mėnuo</w:t>
            </w:r>
          </w:p>
        </w:tc>
        <w:tc>
          <w:tcPr>
            <w:tcW w:w="709" w:type="pct"/>
            <w:textDirection w:val="btLr"/>
          </w:tcPr>
          <w:p w14:paraId="4CCD0058" w14:textId="77777777" w:rsidR="00A01340" w:rsidRDefault="00A01340" w:rsidP="00A01340">
            <w:pPr>
              <w:widowControl w:val="0"/>
              <w:ind w:left="113" w:right="113"/>
              <w:rPr>
                <w:b/>
                <w:bCs/>
                <w:szCs w:val="24"/>
                <w:lang w:val="lt-LT"/>
              </w:rPr>
            </w:pPr>
          </w:p>
          <w:p w14:paraId="098E3792" w14:textId="6F92FB58" w:rsidR="00A01340" w:rsidRPr="001E2549" w:rsidRDefault="00A01340" w:rsidP="00A01340">
            <w:pPr>
              <w:widowControl w:val="0"/>
              <w:ind w:left="113" w:right="113"/>
              <w:rPr>
                <w:b/>
                <w:szCs w:val="24"/>
                <w:lang w:val="lt-LT"/>
              </w:rPr>
            </w:pPr>
            <w:r w:rsidRPr="0072338D">
              <w:rPr>
                <w:b/>
                <w:bCs/>
                <w:szCs w:val="24"/>
                <w:lang w:val="lt-LT"/>
              </w:rPr>
              <w:t>I</w:t>
            </w:r>
            <w:r>
              <w:rPr>
                <w:b/>
                <w:bCs/>
                <w:szCs w:val="24"/>
                <w:lang w:val="lt-LT"/>
              </w:rPr>
              <w:t>II</w:t>
            </w:r>
            <w:r w:rsidRPr="0072338D">
              <w:rPr>
                <w:b/>
                <w:bCs/>
                <w:szCs w:val="24"/>
                <w:lang w:val="lt-LT"/>
              </w:rPr>
              <w:t xml:space="preserve"> mėnuo</w:t>
            </w:r>
          </w:p>
        </w:tc>
        <w:tc>
          <w:tcPr>
            <w:tcW w:w="710" w:type="pct"/>
            <w:textDirection w:val="btLr"/>
          </w:tcPr>
          <w:p w14:paraId="60B197BF" w14:textId="77777777" w:rsidR="00A01340" w:rsidRDefault="00A01340" w:rsidP="00A01340">
            <w:pPr>
              <w:widowControl w:val="0"/>
              <w:ind w:left="113" w:right="113"/>
              <w:rPr>
                <w:b/>
                <w:bCs/>
                <w:szCs w:val="24"/>
                <w:lang w:val="lt-LT"/>
              </w:rPr>
            </w:pPr>
          </w:p>
          <w:p w14:paraId="28FD9F35" w14:textId="0D6E6F54" w:rsidR="00A01340" w:rsidRDefault="00A01340" w:rsidP="00A01340">
            <w:pPr>
              <w:widowControl w:val="0"/>
              <w:ind w:left="113" w:right="113"/>
              <w:rPr>
                <w:b/>
                <w:bCs/>
                <w:szCs w:val="24"/>
                <w:lang w:val="lt-LT"/>
              </w:rPr>
            </w:pPr>
            <w:r>
              <w:rPr>
                <w:b/>
                <w:bCs/>
                <w:szCs w:val="24"/>
                <w:lang w:val="lt-LT"/>
              </w:rPr>
              <w:t xml:space="preserve">IV </w:t>
            </w:r>
            <w:r w:rsidRPr="0072338D">
              <w:rPr>
                <w:b/>
                <w:bCs/>
                <w:szCs w:val="24"/>
                <w:lang w:val="lt-LT"/>
              </w:rPr>
              <w:t>mėnuo</w:t>
            </w:r>
          </w:p>
        </w:tc>
        <w:tc>
          <w:tcPr>
            <w:tcW w:w="575" w:type="pct"/>
            <w:textDirection w:val="btLr"/>
          </w:tcPr>
          <w:p w14:paraId="527161F5" w14:textId="77777777" w:rsidR="00A01340" w:rsidRDefault="00A01340" w:rsidP="00A01340">
            <w:pPr>
              <w:widowControl w:val="0"/>
              <w:ind w:left="113" w:right="113"/>
              <w:rPr>
                <w:b/>
                <w:bCs/>
                <w:szCs w:val="24"/>
                <w:lang w:val="lt-LT"/>
              </w:rPr>
            </w:pPr>
          </w:p>
          <w:p w14:paraId="0BD3E30A" w14:textId="4B398825" w:rsidR="00A01340" w:rsidRPr="00F766FA" w:rsidRDefault="00070AE6" w:rsidP="00A01340">
            <w:pPr>
              <w:widowControl w:val="0"/>
              <w:ind w:left="113" w:right="113"/>
              <w:rPr>
                <w:b/>
                <w:szCs w:val="24"/>
                <w:lang w:val="lt-LT"/>
              </w:rPr>
            </w:pPr>
            <w:r>
              <w:rPr>
                <w:b/>
                <w:bCs/>
                <w:szCs w:val="24"/>
                <w:lang w:val="lt-LT"/>
              </w:rPr>
              <w:t>V</w:t>
            </w:r>
            <w:r w:rsidR="00A01340">
              <w:rPr>
                <w:b/>
                <w:bCs/>
                <w:szCs w:val="24"/>
                <w:lang w:val="lt-LT"/>
              </w:rPr>
              <w:t xml:space="preserve"> </w:t>
            </w:r>
            <w:r w:rsidR="00A01340" w:rsidRPr="0072338D">
              <w:rPr>
                <w:b/>
                <w:bCs/>
                <w:szCs w:val="24"/>
                <w:lang w:val="lt-LT"/>
              </w:rPr>
              <w:t>mėnuo</w:t>
            </w:r>
          </w:p>
        </w:tc>
        <w:tc>
          <w:tcPr>
            <w:tcW w:w="509" w:type="pct"/>
            <w:vMerge/>
          </w:tcPr>
          <w:p w14:paraId="7285A3E4" w14:textId="6496E4C9" w:rsidR="00A01340" w:rsidRPr="001E2549" w:rsidRDefault="00A01340" w:rsidP="00E144A9">
            <w:pPr>
              <w:widowControl w:val="0"/>
              <w:rPr>
                <w:b/>
                <w:szCs w:val="24"/>
                <w:lang w:val="lt-LT"/>
              </w:rPr>
            </w:pPr>
          </w:p>
        </w:tc>
      </w:tr>
      <w:tr w:rsidR="00A01340" w:rsidRPr="00191487" w14:paraId="40FA2A09" w14:textId="77777777" w:rsidTr="008B0362">
        <w:tc>
          <w:tcPr>
            <w:tcW w:w="295" w:type="pct"/>
          </w:tcPr>
          <w:p w14:paraId="2910CA1C" w14:textId="77777777" w:rsidR="00A01340" w:rsidRPr="002A36CB" w:rsidRDefault="00A01340" w:rsidP="005034F9">
            <w:pPr>
              <w:widowControl w:val="0"/>
              <w:jc w:val="center"/>
              <w:rPr>
                <w:b/>
                <w:bCs/>
                <w:color w:val="000000" w:themeColor="text1"/>
                <w:szCs w:val="24"/>
                <w:lang w:val="lt-LT"/>
              </w:rPr>
            </w:pPr>
            <w:r w:rsidRPr="002A36CB">
              <w:rPr>
                <w:b/>
                <w:bCs/>
                <w:color w:val="000000" w:themeColor="text1"/>
                <w:szCs w:val="24"/>
                <w:lang w:val="lt-LT"/>
              </w:rPr>
              <w:t>1.</w:t>
            </w:r>
          </w:p>
        </w:tc>
        <w:tc>
          <w:tcPr>
            <w:tcW w:w="942" w:type="pct"/>
          </w:tcPr>
          <w:p w14:paraId="042651C4" w14:textId="68C77F5D" w:rsidR="00A01340" w:rsidRPr="00AF058E" w:rsidRDefault="00A01340" w:rsidP="005034F9">
            <w:pPr>
              <w:rPr>
                <w:b/>
                <w:bCs/>
                <w:szCs w:val="24"/>
                <w:lang w:val="lt-LT"/>
              </w:rPr>
            </w:pPr>
            <w:r>
              <w:rPr>
                <w:b/>
                <w:bCs/>
                <w:szCs w:val="24"/>
              </w:rPr>
              <w:t>Paruošiamieji darbai</w:t>
            </w:r>
          </w:p>
        </w:tc>
        <w:tc>
          <w:tcPr>
            <w:tcW w:w="551" w:type="pct"/>
          </w:tcPr>
          <w:p w14:paraId="0B590307" w14:textId="77777777" w:rsidR="00A01340" w:rsidRPr="001E2549" w:rsidRDefault="00A01340" w:rsidP="005034F9">
            <w:pPr>
              <w:widowControl w:val="0"/>
              <w:spacing w:before="120"/>
              <w:jc w:val="right"/>
              <w:rPr>
                <w:szCs w:val="24"/>
                <w:lang w:val="lt-LT"/>
              </w:rPr>
            </w:pPr>
          </w:p>
        </w:tc>
        <w:tc>
          <w:tcPr>
            <w:tcW w:w="709" w:type="pct"/>
          </w:tcPr>
          <w:p w14:paraId="33D04545" w14:textId="3DFC1907" w:rsidR="00A01340" w:rsidRPr="001E2549" w:rsidRDefault="00A01340" w:rsidP="005034F9">
            <w:pPr>
              <w:widowControl w:val="0"/>
              <w:spacing w:before="120"/>
              <w:jc w:val="right"/>
              <w:rPr>
                <w:szCs w:val="24"/>
                <w:lang w:val="lt-LT"/>
              </w:rPr>
            </w:pPr>
          </w:p>
        </w:tc>
        <w:tc>
          <w:tcPr>
            <w:tcW w:w="709" w:type="pct"/>
          </w:tcPr>
          <w:p w14:paraId="4626DF77" w14:textId="77777777" w:rsidR="00A01340" w:rsidRPr="001E2549" w:rsidRDefault="00A01340" w:rsidP="005034F9">
            <w:pPr>
              <w:widowControl w:val="0"/>
              <w:spacing w:before="120"/>
              <w:jc w:val="right"/>
              <w:rPr>
                <w:szCs w:val="24"/>
                <w:lang w:val="lt-LT"/>
              </w:rPr>
            </w:pPr>
          </w:p>
        </w:tc>
        <w:tc>
          <w:tcPr>
            <w:tcW w:w="710" w:type="pct"/>
          </w:tcPr>
          <w:p w14:paraId="15B826BB" w14:textId="77777777" w:rsidR="00A01340" w:rsidRPr="001E2549" w:rsidRDefault="00A01340" w:rsidP="005034F9">
            <w:pPr>
              <w:widowControl w:val="0"/>
              <w:spacing w:before="120"/>
              <w:jc w:val="right"/>
              <w:rPr>
                <w:szCs w:val="24"/>
                <w:lang w:val="lt-LT"/>
              </w:rPr>
            </w:pPr>
          </w:p>
        </w:tc>
        <w:tc>
          <w:tcPr>
            <w:tcW w:w="575" w:type="pct"/>
          </w:tcPr>
          <w:p w14:paraId="53241787" w14:textId="24D18A6C" w:rsidR="00A01340" w:rsidRPr="001E2549" w:rsidRDefault="00A01340" w:rsidP="005034F9">
            <w:pPr>
              <w:widowControl w:val="0"/>
              <w:spacing w:before="120"/>
              <w:jc w:val="right"/>
              <w:rPr>
                <w:szCs w:val="24"/>
                <w:lang w:val="lt-LT"/>
              </w:rPr>
            </w:pPr>
          </w:p>
        </w:tc>
        <w:tc>
          <w:tcPr>
            <w:tcW w:w="509" w:type="pct"/>
          </w:tcPr>
          <w:p w14:paraId="65F69D37" w14:textId="02ECD7EC" w:rsidR="00A01340" w:rsidRPr="001E2549" w:rsidRDefault="00A01340" w:rsidP="005034F9">
            <w:pPr>
              <w:widowControl w:val="0"/>
              <w:spacing w:before="120"/>
              <w:jc w:val="right"/>
              <w:rPr>
                <w:szCs w:val="24"/>
                <w:lang w:val="lt-LT"/>
              </w:rPr>
            </w:pPr>
          </w:p>
        </w:tc>
      </w:tr>
      <w:tr w:rsidR="00A01340" w:rsidRPr="00191487" w14:paraId="0401D1D4" w14:textId="77777777" w:rsidTr="008B0362">
        <w:tc>
          <w:tcPr>
            <w:tcW w:w="295" w:type="pct"/>
          </w:tcPr>
          <w:p w14:paraId="1CB159BC" w14:textId="516A059E" w:rsidR="00A01340" w:rsidRPr="002A36CB" w:rsidRDefault="00A01340" w:rsidP="005034F9">
            <w:pPr>
              <w:widowControl w:val="0"/>
              <w:jc w:val="center"/>
              <w:rPr>
                <w:b/>
                <w:bCs/>
                <w:color w:val="000000" w:themeColor="text1"/>
                <w:szCs w:val="24"/>
                <w:lang w:val="lt-LT"/>
              </w:rPr>
            </w:pPr>
            <w:r>
              <w:rPr>
                <w:b/>
                <w:bCs/>
                <w:color w:val="000000" w:themeColor="text1"/>
                <w:szCs w:val="24"/>
                <w:lang w:val="lt-LT"/>
              </w:rPr>
              <w:t>2.</w:t>
            </w:r>
          </w:p>
        </w:tc>
        <w:tc>
          <w:tcPr>
            <w:tcW w:w="942" w:type="pct"/>
          </w:tcPr>
          <w:p w14:paraId="5ACC4794" w14:textId="591C76F4" w:rsidR="00A01340" w:rsidRDefault="00A01340" w:rsidP="005034F9">
            <w:pPr>
              <w:rPr>
                <w:b/>
                <w:bCs/>
                <w:szCs w:val="24"/>
                <w:lang w:val="lt-LT"/>
              </w:rPr>
            </w:pPr>
            <w:r>
              <w:rPr>
                <w:b/>
                <w:bCs/>
                <w:szCs w:val="24"/>
              </w:rPr>
              <w:t>Pagrindiniai darbai</w:t>
            </w:r>
          </w:p>
        </w:tc>
        <w:tc>
          <w:tcPr>
            <w:tcW w:w="551" w:type="pct"/>
          </w:tcPr>
          <w:p w14:paraId="69E2E123" w14:textId="77777777" w:rsidR="00A01340" w:rsidRPr="001E2549" w:rsidRDefault="00A01340" w:rsidP="005034F9">
            <w:pPr>
              <w:widowControl w:val="0"/>
              <w:spacing w:before="120"/>
              <w:jc w:val="right"/>
              <w:rPr>
                <w:szCs w:val="24"/>
                <w:lang w:val="lt-LT"/>
              </w:rPr>
            </w:pPr>
          </w:p>
        </w:tc>
        <w:tc>
          <w:tcPr>
            <w:tcW w:w="709" w:type="pct"/>
          </w:tcPr>
          <w:p w14:paraId="3FE3FCE4" w14:textId="77777777" w:rsidR="00A01340" w:rsidRPr="001E2549" w:rsidRDefault="00A01340" w:rsidP="005034F9">
            <w:pPr>
              <w:widowControl w:val="0"/>
              <w:spacing w:before="120"/>
              <w:jc w:val="right"/>
              <w:rPr>
                <w:szCs w:val="24"/>
                <w:lang w:val="lt-LT"/>
              </w:rPr>
            </w:pPr>
          </w:p>
        </w:tc>
        <w:tc>
          <w:tcPr>
            <w:tcW w:w="709" w:type="pct"/>
          </w:tcPr>
          <w:p w14:paraId="2869965D" w14:textId="77777777" w:rsidR="00A01340" w:rsidRPr="001E2549" w:rsidRDefault="00A01340" w:rsidP="005034F9">
            <w:pPr>
              <w:widowControl w:val="0"/>
              <w:spacing w:before="120"/>
              <w:jc w:val="right"/>
              <w:rPr>
                <w:szCs w:val="24"/>
                <w:lang w:val="lt-LT"/>
              </w:rPr>
            </w:pPr>
          </w:p>
        </w:tc>
        <w:tc>
          <w:tcPr>
            <w:tcW w:w="710" w:type="pct"/>
          </w:tcPr>
          <w:p w14:paraId="61746822" w14:textId="77777777" w:rsidR="00A01340" w:rsidRPr="001E2549" w:rsidRDefault="00A01340" w:rsidP="005034F9">
            <w:pPr>
              <w:widowControl w:val="0"/>
              <w:spacing w:before="120"/>
              <w:jc w:val="right"/>
              <w:rPr>
                <w:szCs w:val="24"/>
                <w:lang w:val="lt-LT"/>
              </w:rPr>
            </w:pPr>
          </w:p>
        </w:tc>
        <w:tc>
          <w:tcPr>
            <w:tcW w:w="575" w:type="pct"/>
          </w:tcPr>
          <w:p w14:paraId="596EEB73" w14:textId="54B29113" w:rsidR="00A01340" w:rsidRPr="001E2549" w:rsidRDefault="00A01340" w:rsidP="005034F9">
            <w:pPr>
              <w:widowControl w:val="0"/>
              <w:spacing w:before="120"/>
              <w:jc w:val="right"/>
              <w:rPr>
                <w:szCs w:val="24"/>
                <w:lang w:val="lt-LT"/>
              </w:rPr>
            </w:pPr>
          </w:p>
        </w:tc>
        <w:tc>
          <w:tcPr>
            <w:tcW w:w="509" w:type="pct"/>
          </w:tcPr>
          <w:p w14:paraId="75BA37F6" w14:textId="261A48FD" w:rsidR="00A01340" w:rsidRPr="001E2549" w:rsidRDefault="00A01340" w:rsidP="005034F9">
            <w:pPr>
              <w:widowControl w:val="0"/>
              <w:spacing w:before="120"/>
              <w:jc w:val="right"/>
              <w:rPr>
                <w:szCs w:val="24"/>
                <w:lang w:val="lt-LT"/>
              </w:rPr>
            </w:pPr>
          </w:p>
        </w:tc>
      </w:tr>
      <w:tr w:rsidR="00A01340" w:rsidRPr="00191487" w14:paraId="49D435AC" w14:textId="77777777" w:rsidTr="008B0362">
        <w:tc>
          <w:tcPr>
            <w:tcW w:w="295" w:type="pct"/>
          </w:tcPr>
          <w:p w14:paraId="1A8042DC" w14:textId="5F5E4448" w:rsidR="00A01340" w:rsidRDefault="00A01340" w:rsidP="005034F9">
            <w:pPr>
              <w:widowControl w:val="0"/>
              <w:jc w:val="center"/>
              <w:rPr>
                <w:b/>
                <w:bCs/>
                <w:color w:val="000000" w:themeColor="text1"/>
                <w:szCs w:val="24"/>
                <w:lang w:val="lt-LT"/>
              </w:rPr>
            </w:pPr>
            <w:r>
              <w:rPr>
                <w:b/>
                <w:bCs/>
                <w:color w:val="000000" w:themeColor="text1"/>
                <w:szCs w:val="24"/>
                <w:lang w:val="lt-LT"/>
              </w:rPr>
              <w:t>3.</w:t>
            </w:r>
          </w:p>
        </w:tc>
        <w:tc>
          <w:tcPr>
            <w:tcW w:w="942" w:type="pct"/>
          </w:tcPr>
          <w:p w14:paraId="4591B38F" w14:textId="057A91F8" w:rsidR="00A01340" w:rsidRDefault="00A01340" w:rsidP="005034F9">
            <w:pPr>
              <w:rPr>
                <w:b/>
                <w:bCs/>
                <w:szCs w:val="24"/>
              </w:rPr>
            </w:pPr>
            <w:r>
              <w:rPr>
                <w:b/>
                <w:bCs/>
                <w:szCs w:val="24"/>
              </w:rPr>
              <w:t>Baigiamieji darbai</w:t>
            </w:r>
          </w:p>
        </w:tc>
        <w:tc>
          <w:tcPr>
            <w:tcW w:w="551" w:type="pct"/>
          </w:tcPr>
          <w:p w14:paraId="01A2534A" w14:textId="77777777" w:rsidR="00A01340" w:rsidRPr="001E2549" w:rsidRDefault="00A01340" w:rsidP="005034F9">
            <w:pPr>
              <w:widowControl w:val="0"/>
              <w:spacing w:before="120"/>
              <w:jc w:val="right"/>
              <w:rPr>
                <w:szCs w:val="24"/>
                <w:lang w:val="lt-LT"/>
              </w:rPr>
            </w:pPr>
          </w:p>
        </w:tc>
        <w:tc>
          <w:tcPr>
            <w:tcW w:w="709" w:type="pct"/>
          </w:tcPr>
          <w:p w14:paraId="4B61E54B" w14:textId="77777777" w:rsidR="00A01340" w:rsidRPr="001E2549" w:rsidRDefault="00A01340" w:rsidP="005034F9">
            <w:pPr>
              <w:widowControl w:val="0"/>
              <w:spacing w:before="120"/>
              <w:jc w:val="right"/>
              <w:rPr>
                <w:szCs w:val="24"/>
                <w:lang w:val="lt-LT"/>
              </w:rPr>
            </w:pPr>
          </w:p>
        </w:tc>
        <w:tc>
          <w:tcPr>
            <w:tcW w:w="709" w:type="pct"/>
          </w:tcPr>
          <w:p w14:paraId="05A65CEC" w14:textId="77777777" w:rsidR="00A01340" w:rsidRPr="001E2549" w:rsidRDefault="00A01340" w:rsidP="005034F9">
            <w:pPr>
              <w:widowControl w:val="0"/>
              <w:spacing w:before="120"/>
              <w:jc w:val="right"/>
              <w:rPr>
                <w:szCs w:val="24"/>
                <w:lang w:val="lt-LT"/>
              </w:rPr>
            </w:pPr>
          </w:p>
        </w:tc>
        <w:tc>
          <w:tcPr>
            <w:tcW w:w="710" w:type="pct"/>
          </w:tcPr>
          <w:p w14:paraId="287352CF" w14:textId="77777777" w:rsidR="00A01340" w:rsidRPr="001E2549" w:rsidRDefault="00A01340" w:rsidP="005034F9">
            <w:pPr>
              <w:widowControl w:val="0"/>
              <w:spacing w:before="120"/>
              <w:jc w:val="right"/>
              <w:rPr>
                <w:szCs w:val="24"/>
                <w:lang w:val="lt-LT"/>
              </w:rPr>
            </w:pPr>
          </w:p>
        </w:tc>
        <w:tc>
          <w:tcPr>
            <w:tcW w:w="575" w:type="pct"/>
          </w:tcPr>
          <w:p w14:paraId="5A476D2D" w14:textId="49CBBF36" w:rsidR="00A01340" w:rsidRPr="001E2549" w:rsidRDefault="00A01340" w:rsidP="005034F9">
            <w:pPr>
              <w:widowControl w:val="0"/>
              <w:spacing w:before="120"/>
              <w:jc w:val="right"/>
              <w:rPr>
                <w:szCs w:val="24"/>
                <w:lang w:val="lt-LT"/>
              </w:rPr>
            </w:pPr>
          </w:p>
        </w:tc>
        <w:tc>
          <w:tcPr>
            <w:tcW w:w="509" w:type="pct"/>
          </w:tcPr>
          <w:p w14:paraId="01342DF8" w14:textId="77777777" w:rsidR="00A01340" w:rsidRPr="001E2549" w:rsidRDefault="00A01340" w:rsidP="005034F9">
            <w:pPr>
              <w:widowControl w:val="0"/>
              <w:spacing w:before="120"/>
              <w:jc w:val="right"/>
              <w:rPr>
                <w:szCs w:val="24"/>
                <w:lang w:val="lt-LT"/>
              </w:rPr>
            </w:pPr>
          </w:p>
        </w:tc>
      </w:tr>
      <w:tr w:rsidR="00AB61DE" w:rsidRPr="00AE72C7" w14:paraId="459DCA04" w14:textId="77777777" w:rsidTr="008B0362">
        <w:tc>
          <w:tcPr>
            <w:tcW w:w="295" w:type="pct"/>
          </w:tcPr>
          <w:p w14:paraId="72BB5252" w14:textId="48D389C8" w:rsidR="00AB61DE" w:rsidRDefault="00AB61DE" w:rsidP="005034F9">
            <w:pPr>
              <w:widowControl w:val="0"/>
              <w:jc w:val="center"/>
              <w:rPr>
                <w:b/>
                <w:bCs/>
                <w:color w:val="000000" w:themeColor="text1"/>
                <w:szCs w:val="24"/>
                <w:lang w:val="lt-LT"/>
              </w:rPr>
            </w:pPr>
            <w:r>
              <w:rPr>
                <w:b/>
                <w:bCs/>
                <w:color w:val="000000" w:themeColor="text1"/>
                <w:szCs w:val="24"/>
                <w:lang w:val="lt-LT"/>
              </w:rPr>
              <w:t>4.</w:t>
            </w:r>
          </w:p>
        </w:tc>
        <w:tc>
          <w:tcPr>
            <w:tcW w:w="942" w:type="pct"/>
          </w:tcPr>
          <w:p w14:paraId="1752162B" w14:textId="52B5856F" w:rsidR="00AB61DE" w:rsidRPr="00AB61DE" w:rsidRDefault="00AB61DE" w:rsidP="005034F9">
            <w:pPr>
              <w:rPr>
                <w:b/>
                <w:bCs/>
                <w:szCs w:val="24"/>
                <w:lang w:val="lt-LT"/>
              </w:rPr>
            </w:pPr>
            <w:r w:rsidRPr="00AB61DE">
              <w:rPr>
                <w:b/>
                <w:bCs/>
                <w:szCs w:val="24"/>
                <w:lang w:val="lt-LT"/>
              </w:rPr>
              <w:t xml:space="preserve">Parengti pastato </w:t>
            </w:r>
            <w:r w:rsidRPr="00AB61DE">
              <w:rPr>
                <w:b/>
                <w:bCs/>
                <w:color w:val="000000" w:themeColor="text1"/>
                <w:szCs w:val="24"/>
                <w:lang w:val="lt-LT"/>
              </w:rPr>
              <w:t>kadastrinių matavimų bylą</w:t>
            </w:r>
            <w:r>
              <w:rPr>
                <w:b/>
                <w:bCs/>
                <w:color w:val="000000" w:themeColor="text1"/>
                <w:szCs w:val="24"/>
                <w:lang w:val="lt-LT"/>
              </w:rPr>
              <w:t xml:space="preserve"> su</w:t>
            </w:r>
            <w:r w:rsidRPr="00AB61DE">
              <w:rPr>
                <w:b/>
                <w:bCs/>
                <w:color w:val="000000" w:themeColor="text1"/>
                <w:szCs w:val="24"/>
                <w:lang w:val="lt-LT"/>
              </w:rPr>
              <w:t xml:space="preserve"> </w:t>
            </w:r>
            <w:r>
              <w:rPr>
                <w:b/>
                <w:bCs/>
                <w:color w:val="000000" w:themeColor="text1"/>
                <w:szCs w:val="24"/>
                <w:lang w:val="lt-LT"/>
              </w:rPr>
              <w:t>atitinkančia patikra</w:t>
            </w:r>
            <w:r w:rsidRPr="00AB61DE">
              <w:rPr>
                <w:b/>
                <w:bCs/>
                <w:color w:val="000000" w:themeColor="text1"/>
                <w:szCs w:val="24"/>
                <w:lang w:val="lt-LT"/>
              </w:rPr>
              <w:t xml:space="preserve"> registracijai VĮ Registrų centre</w:t>
            </w:r>
          </w:p>
        </w:tc>
        <w:tc>
          <w:tcPr>
            <w:tcW w:w="551" w:type="pct"/>
          </w:tcPr>
          <w:p w14:paraId="43292532" w14:textId="77777777" w:rsidR="00AB61DE" w:rsidRPr="001E2549" w:rsidRDefault="00AB61DE" w:rsidP="005034F9">
            <w:pPr>
              <w:widowControl w:val="0"/>
              <w:spacing w:before="120"/>
              <w:jc w:val="right"/>
              <w:rPr>
                <w:szCs w:val="24"/>
                <w:lang w:val="lt-LT"/>
              </w:rPr>
            </w:pPr>
          </w:p>
        </w:tc>
        <w:tc>
          <w:tcPr>
            <w:tcW w:w="709" w:type="pct"/>
          </w:tcPr>
          <w:p w14:paraId="1C84C423" w14:textId="77777777" w:rsidR="00AB61DE" w:rsidRPr="001E2549" w:rsidRDefault="00AB61DE" w:rsidP="005034F9">
            <w:pPr>
              <w:widowControl w:val="0"/>
              <w:spacing w:before="120"/>
              <w:jc w:val="right"/>
              <w:rPr>
                <w:szCs w:val="24"/>
                <w:lang w:val="lt-LT"/>
              </w:rPr>
            </w:pPr>
          </w:p>
        </w:tc>
        <w:tc>
          <w:tcPr>
            <w:tcW w:w="709" w:type="pct"/>
          </w:tcPr>
          <w:p w14:paraId="2C652571" w14:textId="77777777" w:rsidR="00AB61DE" w:rsidRPr="001E2549" w:rsidRDefault="00AB61DE" w:rsidP="005034F9">
            <w:pPr>
              <w:widowControl w:val="0"/>
              <w:spacing w:before="120"/>
              <w:jc w:val="right"/>
              <w:rPr>
                <w:szCs w:val="24"/>
                <w:lang w:val="lt-LT"/>
              </w:rPr>
            </w:pPr>
          </w:p>
        </w:tc>
        <w:tc>
          <w:tcPr>
            <w:tcW w:w="710" w:type="pct"/>
          </w:tcPr>
          <w:p w14:paraId="3F5A38C4" w14:textId="77777777" w:rsidR="00AB61DE" w:rsidRPr="001E2549" w:rsidRDefault="00AB61DE" w:rsidP="005034F9">
            <w:pPr>
              <w:widowControl w:val="0"/>
              <w:spacing w:before="120"/>
              <w:jc w:val="right"/>
              <w:rPr>
                <w:szCs w:val="24"/>
                <w:lang w:val="lt-LT"/>
              </w:rPr>
            </w:pPr>
          </w:p>
        </w:tc>
        <w:tc>
          <w:tcPr>
            <w:tcW w:w="575" w:type="pct"/>
          </w:tcPr>
          <w:p w14:paraId="03409372" w14:textId="77777777" w:rsidR="00AB61DE" w:rsidRPr="001E2549" w:rsidRDefault="00AB61DE" w:rsidP="005034F9">
            <w:pPr>
              <w:widowControl w:val="0"/>
              <w:spacing w:before="120"/>
              <w:jc w:val="right"/>
              <w:rPr>
                <w:szCs w:val="24"/>
                <w:lang w:val="lt-LT"/>
              </w:rPr>
            </w:pPr>
          </w:p>
        </w:tc>
        <w:tc>
          <w:tcPr>
            <w:tcW w:w="509" w:type="pct"/>
          </w:tcPr>
          <w:p w14:paraId="5F652087" w14:textId="77777777" w:rsidR="00AB61DE" w:rsidRPr="001E2549" w:rsidRDefault="00AB61DE" w:rsidP="005034F9">
            <w:pPr>
              <w:widowControl w:val="0"/>
              <w:spacing w:before="120"/>
              <w:jc w:val="right"/>
              <w:rPr>
                <w:szCs w:val="24"/>
                <w:lang w:val="lt-LT"/>
              </w:rPr>
            </w:pPr>
          </w:p>
        </w:tc>
      </w:tr>
      <w:tr w:rsidR="00A01340" w:rsidRPr="00AE72C7" w14:paraId="7C1FF86D" w14:textId="7E44F956" w:rsidTr="008B0362">
        <w:trPr>
          <w:trHeight w:val="277"/>
        </w:trPr>
        <w:tc>
          <w:tcPr>
            <w:tcW w:w="4491" w:type="pct"/>
            <w:gridSpan w:val="7"/>
            <w:vMerge w:val="restart"/>
            <w:tcBorders>
              <w:right w:val="single" w:sz="4" w:space="0" w:color="auto"/>
            </w:tcBorders>
          </w:tcPr>
          <w:p w14:paraId="12C716EC" w14:textId="77777777" w:rsidR="00A01340" w:rsidRPr="00BF6665" w:rsidRDefault="00A01340" w:rsidP="005034F9">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7AC707F0" w14:textId="77777777" w:rsidR="00A01340" w:rsidRPr="001E2549" w:rsidRDefault="00A01340" w:rsidP="005034F9">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6947A208" w14:textId="408888D5" w:rsidR="00A01340" w:rsidRPr="001E2549" w:rsidRDefault="00A01340" w:rsidP="005034F9">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509" w:type="pct"/>
            <w:tcBorders>
              <w:left w:val="single" w:sz="4" w:space="0" w:color="auto"/>
            </w:tcBorders>
          </w:tcPr>
          <w:p w14:paraId="371E55E6" w14:textId="77777777" w:rsidR="00A01340" w:rsidRPr="001E2549" w:rsidRDefault="00A01340" w:rsidP="005034F9">
            <w:pPr>
              <w:widowControl w:val="0"/>
              <w:ind w:left="-1383" w:firstLine="1383"/>
              <w:jc w:val="right"/>
              <w:rPr>
                <w:szCs w:val="24"/>
                <w:lang w:val="lt-LT"/>
              </w:rPr>
            </w:pPr>
          </w:p>
        </w:tc>
      </w:tr>
      <w:tr w:rsidR="00A01340" w:rsidRPr="00AE72C7" w14:paraId="5CDEA500" w14:textId="3ABB4566" w:rsidTr="008B0362">
        <w:trPr>
          <w:trHeight w:val="147"/>
        </w:trPr>
        <w:tc>
          <w:tcPr>
            <w:tcW w:w="4491" w:type="pct"/>
            <w:gridSpan w:val="7"/>
            <w:vMerge/>
            <w:tcBorders>
              <w:right w:val="single" w:sz="4" w:space="0" w:color="auto"/>
            </w:tcBorders>
          </w:tcPr>
          <w:p w14:paraId="64A65A2F" w14:textId="0A496581" w:rsidR="00A01340" w:rsidRPr="001E2549" w:rsidRDefault="00A01340" w:rsidP="005034F9">
            <w:pPr>
              <w:widowControl w:val="0"/>
              <w:jc w:val="right"/>
              <w:rPr>
                <w:szCs w:val="24"/>
                <w:lang w:val="lt-LT"/>
              </w:rPr>
            </w:pPr>
          </w:p>
        </w:tc>
        <w:tc>
          <w:tcPr>
            <w:tcW w:w="509" w:type="pct"/>
            <w:tcBorders>
              <w:left w:val="single" w:sz="4" w:space="0" w:color="auto"/>
            </w:tcBorders>
          </w:tcPr>
          <w:p w14:paraId="3D6225CF" w14:textId="77777777" w:rsidR="00A01340" w:rsidRPr="001E2549" w:rsidRDefault="00A01340" w:rsidP="005034F9">
            <w:pPr>
              <w:widowControl w:val="0"/>
              <w:jc w:val="right"/>
              <w:rPr>
                <w:szCs w:val="24"/>
                <w:lang w:val="lt-LT"/>
              </w:rPr>
            </w:pPr>
          </w:p>
        </w:tc>
      </w:tr>
      <w:tr w:rsidR="00A01340" w:rsidRPr="00AE72C7" w14:paraId="5355E44A" w14:textId="379FF42B" w:rsidTr="008B0362">
        <w:trPr>
          <w:trHeight w:val="147"/>
        </w:trPr>
        <w:tc>
          <w:tcPr>
            <w:tcW w:w="4491" w:type="pct"/>
            <w:gridSpan w:val="7"/>
            <w:vMerge/>
            <w:tcBorders>
              <w:right w:val="single" w:sz="4" w:space="0" w:color="auto"/>
            </w:tcBorders>
          </w:tcPr>
          <w:p w14:paraId="3C4F900C" w14:textId="5429BB45" w:rsidR="00A01340" w:rsidRPr="001E2549" w:rsidRDefault="00A01340" w:rsidP="005034F9">
            <w:pPr>
              <w:widowControl w:val="0"/>
              <w:jc w:val="right"/>
              <w:rPr>
                <w:szCs w:val="24"/>
                <w:lang w:val="lt-LT"/>
              </w:rPr>
            </w:pPr>
          </w:p>
        </w:tc>
        <w:tc>
          <w:tcPr>
            <w:tcW w:w="509" w:type="pct"/>
            <w:tcBorders>
              <w:left w:val="single" w:sz="4" w:space="0" w:color="auto"/>
            </w:tcBorders>
          </w:tcPr>
          <w:p w14:paraId="0E66E01A" w14:textId="77777777" w:rsidR="00A01340" w:rsidRPr="001E2549" w:rsidRDefault="00A01340" w:rsidP="005034F9">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Default="006F3B19" w:rsidP="00F134AC">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6A0CC1"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Default="00343CF7" w:rsidP="00F134AC">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A00D674" w14:textId="77777777" w:rsidR="00F134AC" w:rsidRPr="006D345F" w:rsidRDefault="00F134AC" w:rsidP="00F134AC">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______m.__________mėn.</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AE72C7"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AE72C7"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AE72C7"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AE72C7"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AE72C7"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AE72C7"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AE72C7"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AE72C7"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AE72C7"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AE72C7"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AE72C7"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AE72C7"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AE72C7"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AE72C7"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5356E13C"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CA51374"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AE72C7"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7CEC8F3"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AE72C7"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AE72C7"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AE72C7"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(-ųjų) sąskaitos (-ų) numeris (-iai)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(-ųjų) sąskaitos (-ų) numeris (-iai)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lastRenderedPageBreak/>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w:t>
      </w:r>
      <w:r w:rsidRPr="006D345F">
        <w:rPr>
          <w:sz w:val="24"/>
          <w:szCs w:val="24"/>
        </w:rPr>
        <w:lastRenderedPageBreak/>
        <w:t>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 xml:space="preserve">25. Trišalės sutarties Šalys susirašinėja lietuvių kalba. Visi pranešimai, sutikimai ir kitas </w:t>
      </w:r>
      <w:r w:rsidRPr="006D345F">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6D345F"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6D345F">
        <w:rPr>
          <w:rFonts w:ascii="Times New Roman" w:hAnsi="Times New Roman" w:cs="Times New Roman"/>
          <w:b/>
          <w:sz w:val="24"/>
          <w:szCs w:val="24"/>
          <w:lang w:val="lt-LT"/>
        </w:rPr>
        <w:lastRenderedPageBreak/>
        <w:t>ATLIKTŲ DARBŲ AKTAS NR.</w:t>
      </w:r>
      <w:bookmarkEnd w:id="8"/>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AE72C7"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AE72C7"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AE72C7"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AE72C7"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7777777" w:rsidR="00ED720F" w:rsidRPr="006D345F" w:rsidRDefault="00ED720F">
      <w:pPr>
        <w:rPr>
          <w:lang w:val="lt-LT"/>
        </w:rPr>
      </w:pPr>
    </w:p>
    <w:sectPr w:rsidR="00ED720F" w:rsidRPr="006D345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EC69D" w14:textId="77777777" w:rsidR="002F2CDB" w:rsidRDefault="002F2CDB">
      <w:r>
        <w:separator/>
      </w:r>
    </w:p>
  </w:endnote>
  <w:endnote w:type="continuationSeparator" w:id="0">
    <w:p w14:paraId="083A0AD7" w14:textId="77777777" w:rsidR="002F2CDB" w:rsidRDefault="002F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B214" w14:textId="77777777" w:rsidR="002F2CDB" w:rsidRDefault="002F2CDB">
      <w:r>
        <w:separator/>
      </w:r>
    </w:p>
  </w:footnote>
  <w:footnote w:type="continuationSeparator" w:id="0">
    <w:p w14:paraId="58A06E1A" w14:textId="77777777" w:rsidR="002F2CDB" w:rsidRDefault="002F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9A53B6"/>
    <w:multiLevelType w:val="hybridMultilevel"/>
    <w:tmpl w:val="D1F6799A"/>
    <w:lvl w:ilvl="0" w:tplc="C75A810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1"/>
  </w:num>
  <w:num w:numId="7" w16cid:durableId="1246183908">
    <w:abstractNumId w:val="6"/>
  </w:num>
  <w:num w:numId="8" w16cid:durableId="2051952089">
    <w:abstractNumId w:val="16"/>
  </w:num>
  <w:num w:numId="9" w16cid:durableId="1311055557">
    <w:abstractNumId w:val="12"/>
  </w:num>
  <w:num w:numId="10" w16cid:durableId="512887402">
    <w:abstractNumId w:val="2"/>
  </w:num>
  <w:num w:numId="11" w16cid:durableId="687367353">
    <w:abstractNumId w:val="15"/>
  </w:num>
  <w:num w:numId="12" w16cid:durableId="1723867488">
    <w:abstractNumId w:val="10"/>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2118139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509D"/>
    <w:rsid w:val="000479C0"/>
    <w:rsid w:val="00047DDC"/>
    <w:rsid w:val="00070AE6"/>
    <w:rsid w:val="00080CC8"/>
    <w:rsid w:val="00081295"/>
    <w:rsid w:val="000B14CB"/>
    <w:rsid w:val="000F3947"/>
    <w:rsid w:val="00130384"/>
    <w:rsid w:val="001303A2"/>
    <w:rsid w:val="00134065"/>
    <w:rsid w:val="00140D53"/>
    <w:rsid w:val="0014567F"/>
    <w:rsid w:val="001472BB"/>
    <w:rsid w:val="00191487"/>
    <w:rsid w:val="001915A5"/>
    <w:rsid w:val="001C093A"/>
    <w:rsid w:val="001E2549"/>
    <w:rsid w:val="001F3746"/>
    <w:rsid w:val="00270928"/>
    <w:rsid w:val="002A36CB"/>
    <w:rsid w:val="002B3B7F"/>
    <w:rsid w:val="002B4BD9"/>
    <w:rsid w:val="002D2027"/>
    <w:rsid w:val="002D3302"/>
    <w:rsid w:val="002E62A4"/>
    <w:rsid w:val="002F2CDB"/>
    <w:rsid w:val="00300202"/>
    <w:rsid w:val="00301FE2"/>
    <w:rsid w:val="00323115"/>
    <w:rsid w:val="00323994"/>
    <w:rsid w:val="00325F42"/>
    <w:rsid w:val="0032683D"/>
    <w:rsid w:val="00343CF7"/>
    <w:rsid w:val="003555BC"/>
    <w:rsid w:val="00363B54"/>
    <w:rsid w:val="00385A00"/>
    <w:rsid w:val="003A3244"/>
    <w:rsid w:val="003A7D07"/>
    <w:rsid w:val="003F523F"/>
    <w:rsid w:val="004226BF"/>
    <w:rsid w:val="00465C5D"/>
    <w:rsid w:val="00475602"/>
    <w:rsid w:val="00484FF1"/>
    <w:rsid w:val="005034F9"/>
    <w:rsid w:val="00523406"/>
    <w:rsid w:val="00551A07"/>
    <w:rsid w:val="00555863"/>
    <w:rsid w:val="005644ED"/>
    <w:rsid w:val="00572413"/>
    <w:rsid w:val="005740B0"/>
    <w:rsid w:val="005758A5"/>
    <w:rsid w:val="005A68A3"/>
    <w:rsid w:val="005B0423"/>
    <w:rsid w:val="00614A59"/>
    <w:rsid w:val="00644A89"/>
    <w:rsid w:val="00651F2C"/>
    <w:rsid w:val="00655C4F"/>
    <w:rsid w:val="0066590F"/>
    <w:rsid w:val="006C50E5"/>
    <w:rsid w:val="006D345F"/>
    <w:rsid w:val="006E0339"/>
    <w:rsid w:val="006E4266"/>
    <w:rsid w:val="006E5B1B"/>
    <w:rsid w:val="006F3B19"/>
    <w:rsid w:val="0072338D"/>
    <w:rsid w:val="007308C1"/>
    <w:rsid w:val="007313A7"/>
    <w:rsid w:val="007636EA"/>
    <w:rsid w:val="00776298"/>
    <w:rsid w:val="0079227C"/>
    <w:rsid w:val="007B2844"/>
    <w:rsid w:val="007E2FF9"/>
    <w:rsid w:val="007F77A9"/>
    <w:rsid w:val="008044D8"/>
    <w:rsid w:val="008070D6"/>
    <w:rsid w:val="00810EC5"/>
    <w:rsid w:val="00833BAD"/>
    <w:rsid w:val="00847486"/>
    <w:rsid w:val="00850509"/>
    <w:rsid w:val="008653E6"/>
    <w:rsid w:val="00884C6E"/>
    <w:rsid w:val="00896C13"/>
    <w:rsid w:val="008A446F"/>
    <w:rsid w:val="008B0362"/>
    <w:rsid w:val="008F4351"/>
    <w:rsid w:val="008F7089"/>
    <w:rsid w:val="00901E10"/>
    <w:rsid w:val="0090303F"/>
    <w:rsid w:val="00906E42"/>
    <w:rsid w:val="00906E9A"/>
    <w:rsid w:val="009566C0"/>
    <w:rsid w:val="009647C9"/>
    <w:rsid w:val="0098107C"/>
    <w:rsid w:val="009A35F7"/>
    <w:rsid w:val="009C337D"/>
    <w:rsid w:val="009E630A"/>
    <w:rsid w:val="00A01340"/>
    <w:rsid w:val="00A34F4B"/>
    <w:rsid w:val="00A561D9"/>
    <w:rsid w:val="00A71F1D"/>
    <w:rsid w:val="00A72C7A"/>
    <w:rsid w:val="00AB61DE"/>
    <w:rsid w:val="00AC3D2A"/>
    <w:rsid w:val="00AC629E"/>
    <w:rsid w:val="00AE72C7"/>
    <w:rsid w:val="00AF058E"/>
    <w:rsid w:val="00AF3F07"/>
    <w:rsid w:val="00B06AED"/>
    <w:rsid w:val="00B304D8"/>
    <w:rsid w:val="00B53DBE"/>
    <w:rsid w:val="00B80F35"/>
    <w:rsid w:val="00B905D6"/>
    <w:rsid w:val="00B910CE"/>
    <w:rsid w:val="00B97E4D"/>
    <w:rsid w:val="00BA4B52"/>
    <w:rsid w:val="00BB0ECC"/>
    <w:rsid w:val="00BB15B1"/>
    <w:rsid w:val="00BF6665"/>
    <w:rsid w:val="00C051B3"/>
    <w:rsid w:val="00C117BF"/>
    <w:rsid w:val="00C33490"/>
    <w:rsid w:val="00C55091"/>
    <w:rsid w:val="00C71674"/>
    <w:rsid w:val="00CB096E"/>
    <w:rsid w:val="00CC25F5"/>
    <w:rsid w:val="00CD3849"/>
    <w:rsid w:val="00CF09DA"/>
    <w:rsid w:val="00D215B1"/>
    <w:rsid w:val="00D561B6"/>
    <w:rsid w:val="00D70020"/>
    <w:rsid w:val="00D741C1"/>
    <w:rsid w:val="00D94794"/>
    <w:rsid w:val="00DA1903"/>
    <w:rsid w:val="00DA481E"/>
    <w:rsid w:val="00DB293F"/>
    <w:rsid w:val="00DB4584"/>
    <w:rsid w:val="00DD2DD7"/>
    <w:rsid w:val="00DD71FA"/>
    <w:rsid w:val="00DD7B8A"/>
    <w:rsid w:val="00DE0C0D"/>
    <w:rsid w:val="00DF31E5"/>
    <w:rsid w:val="00DF528E"/>
    <w:rsid w:val="00E5493F"/>
    <w:rsid w:val="00E87D99"/>
    <w:rsid w:val="00E968FF"/>
    <w:rsid w:val="00E972C7"/>
    <w:rsid w:val="00EA0F2C"/>
    <w:rsid w:val="00ED720F"/>
    <w:rsid w:val="00EE15BE"/>
    <w:rsid w:val="00EF0C51"/>
    <w:rsid w:val="00EF5BA3"/>
    <w:rsid w:val="00F134AC"/>
    <w:rsid w:val="00F22678"/>
    <w:rsid w:val="00F2279D"/>
    <w:rsid w:val="00F42519"/>
    <w:rsid w:val="00F5141A"/>
    <w:rsid w:val="00F55D22"/>
    <w:rsid w:val="00F57938"/>
    <w:rsid w:val="00F60895"/>
    <w:rsid w:val="00F766FA"/>
    <w:rsid w:val="00F905FC"/>
    <w:rsid w:val="00FA796C"/>
    <w:rsid w:val="00FB0745"/>
    <w:rsid w:val="00FC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56644</Words>
  <Characters>32288</Characters>
  <Application>Microsoft Office Word</Application>
  <DocSecurity>0</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Donata Jankovičienė</cp:lastModifiedBy>
  <cp:revision>9</cp:revision>
  <dcterms:created xsi:type="dcterms:W3CDTF">2025-06-04T13:33:00Z</dcterms:created>
  <dcterms:modified xsi:type="dcterms:W3CDTF">2025-06-10T11:35:00Z</dcterms:modified>
</cp:coreProperties>
</file>