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321D3E39" w:rsidR="00E722A0" w:rsidRPr="00C405DE" w:rsidRDefault="00E01767" w:rsidP="006810BD">
      <w:pPr>
        <w:tabs>
          <w:tab w:val="right" w:leader="underscore" w:pos="8640"/>
        </w:tabs>
        <w:ind w:left="5103"/>
        <w:rPr>
          <w:color w:val="000000" w:themeColor="text1"/>
        </w:rPr>
      </w:pPr>
      <w:r w:rsidRPr="008F2DF6">
        <w:rPr>
          <w:color w:val="000000" w:themeColor="text1"/>
        </w:rPr>
        <w:t>2025-0</w:t>
      </w:r>
      <w:r w:rsidR="00DE0F1E">
        <w:rPr>
          <w:color w:val="000000" w:themeColor="text1"/>
          <w:lang w:val="fi-FI"/>
        </w:rPr>
        <w:t>7-09</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6B6E73C5"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VVP-</w:t>
      </w:r>
      <w:r w:rsidR="00DE0F1E">
        <w:t>112</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3121A925" w:rsidR="00C976A6" w:rsidRPr="00E01767" w:rsidRDefault="00E01767" w:rsidP="00E01767">
      <w:pPr>
        <w:suppressAutoHyphens w:val="0"/>
        <w:autoSpaceDN/>
        <w:jc w:val="center"/>
        <w:textAlignment w:val="auto"/>
        <w:rPr>
          <w:b/>
          <w:bCs/>
          <w:lang w:eastAsia="ar-SA"/>
        </w:rPr>
      </w:pPr>
      <w:r>
        <w:rPr>
          <w:b/>
          <w:bCs/>
          <w:lang w:eastAsia="ar-SA"/>
        </w:rPr>
        <w:t>„</w:t>
      </w:r>
      <w:r w:rsidRPr="00E01767">
        <w:rPr>
          <w:b/>
          <w:bCs/>
          <w:lang w:eastAsia="ar-SA"/>
        </w:rPr>
        <w:t>VANDENTIEKIO TINKLO REKONSTRUKCIJA KAUNO R. SAV., BABTŲ SEN., JUGINTŲ K., LABŪNAVOS G.</w:t>
      </w:r>
      <w:r>
        <w:rPr>
          <w:b/>
          <w:bCs/>
          <w:lang w:eastAsia="ar-SA"/>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47261DCA" w:rsidR="00B50C82" w:rsidRDefault="00B03509" w:rsidP="000604B9">
            <w:pPr>
              <w:pStyle w:val="ListParagraph"/>
              <w:numPr>
                <w:ilvl w:val="0"/>
                <w:numId w:val="25"/>
              </w:numPr>
              <w:autoSpaceDN/>
              <w:ind w:left="384" w:hanging="425"/>
              <w:textAlignment w:val="auto"/>
              <w:rPr>
                <w:lang w:eastAsia="lt-LT"/>
              </w:rPr>
            </w:pPr>
            <w:r>
              <w:rPr>
                <w:lang w:eastAsia="lt-LT"/>
              </w:rPr>
              <w:t>PRELIMINARIOSIOS</w:t>
            </w:r>
            <w:r w:rsidR="00CC6E83">
              <w:rPr>
                <w:lang w:eastAsia="lt-LT"/>
              </w:rPr>
              <w:t xml:space="preserve"> </w:t>
            </w:r>
            <w:r w:rsidR="00CB6B93"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31F8EC6F" w:rsidR="002E1A5A"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8E582C">
        <w:rPr>
          <w:color w:val="000000" w:themeColor="text1"/>
        </w:rPr>
        <w:t>Projektavimo</w:t>
      </w:r>
      <w:r w:rsidR="000A423B">
        <w:rPr>
          <w:color w:val="000000" w:themeColor="text1"/>
        </w:rPr>
        <w:t>/statybos</w:t>
      </w:r>
      <w:r w:rsidR="008E582C" w:rsidRPr="008E582C">
        <w:rPr>
          <w:color w:val="000000" w:themeColor="text1"/>
        </w:rPr>
        <w:t xml:space="preserve"> </w:t>
      </w:r>
      <w:r w:rsidRPr="008E582C">
        <w:rPr>
          <w:color w:val="000000" w:themeColor="text1"/>
        </w:rPr>
        <w:t xml:space="preserve">užduotis,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 2.2, 2.3</w:t>
      </w:r>
      <w:r w:rsidR="00AA333C" w:rsidRPr="008E582C">
        <w:rPr>
          <w:color w:val="000000" w:themeColor="text1"/>
        </w:rPr>
        <w:t xml:space="preserve"> </w:t>
      </w:r>
      <w:r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1F80E296" w:rsidR="002E1A5A" w:rsidRPr="008E582C" w:rsidRDefault="00AD2260"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Preliminariosios</w:t>
      </w:r>
      <w:r w:rsidR="002E1A5A" w:rsidRPr="008E582C">
        <w:rPr>
          <w:color w:val="000000" w:themeColor="text1"/>
        </w:rPr>
        <w:t xml:space="preserve"> sutar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D66691" w:rsidRPr="008E582C">
        <w:rPr>
          <w:color w:val="000000" w:themeColor="text1"/>
        </w:rPr>
        <w:t xml:space="preserve"> 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2B00732D" w14:textId="082A83B4" w:rsidR="00217CFF" w:rsidRPr="00E01767" w:rsidRDefault="007B2DC2" w:rsidP="00217CFF">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 xml:space="preserve">numato, kad su pirkimo laimėtoju sudarys preliminariąją sutartį dėl </w:t>
      </w:r>
      <w:bookmarkStart w:id="0" w:name="_Hlk158280873"/>
      <w:r w:rsidR="00E01767">
        <w:rPr>
          <w:b/>
          <w:bCs/>
          <w:lang w:eastAsia="lt-LT"/>
        </w:rPr>
        <w:t>v</w:t>
      </w:r>
      <w:r w:rsidR="00E01767" w:rsidRPr="00E01767">
        <w:rPr>
          <w:b/>
          <w:bCs/>
          <w:lang w:eastAsia="lt-LT"/>
        </w:rPr>
        <w:t>andentiekio tinklo rekonstrukcij</w:t>
      </w:r>
      <w:r w:rsidR="00E01767">
        <w:rPr>
          <w:b/>
          <w:bCs/>
          <w:lang w:eastAsia="lt-LT"/>
        </w:rPr>
        <w:t>os</w:t>
      </w:r>
      <w:r w:rsidR="00E01767" w:rsidRPr="00E01767">
        <w:rPr>
          <w:b/>
          <w:bCs/>
          <w:lang w:eastAsia="lt-LT"/>
        </w:rPr>
        <w:t xml:space="preserve"> </w:t>
      </w:r>
      <w:r w:rsidR="00E01767">
        <w:rPr>
          <w:b/>
          <w:bCs/>
          <w:lang w:eastAsia="lt-LT"/>
        </w:rPr>
        <w:t>K</w:t>
      </w:r>
      <w:r w:rsidR="00E01767" w:rsidRPr="00E01767">
        <w:rPr>
          <w:b/>
          <w:bCs/>
          <w:lang w:eastAsia="lt-LT"/>
        </w:rPr>
        <w:t xml:space="preserve">auno r. sav., </w:t>
      </w:r>
      <w:r w:rsidR="00E01767">
        <w:rPr>
          <w:b/>
          <w:bCs/>
          <w:lang w:eastAsia="lt-LT"/>
        </w:rPr>
        <w:t>B</w:t>
      </w:r>
      <w:r w:rsidR="00E01767" w:rsidRPr="00E01767">
        <w:rPr>
          <w:b/>
          <w:bCs/>
          <w:lang w:eastAsia="lt-LT"/>
        </w:rPr>
        <w:t xml:space="preserve">abtų sen., </w:t>
      </w:r>
      <w:r w:rsidR="00E01767">
        <w:rPr>
          <w:b/>
          <w:bCs/>
          <w:lang w:eastAsia="lt-LT"/>
        </w:rPr>
        <w:t>J</w:t>
      </w:r>
      <w:r w:rsidR="00E01767" w:rsidRPr="00E01767">
        <w:rPr>
          <w:b/>
          <w:bCs/>
          <w:lang w:eastAsia="lt-LT"/>
        </w:rPr>
        <w:t xml:space="preserve">ugintų k., </w:t>
      </w:r>
      <w:r w:rsidR="00E01767">
        <w:rPr>
          <w:b/>
          <w:bCs/>
          <w:lang w:eastAsia="lt-LT"/>
        </w:rPr>
        <w:t>L</w:t>
      </w:r>
      <w:r w:rsidR="00E01767" w:rsidRPr="00E01767">
        <w:rPr>
          <w:b/>
          <w:bCs/>
          <w:lang w:eastAsia="lt-LT"/>
        </w:rPr>
        <w:t>abūnavos g.</w:t>
      </w:r>
      <w:r w:rsidR="00E01767">
        <w:rPr>
          <w:b/>
          <w:bCs/>
          <w:lang w:eastAsia="lt-LT"/>
        </w:rPr>
        <w:t xml:space="preserve"> </w:t>
      </w:r>
      <w:r w:rsidR="00217CFF" w:rsidRPr="00917847">
        <w:rPr>
          <w:rFonts w:eastAsia="Arial Unicode MS"/>
          <w:b/>
          <w:bCs/>
          <w:bdr w:val="none" w:sz="0" w:space="0" w:color="auto" w:frame="1"/>
        </w:rPr>
        <w:t>darbų</w:t>
      </w:r>
      <w:bookmarkEnd w:id="0"/>
      <w:r w:rsidR="00217CFF" w:rsidRPr="00217CFF">
        <w:rPr>
          <w:color w:val="000000"/>
          <w:lang w:eastAsia="lt-LT"/>
        </w:rPr>
        <w:t>.</w:t>
      </w:r>
      <w:r w:rsidR="00217CFF" w:rsidRPr="00217CFF">
        <w:rPr>
          <w:b/>
          <w:bCs/>
          <w:color w:val="000000"/>
          <w:lang w:eastAsia="lt-LT"/>
        </w:rPr>
        <w:t xml:space="preserve"> </w:t>
      </w:r>
      <w:r w:rsidR="00E01767" w:rsidRPr="00E01767">
        <w:rPr>
          <w:color w:val="000000"/>
          <w:lang w:eastAsia="lt-LT"/>
        </w:rPr>
        <w:t xml:space="preserve">BVPŽ kodas – 45231300-8, Vandentiekio ir kanalizacijos tiesimo darbai, papildomas BVPŽ kodas - 71320000-7 Inžinerinio projektavimo paslaugos. </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2B622CA" w14:textId="12AC1607" w:rsidR="005A5D38" w:rsidRPr="00D74D4F" w:rsidRDefault="002E3904" w:rsidP="005A5D3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 xml:space="preserve">ustatytas reikalavimas tiekėjams taikyti pirkimo sąlygose nustatytus aplinkos apsaugos vadybos sistemos reikalavimus (EMAS arba LST EN ISO </w:t>
      </w:r>
      <w:r w:rsidR="00085599" w:rsidRPr="00917847">
        <w:rPr>
          <w:color w:val="000000" w:themeColor="text1"/>
          <w:lang w:eastAsia="lt-LT"/>
        </w:rPr>
        <w:t>14001 sertifikatas, arba</w:t>
      </w:r>
      <w:r w:rsidR="00E008E8">
        <w:rPr>
          <w:color w:val="000000" w:themeColor="text1"/>
          <w:lang w:eastAsia="lt-LT"/>
        </w:rPr>
        <w:t xml:space="preserve"> </w:t>
      </w:r>
      <w:r w:rsidR="00085599" w:rsidRPr="00917847">
        <w:rPr>
          <w:color w:val="000000" w:themeColor="text1"/>
          <w:lang w:eastAsia="lt-LT"/>
        </w:rPr>
        <w:t>kitas lygiavertis sertifikatas)</w:t>
      </w:r>
      <w:r w:rsidR="00085599" w:rsidRPr="00D74D4F">
        <w:rPr>
          <w:color w:val="000000" w:themeColor="text1"/>
          <w:lang w:eastAsia="lt-LT"/>
        </w:rPr>
        <w:t>.</w:t>
      </w:r>
    </w:p>
    <w:p w14:paraId="3E597F1D" w14:textId="7519695E" w:rsidR="005A5D38" w:rsidRPr="00D74D4F" w:rsidRDefault="005A5D38" w:rsidP="005A5D3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highlight w:val="yellow"/>
          <w:lang w:eastAsia="lt-LT"/>
        </w:rPr>
      </w:pPr>
      <w:r w:rsidRPr="00D74D4F">
        <w:rPr>
          <w:color w:val="000000" w:themeColor="text1"/>
          <w:lang w:eastAsia="lt-LT"/>
        </w:rPr>
        <w:t>Šis pirkimas nėra skaidomas į pirkimo dalis, nes perkami vienos rūšies darbai, kurie tarpusavyje yra glaudžiai susiję, o galutinis rezultatas yra vieningas ir nedalus. Dėl pirkimo objekto skaidymo į dalis, atsirastų neracionalaus lėšų panaudojimo rizika</w:t>
      </w:r>
      <w:r w:rsidR="00E01767" w:rsidRPr="00D74D4F">
        <w:rPr>
          <w:color w:val="000000" w:themeColor="text1"/>
          <w:lang w:eastAsia="lt-LT"/>
        </w:rPr>
        <w:t xml:space="preserve">. </w:t>
      </w:r>
      <w:r w:rsidRPr="00D74D4F">
        <w:rPr>
          <w:color w:val="000000" w:themeColor="text1"/>
          <w:lang w:eastAsia="lt-LT"/>
        </w:rPr>
        <w:t xml:space="preserve">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  Pirkimo sutarties vykdymas techniniu požiūriu, taip pat taptų sudėtingas, nes Pirkimo objekto dalių įgyvendinimas yra techniškai glaudžiai susijęs ir dėl to </w:t>
      </w:r>
      <w:r w:rsidR="00192821" w:rsidRPr="00D74D4F">
        <w:rPr>
          <w:color w:val="000000" w:themeColor="text1"/>
          <w:lang w:eastAsia="lt-LT"/>
        </w:rPr>
        <w:t>perkančiajam subjektui</w:t>
      </w:r>
      <w:r w:rsidRPr="00D74D4F">
        <w:rPr>
          <w:color w:val="000000" w:themeColor="text1"/>
          <w:lang w:eastAsia="lt-LT"/>
        </w:rPr>
        <w:t xml:space="preserve"> atsirastų būtinybė koordinuoti šių dalių tiekėjus ir tai keltų riziką netinkamai įvykdyti pirkimo sutartį. Vienas konkurso laimėtojas galės lygiagrečiai, siekiant optimalaus terminų įgyvendinimo, vykdyti statybos darbus ir </w:t>
      </w:r>
      <w:r w:rsidR="00E01767" w:rsidRPr="00D74D4F">
        <w:rPr>
          <w:color w:val="000000" w:themeColor="text1"/>
          <w:lang w:eastAsia="lt-LT"/>
        </w:rPr>
        <w:t>su darbais susijusias</w:t>
      </w:r>
      <w:r w:rsidRPr="00D74D4F">
        <w:rPr>
          <w:color w:val="000000" w:themeColor="text1"/>
          <w:lang w:eastAsia="lt-LT"/>
        </w:rPr>
        <w:t xml:space="preserve"> paslaugas.</w:t>
      </w:r>
    </w:p>
    <w:p w14:paraId="75E775A4" w14:textId="77777777" w:rsidR="00C00044" w:rsidRPr="00C00044"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C00044" w:rsidRPr="00C00044">
          <w:rPr>
            <w:rStyle w:val="Hyperlink"/>
          </w:rPr>
          <w:t>https://viesiejipirkimai.lt</w:t>
        </w:r>
      </w:hyperlink>
      <w:r w:rsidR="00C00044" w:rsidRPr="00C00044">
        <w:t>.</w:t>
      </w:r>
    </w:p>
    <w:p w14:paraId="4D0D561E" w14:textId="4B99147B" w:rsidR="00F065D5" w:rsidRPr="006B6532"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53990975" w:rsidR="000B5F19" w:rsidRPr="006B6532" w:rsidRDefault="00192821" w:rsidP="00377AE6">
      <w:pPr>
        <w:widowControl w:val="0"/>
        <w:numPr>
          <w:ilvl w:val="1"/>
          <w:numId w:val="14"/>
        </w:numPr>
        <w:tabs>
          <w:tab w:val="left" w:pos="851"/>
        </w:tabs>
        <w:autoSpaceDE w:val="0"/>
        <w:autoSpaceDN/>
        <w:adjustRightInd w:val="0"/>
        <w:ind w:left="0" w:firstLine="851"/>
        <w:jc w:val="both"/>
        <w:textAlignment w:val="auto"/>
        <w:rPr>
          <w:lang w:eastAsia="lt-LT"/>
        </w:rPr>
      </w:pPr>
      <w:r>
        <w:rPr>
          <w:lang w:eastAsia="lt-LT"/>
        </w:rPr>
        <w:t>Perkantysis subjektas</w:t>
      </w:r>
      <w:r w:rsidR="00200203" w:rsidRPr="006B6532">
        <w:rPr>
          <w:lang w:eastAsia="lt-LT"/>
        </w:rPr>
        <w:t xml:space="preserve"> </w:t>
      </w:r>
      <w:r w:rsidR="00217CFF">
        <w:rPr>
          <w:lang w:eastAsia="lt-LT"/>
        </w:rPr>
        <w:t xml:space="preserve">yra </w:t>
      </w:r>
      <w:r w:rsidR="00200203" w:rsidRPr="006B6532">
        <w:rPr>
          <w:lang w:eastAsia="lt-LT"/>
        </w:rPr>
        <w:t>pridėtinės vertės mokesčio (toliau – PVM) mokėtoja</w:t>
      </w:r>
      <w:r>
        <w:rPr>
          <w:lang w:eastAsia="lt-LT"/>
        </w:rPr>
        <w:t>s</w:t>
      </w:r>
      <w:r w:rsidR="00200203" w:rsidRPr="006B6532">
        <w:rPr>
          <w:lang w:eastAsia="lt-LT"/>
        </w:rPr>
        <w:t>.</w:t>
      </w:r>
      <w:r w:rsidR="00200203" w:rsidRPr="006B6532">
        <w:rPr>
          <w:rFonts w:ascii="Arial" w:hAnsi="Arial" w:cs="Arial"/>
          <w:sz w:val="20"/>
          <w:lang w:eastAsia="lt-LT"/>
        </w:rPr>
        <w:t xml:space="preserve"> </w:t>
      </w:r>
    </w:p>
    <w:p w14:paraId="3DE015F6" w14:textId="77777777" w:rsidR="00200203" w:rsidRPr="006B6532" w:rsidRDefault="00200203" w:rsidP="00042385">
      <w:pPr>
        <w:widowControl w:val="0"/>
        <w:numPr>
          <w:ilvl w:val="1"/>
          <w:numId w:val="14"/>
        </w:numPr>
        <w:tabs>
          <w:tab w:val="left" w:pos="851"/>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377AE6">
      <w:pPr>
        <w:widowControl w:val="0"/>
        <w:numPr>
          <w:ilvl w:val="2"/>
          <w:numId w:val="14"/>
        </w:numPr>
        <w:tabs>
          <w:tab w:val="left" w:pos="1418"/>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23E92EB6" w14:textId="2A7D4605"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p>
    <w:p w14:paraId="6027EAEA" w14:textId="77777777" w:rsidR="005E2570" w:rsidRDefault="005E2570" w:rsidP="005E2570">
      <w:pPr>
        <w:widowControl w:val="0"/>
        <w:tabs>
          <w:tab w:val="left" w:pos="993"/>
          <w:tab w:val="left" w:pos="1418"/>
        </w:tabs>
        <w:autoSpaceDE w:val="0"/>
        <w:autoSpaceDN/>
        <w:adjustRightInd w:val="0"/>
        <w:jc w:val="both"/>
        <w:textAlignment w:val="auto"/>
        <w:rPr>
          <w:noProof/>
          <w:color w:val="000000" w:themeColor="text1"/>
        </w:rPr>
      </w:pPr>
    </w:p>
    <w:p w14:paraId="29668498" w14:textId="77777777" w:rsidR="005E2570" w:rsidRPr="0092548B" w:rsidRDefault="005E2570" w:rsidP="005E2570">
      <w:pPr>
        <w:widowControl w:val="0"/>
        <w:tabs>
          <w:tab w:val="left" w:pos="993"/>
          <w:tab w:val="left" w:pos="1418"/>
        </w:tabs>
        <w:autoSpaceDE w:val="0"/>
        <w:autoSpaceDN/>
        <w:adjustRightInd w:val="0"/>
        <w:jc w:val="both"/>
        <w:textAlignment w:val="auto"/>
        <w:rPr>
          <w:color w:val="000000" w:themeColor="text1"/>
          <w:lang w:eastAsia="lt-LT"/>
        </w:rPr>
      </w:pPr>
    </w:p>
    <w:p w14:paraId="308DF2DF" w14:textId="77777777" w:rsidR="00200203" w:rsidRPr="0092548B" w:rsidRDefault="00200203" w:rsidP="00F311A2">
      <w:pPr>
        <w:widowControl w:val="0"/>
        <w:tabs>
          <w:tab w:val="left" w:pos="1134"/>
          <w:tab w:val="left" w:pos="1418"/>
          <w:tab w:val="left" w:pos="1560"/>
        </w:tabs>
        <w:autoSpaceDE w:val="0"/>
        <w:autoSpaceDN/>
        <w:adjustRightInd w:val="0"/>
        <w:ind w:left="2204"/>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lastRenderedPageBreak/>
        <w:t>PIRKIMO OBJEKTAS</w:t>
      </w:r>
      <w:r w:rsidR="001C6A79" w:rsidRPr="0092548B">
        <w:rPr>
          <w:b/>
          <w:color w:val="000000" w:themeColor="text1"/>
        </w:rPr>
        <w:t xml:space="preserve"> </w:t>
      </w:r>
    </w:p>
    <w:p w14:paraId="301E45C5" w14:textId="77777777" w:rsidR="00217CFF" w:rsidRPr="0092548B" w:rsidRDefault="00F7094E" w:rsidP="003D349C">
      <w:pPr>
        <w:pStyle w:val="ListParagraph"/>
        <w:numPr>
          <w:ilvl w:val="1"/>
          <w:numId w:val="14"/>
        </w:numPr>
        <w:ind w:left="0" w:firstLine="720"/>
        <w:jc w:val="both"/>
        <w:rPr>
          <w:bCs/>
          <w:color w:val="000000" w:themeColor="text1"/>
        </w:rPr>
      </w:pPr>
      <w:r w:rsidRPr="0092548B">
        <w:rPr>
          <w:color w:val="000000" w:themeColor="text1"/>
        </w:rPr>
        <w:t xml:space="preserve">Pirkimo objektas </w:t>
      </w:r>
    </w:p>
    <w:p w14:paraId="75492175" w14:textId="181A7DAF" w:rsidR="00217CFF" w:rsidRPr="0092548B" w:rsidRDefault="00E01767" w:rsidP="00217CFF">
      <w:pPr>
        <w:pStyle w:val="ListParagraph"/>
        <w:numPr>
          <w:ilvl w:val="2"/>
          <w:numId w:val="14"/>
        </w:numPr>
        <w:tabs>
          <w:tab w:val="left" w:pos="1418"/>
        </w:tabs>
        <w:ind w:left="0" w:firstLine="709"/>
        <w:jc w:val="both"/>
        <w:rPr>
          <w:color w:val="000000" w:themeColor="text1"/>
        </w:rPr>
      </w:pPr>
      <w:r w:rsidRPr="00917847">
        <w:rPr>
          <w:rFonts w:eastAsia="Arial Unicode MS"/>
          <w:color w:val="000000" w:themeColor="text1"/>
          <w:bdr w:val="none" w:sz="0" w:space="0" w:color="auto" w:frame="1"/>
        </w:rPr>
        <w:t>vandentiekio tinklo rekonstrukcijos Kauno r. sav., Babtų sen., Jugintų k., Labūnavos g. darbai</w:t>
      </w:r>
      <w:r w:rsidR="00217CFF" w:rsidRPr="0092548B">
        <w:rPr>
          <w:color w:val="000000" w:themeColor="text1"/>
          <w:lang w:eastAsia="lt-LT"/>
        </w:rPr>
        <w:t>;</w:t>
      </w:r>
    </w:p>
    <w:p w14:paraId="119576B9" w14:textId="4AF3A673"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rPr>
        <w:t xml:space="preserve"> elektroninio statybos darbų žurnalo užsakymas (prenumeratos užsakymas, statybos žurnalo pildymas ir  saugojimas ir po statybos darbų baigimo jo pilnas perleidimas </w:t>
      </w:r>
      <w:r w:rsidR="00192821" w:rsidRPr="0092548B">
        <w:rPr>
          <w:color w:val="000000" w:themeColor="text1"/>
        </w:rPr>
        <w:t>perkančiajam subjektui</w:t>
      </w:r>
      <w:r w:rsidRPr="0092548B">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1" w:name="_Hlk158362493"/>
      <w:r w:rsidRPr="0092548B">
        <w:rPr>
          <w:color w:val="000000" w:themeColor="text1"/>
        </w:rPr>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1"/>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50A6F17E"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Darbų sąrašas (pavadinimai) ir Darbų kiekiai (apimtys) yra nurodyti projektavimo</w:t>
      </w:r>
      <w:r w:rsidR="000A423B">
        <w:rPr>
          <w:bCs/>
          <w:color w:val="000000" w:themeColor="text1"/>
        </w:rPr>
        <w:t>/statybų</w:t>
      </w:r>
      <w:r w:rsidR="00D74D4F" w:rsidRPr="0092548B">
        <w:rPr>
          <w:bCs/>
          <w:color w:val="000000" w:themeColor="text1"/>
        </w:rPr>
        <w:t xml:space="preserve"> </w:t>
      </w:r>
      <w:r w:rsidRPr="0092548B">
        <w:rPr>
          <w:bCs/>
          <w:color w:val="000000" w:themeColor="text1"/>
        </w:rPr>
        <w:t>užduotyje – priede Nr. 2 ir 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p>
    <w:p w14:paraId="08595828" w14:textId="43D5CB32" w:rsidR="00217CFF" w:rsidRPr="0092548B" w:rsidRDefault="00217CFF" w:rsidP="00217CFF">
      <w:pPr>
        <w:pStyle w:val="ListParagraph"/>
        <w:numPr>
          <w:ilvl w:val="1"/>
          <w:numId w:val="14"/>
        </w:numPr>
        <w:ind w:left="0" w:firstLine="709"/>
        <w:jc w:val="both"/>
        <w:rPr>
          <w:bCs/>
          <w:color w:val="000000" w:themeColor="text1"/>
        </w:rPr>
      </w:pPr>
      <w:r w:rsidRPr="0092548B">
        <w:rPr>
          <w:bCs/>
          <w:color w:val="000000" w:themeColor="text1"/>
        </w:rPr>
        <w:t xml:space="preserve">Darbų atlikimo vieta - </w:t>
      </w:r>
      <w:r w:rsidR="00E01767" w:rsidRPr="0092548B">
        <w:rPr>
          <w:bCs/>
          <w:color w:val="000000" w:themeColor="text1"/>
        </w:rPr>
        <w:t xml:space="preserve">Kauno r. sav., Babtų sen., Jugintų k., Labūnavos g. </w:t>
      </w:r>
    </w:p>
    <w:p w14:paraId="6697BDB6" w14:textId="1EB158AB" w:rsidR="00217CFF" w:rsidRPr="00786087" w:rsidRDefault="00192821" w:rsidP="00217CFF">
      <w:pPr>
        <w:pStyle w:val="ListParagraph"/>
        <w:numPr>
          <w:ilvl w:val="1"/>
          <w:numId w:val="14"/>
        </w:numPr>
        <w:ind w:left="0" w:firstLine="709"/>
        <w:jc w:val="both"/>
        <w:rPr>
          <w:b/>
          <w:color w:val="000000" w:themeColor="text1"/>
        </w:rPr>
      </w:pPr>
      <w:r w:rsidRPr="0092548B">
        <w:rPr>
          <w:bCs/>
          <w:color w:val="000000" w:themeColor="text1"/>
        </w:rPr>
        <w:t>Perkantysis subjektas</w:t>
      </w:r>
      <w:r w:rsidR="00217CFF" w:rsidRPr="0092548B">
        <w:rPr>
          <w:bCs/>
          <w:color w:val="000000" w:themeColor="text1"/>
        </w:rPr>
        <w:t xml:space="preserve"> dėl šio Darbų pirkimo su pirkimo laimėtoju sudarys preliminariąją pirkimo sutartį. </w:t>
      </w:r>
      <w:r w:rsidR="00217CFF" w:rsidRPr="00786087">
        <w:rPr>
          <w:b/>
          <w:color w:val="000000" w:themeColor="text1"/>
        </w:rPr>
        <w:t xml:space="preserve">Preliminariosios sutarties galiojimo terminas – 36 (trisdešimt šeši) mėnesiai nuo preliminariosios sutarties įsigaliojimo dienos. </w:t>
      </w:r>
    </w:p>
    <w:p w14:paraId="6655DE62" w14:textId="64430E78" w:rsidR="00217CFF" w:rsidRPr="0092548B" w:rsidRDefault="00192821" w:rsidP="00217CFF">
      <w:pPr>
        <w:pStyle w:val="ListParagraph"/>
        <w:numPr>
          <w:ilvl w:val="1"/>
          <w:numId w:val="14"/>
        </w:numPr>
        <w:ind w:left="0" w:firstLine="709"/>
        <w:jc w:val="both"/>
        <w:rPr>
          <w:bCs/>
          <w:color w:val="000000" w:themeColor="text1"/>
        </w:rPr>
      </w:pPr>
      <w:r w:rsidRPr="0092548B">
        <w:rPr>
          <w:bCs/>
          <w:color w:val="000000" w:themeColor="text1"/>
        </w:rPr>
        <w:t>Perkantysis subjektas</w:t>
      </w:r>
      <w:r w:rsidR="00217CFF" w:rsidRPr="0092548B">
        <w:rPr>
          <w:bCs/>
          <w:color w:val="000000" w:themeColor="text1"/>
        </w:rPr>
        <w:t xml:space="preserve"> Darbus gali užsakyti atlikti dalimis (t. y. sudaryti kelias pagrindines sutartis) pagal turimą finansavimą. Darbų apimtys ir Darbų atlikimo terminai bus pateikiami kvietime sudaryti pagrindinę (-es) sutartį (-is) ir bus nurodyti sudaromoje pagrindinėje (-se) sutartyje (-se). </w:t>
      </w:r>
    </w:p>
    <w:p w14:paraId="7DB2BD90" w14:textId="77777777" w:rsidR="00786087" w:rsidRDefault="00217CFF" w:rsidP="00786087">
      <w:pPr>
        <w:pStyle w:val="ListParagraph"/>
        <w:numPr>
          <w:ilvl w:val="1"/>
          <w:numId w:val="14"/>
        </w:numPr>
        <w:ind w:left="0" w:firstLine="709"/>
        <w:jc w:val="both"/>
        <w:rPr>
          <w:bCs/>
          <w:color w:val="000000" w:themeColor="text1"/>
        </w:rPr>
      </w:pPr>
      <w:r w:rsidRPr="0092548B">
        <w:rPr>
          <w:bCs/>
          <w:color w:val="000000" w:themeColor="text1"/>
        </w:rPr>
        <w:t>Jei užsakoma tik dalis Darbų, proporcingai mažinama Darbų kaina ir Darbų atlikimo terminas. Pagrindinė (-ės) sutartis (-ys) sudaroma (-os), jei Užsakovas gaus finansavimą Preliminariojoje sutartyje numatytų Darbų atlikimui.</w:t>
      </w:r>
    </w:p>
    <w:p w14:paraId="47F3A76F" w14:textId="77777777" w:rsidR="00786087" w:rsidRPr="00DE770E" w:rsidRDefault="00786087" w:rsidP="00786087">
      <w:pPr>
        <w:pStyle w:val="ListParagraph"/>
        <w:numPr>
          <w:ilvl w:val="1"/>
          <w:numId w:val="14"/>
        </w:numPr>
        <w:ind w:left="0" w:firstLine="709"/>
        <w:jc w:val="both"/>
        <w:rPr>
          <w:bCs/>
        </w:rPr>
      </w:pPr>
      <w:r w:rsidRPr="00DE770E">
        <w:rPr>
          <w:b/>
          <w:bCs/>
        </w:rPr>
        <w:t>Perkančioji organizacija 2025 metais pagal turimą finansavimą įsipareigoja nupirkti Darbų už 100 000,00 Eur su PVM.</w:t>
      </w:r>
      <w:bookmarkStart w:id="2" w:name="_Hlk158715282"/>
    </w:p>
    <w:p w14:paraId="6AF8C72D" w14:textId="77777777" w:rsidR="00786087" w:rsidRPr="00786087" w:rsidRDefault="00786087" w:rsidP="00786087">
      <w:pPr>
        <w:pStyle w:val="ListParagraph"/>
        <w:numPr>
          <w:ilvl w:val="1"/>
          <w:numId w:val="14"/>
        </w:numPr>
        <w:ind w:left="0" w:firstLine="709"/>
        <w:jc w:val="both"/>
        <w:rPr>
          <w:bCs/>
          <w:color w:val="000000" w:themeColor="text1"/>
        </w:rPr>
      </w:pPr>
      <w:r w:rsidRPr="00DE770E">
        <w:rPr>
          <w:b/>
          <w:bCs/>
        </w:rPr>
        <w:t xml:space="preserve">Pagal preliminariąją sutartį sudarytos (ų) Pagrindinės (-ių) sutarties (-ių) Darbų atlikimo terminas negali viršyti 12 mėn. nuo </w:t>
      </w:r>
      <w:r w:rsidRPr="00DE770E">
        <w:t xml:space="preserve">Darbų pradžios. </w:t>
      </w:r>
      <w:r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w:t>
      </w:r>
      <w:r w:rsidRPr="00B529D8">
        <w:t xml:space="preserve">, </w:t>
      </w:r>
      <w:r w:rsidRPr="00786087">
        <w:rPr>
          <w:b/>
          <w:bCs/>
        </w:rPr>
        <w:t>Darbų  atlikimo terminas gali būti pratęstas 1 (vieną) kartą 1 (vienam) mėnesiui</w:t>
      </w:r>
      <w:r w:rsidRPr="00B529D8">
        <w:t>, raštišku susitarimu.</w:t>
      </w:r>
      <w:bookmarkStart w:id="3" w:name="_Hlk158715780"/>
      <w:bookmarkEnd w:id="2"/>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5 (penkis) mėnesius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3"/>
    </w:p>
    <w:p w14:paraId="3B3CE70E" w14:textId="4CB4F816"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(projektavimo</w:t>
      </w:r>
      <w:r w:rsidR="000A423B">
        <w:rPr>
          <w:bCs/>
          <w:color w:val="000000" w:themeColor="text1"/>
        </w:rPr>
        <w:t>/statybos</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4F5AE8BF"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lastRenderedPageBreak/>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 (techninių specifikacijų), 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1CAD982C"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EB6C25" w:rsidRPr="00786087">
        <w:rPr>
          <w:bCs/>
          <w:color w:val="000000" w:themeColor="text1"/>
        </w:rPr>
        <w:t>projektavimo</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pr</w:t>
      </w:r>
      <w:r w:rsidR="00372E9B">
        <w:rPr>
          <w:bCs/>
          <w:color w:val="000000" w:themeColor="text1"/>
        </w:rPr>
        <w:t>o</w:t>
      </w:r>
      <w:r w:rsidR="00EB6C25" w:rsidRPr="00786087">
        <w:rPr>
          <w:bCs/>
          <w:color w:val="000000" w:themeColor="text1"/>
        </w:rPr>
        <w:t>jektavimo – techninėje užduotyje</w:t>
      </w:r>
      <w:r w:rsidRPr="00786087">
        <w:rPr>
          <w:bCs/>
          <w:color w:val="000000" w:themeColor="text1"/>
        </w:rPr>
        <w:t xml:space="preserve"> numatytiems Darbams atlikti. Darbų kiekių žiniaraščiai turi būti pildomi atsižvelgiant į pirkimo dokumentus, pirkimo sutarties sąlygas, </w:t>
      </w:r>
      <w:r w:rsidR="00EB6C25" w:rsidRPr="00786087">
        <w:rPr>
          <w:bCs/>
          <w:color w:val="000000" w:themeColor="text1"/>
        </w:rPr>
        <w:t>projektavimo</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w:t>
      </w:r>
      <w:r w:rsidR="00EB6C25" w:rsidRPr="00786087">
        <w:rPr>
          <w:bCs/>
          <w:color w:val="000000" w:themeColor="text1"/>
        </w:rPr>
        <w:t xml:space="preserve">preliminarioje ir pagrindinėje </w:t>
      </w:r>
      <w:r w:rsidRPr="00786087">
        <w:rPr>
          <w:bCs/>
          <w:color w:val="000000" w:themeColor="text1"/>
        </w:rPr>
        <w:t>sutarty</w:t>
      </w:r>
      <w:r w:rsidR="00EB6C25" w:rsidRPr="00786087">
        <w:rPr>
          <w:bCs/>
          <w:color w:val="000000" w:themeColor="text1"/>
        </w:rPr>
        <w:t>se</w:t>
      </w:r>
      <w:r w:rsidRPr="00786087">
        <w:rPr>
          <w:bCs/>
          <w:color w:val="000000" w:themeColor="text1"/>
        </w:rPr>
        <w:t xml:space="preserve"> ar atsirandantys j</w:t>
      </w:r>
      <w:r w:rsidR="00EB6C25" w:rsidRPr="00786087">
        <w:rPr>
          <w:bCs/>
          <w:color w:val="000000" w:themeColor="text1"/>
        </w:rPr>
        <w:t>as</w:t>
      </w:r>
      <w:r w:rsidRPr="00786087">
        <w:rPr>
          <w:bCs/>
          <w:color w:val="000000" w:themeColor="text1"/>
        </w:rPr>
        <w:t xml:space="preserve"> vykdant.</w:t>
      </w:r>
    </w:p>
    <w:p w14:paraId="053FF1B0" w14:textId="668F17A8"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D74D4F" w:rsidRPr="00786087">
        <w:rPr>
          <w:bCs/>
          <w:color w:val="000000" w:themeColor="text1"/>
        </w:rPr>
        <w:t>projektavimo</w:t>
      </w:r>
      <w:r w:rsidR="000A423B">
        <w:rPr>
          <w:bCs/>
          <w:color w:val="000000" w:themeColor="text1"/>
        </w:rPr>
        <w:t>/statybos</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2"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3"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w:t>
      </w:r>
      <w:r w:rsidRPr="0071211E">
        <w:rPr>
          <w:rFonts w:eastAsiaTheme="minorHAnsi" w:cstheme="minorHAnsi"/>
          <w:bCs/>
          <w:iCs/>
        </w:rPr>
        <w:lastRenderedPageBreak/>
        <w:t xml:space="preserve">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4"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5"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 xml:space="preserve">nurodė pasiūlymo formoje (1 priedas)), pasirašytos </w:t>
      </w:r>
      <w:r w:rsidR="00CC43DD" w:rsidRPr="006F1CB8">
        <w:rPr>
          <w:shd w:val="clear" w:color="auto" w:fill="FFFFFF" w:themeFill="background1"/>
        </w:rPr>
        <w:lastRenderedPageBreak/>
        <w:t>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6"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lastRenderedPageBreak/>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575EECFD"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w:t>
      </w:r>
      <w:r w:rsidR="00217CFF">
        <w:rPr>
          <w:rFonts w:eastAsiaTheme="minorHAnsi" w:cstheme="minorHAnsi"/>
          <w:iCs/>
        </w:rPr>
        <w:t xml:space="preserve">preliminariosios </w:t>
      </w:r>
      <w:r w:rsidR="00C94F63" w:rsidRPr="00950421">
        <w:rPr>
          <w:rFonts w:eastAsiaTheme="minorHAnsi" w:cstheme="minorHAnsi"/>
          <w:iCs/>
        </w:rPr>
        <w:t>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w:t>
      </w:r>
      <w:r w:rsidR="004B716C" w:rsidRPr="00E46903">
        <w:lastRenderedPageBreak/>
        <w:t xml:space="preserve">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7"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3.21.</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3069F3F1"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 xml:space="preserve">fiziniai asmenys, kurie pirkimo laimėjimo ir </w:t>
      </w:r>
      <w:r w:rsidR="00217CFF">
        <w:rPr>
          <w:rFonts w:cstheme="minorHAnsi"/>
        </w:rPr>
        <w:t xml:space="preserve">preliminariosios </w:t>
      </w:r>
      <w:r w:rsidRPr="00134C2E">
        <w:rPr>
          <w:rFonts w:cstheme="minorHAnsi"/>
        </w:rPr>
        <w:t xml:space="preserve">sutarties sudarymo </w:t>
      </w:r>
      <w:r w:rsidRPr="00C65A29">
        <w:t>atveju bus įdarbinti tiekėjo ar jo pasitelkiamo ūkio subjekto įmonėje.</w:t>
      </w:r>
    </w:p>
    <w:p w14:paraId="2FB7F505" w14:textId="69CCE8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217CFF">
        <w:rPr>
          <w:color w:val="000000"/>
          <w:lang w:eastAsia="lt-LT"/>
        </w:rPr>
        <w:t>preliminariosios</w:t>
      </w:r>
      <w:r w:rsidR="00EB2922" w:rsidRPr="00134C2E">
        <w:rPr>
          <w:color w:val="000000"/>
          <w:lang w:eastAsia="lt-LT"/>
        </w:rPr>
        <w:t xml:space="preserve"> </w:t>
      </w:r>
      <w:r w:rsidR="00EB2922" w:rsidRPr="00134C2E">
        <w:rPr>
          <w:iCs/>
          <w:color w:val="000000"/>
          <w:lang w:eastAsia="lt-LT"/>
        </w:rPr>
        <w:t xml:space="preserve">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217CFF">
        <w:t xml:space="preserve"> preliminariosios</w:t>
      </w:r>
      <w:r w:rsidR="00EB2922" w:rsidRPr="00264D36">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pasiūlymo formoje (pirkimo sąlygų 1 priedas), </w:t>
      </w:r>
      <w:r w:rsidRPr="00E46903">
        <w:lastRenderedPageBreak/>
        <w:t>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6FC6E124"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w:t>
      </w:r>
      <w:r w:rsidR="00217CFF">
        <w:t xml:space="preserve">preliminariojoje </w:t>
      </w:r>
      <w:r w:rsidR="005820DD" w:rsidRPr="00E46903">
        <w:t>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386A1E3E"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w:t>
      </w:r>
      <w:r w:rsidR="00217CFF">
        <w:rPr>
          <w:lang w:eastAsia="lt-LT"/>
        </w:rPr>
        <w:t xml:space="preserve"> preliminariosios</w:t>
      </w:r>
      <w:r w:rsidRPr="00DB5E6F">
        <w:rPr>
          <w:lang w:eastAsia="lt-LT"/>
        </w:rPr>
        <w:t xml:space="preserve"> sutarties vykdymą ar kitaip tiesiogiai nedalyvaus vykdant </w:t>
      </w:r>
      <w:r w:rsidR="00217CFF">
        <w:rPr>
          <w:lang w:eastAsia="lt-LT"/>
        </w:rPr>
        <w:t>preliminariąją</w:t>
      </w:r>
      <w:r w:rsidRPr="00DB5E6F">
        <w:rPr>
          <w:lang w:eastAsia="lt-LT"/>
        </w:rPr>
        <w:t xml:space="preserve">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w:t>
      </w:r>
      <w:r w:rsidR="00217CFF">
        <w:rPr>
          <w:rFonts w:eastAsia="Calibri"/>
          <w:color w:val="000000"/>
          <w:lang w:eastAsia="lt-LT"/>
        </w:rPr>
        <w:t xml:space="preserve">preliminariosios </w:t>
      </w:r>
      <w:r w:rsidRPr="00134C2E">
        <w:rPr>
          <w:rFonts w:eastAsia="Calibri"/>
          <w:color w:val="000000"/>
          <w:lang w:eastAsia="lt-LT"/>
        </w:rPr>
        <w:t xml:space="preserve">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w:t>
      </w:r>
      <w:r w:rsidR="00217CFF">
        <w:rPr>
          <w:rFonts w:eastAsia="Calibri"/>
          <w:color w:val="000000"/>
          <w:lang w:eastAsia="lt-LT"/>
        </w:rPr>
        <w:t xml:space="preserve">preliminariosios </w:t>
      </w:r>
      <w:r w:rsidRPr="00134C2E">
        <w:rPr>
          <w:rFonts w:eastAsia="Calibri"/>
          <w:color w:val="000000"/>
          <w:lang w:eastAsia="lt-LT"/>
        </w:rPr>
        <w:t>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27AE3CDC"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w:t>
      </w:r>
      <w:r w:rsidR="00217CFF">
        <w:rPr>
          <w:rFonts w:cstheme="minorHAnsi"/>
        </w:rPr>
        <w:t xml:space="preserve">preliminariosios </w:t>
      </w:r>
      <w:r w:rsidRPr="00134C2E">
        <w:rPr>
          <w:rFonts w:cstheme="minorHAnsi"/>
        </w:rPr>
        <w:t xml:space="preserve">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 xml:space="preserve">as pats ūkio subjektas gali būti nurodytas skirtingų tiekėjų pasiūlymuose kaip subtiekėjas. Taip pat tiekėjas, pateikęs pasiūlymą savarankiškai, ar pirkime dalyvaujantis jungtinės </w:t>
      </w:r>
      <w:r w:rsidR="00E60229" w:rsidRPr="00E46903">
        <w:lastRenderedPageBreak/>
        <w:t>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264BF4CF"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preliminariąją</w:t>
      </w:r>
      <w:r w:rsidRPr="00E46903">
        <w:rPr>
          <w:rFonts w:cstheme="minorHAnsi"/>
        </w:rPr>
        <w:t xml:space="preserve"> sutartį, tačiau ne vėliau negu </w:t>
      </w:r>
      <w:r w:rsidR="003C2061">
        <w:rPr>
          <w:rFonts w:cstheme="minorHAnsi"/>
        </w:rPr>
        <w:t xml:space="preserve">preliminarioji </w:t>
      </w:r>
      <w:r w:rsidRPr="00E46903">
        <w:rPr>
          <w:rFonts w:cstheme="minorHAnsi"/>
        </w:rPr>
        <w:t xml:space="preserve">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w:t>
      </w:r>
      <w:r w:rsidR="003C2061">
        <w:rPr>
          <w:rFonts w:cstheme="minorHAnsi"/>
        </w:rPr>
        <w:t>preliminariosios</w:t>
      </w:r>
      <w:r w:rsidR="007C7D70" w:rsidRPr="00E46903">
        <w:rPr>
          <w:rFonts w:cstheme="minorHAnsi"/>
        </w:rPr>
        <w:t xml:space="preserve">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46323FF7"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preliminariąją</w:t>
      </w:r>
      <w:r w:rsidR="00FF3F7F" w:rsidRPr="00E46903">
        <w:rPr>
          <w:rFonts w:eastAsiaTheme="minorHAnsi" w:cstheme="minorHAnsi"/>
        </w:rPr>
        <w:t xml:space="preserve">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61F22034"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 xml:space="preserve">kuris šios sutarties dalyvis yra įgaliojamas ūkio subjektų grupės vardu teikti pasiūlymą, o laimėjus pirkimą, – pasirašyti </w:t>
      </w:r>
      <w:r w:rsidR="003C2061">
        <w:rPr>
          <w:rFonts w:cstheme="minorHAnsi"/>
          <w:bCs/>
        </w:rPr>
        <w:t xml:space="preserve">preliminariąją </w:t>
      </w:r>
      <w:r w:rsidRPr="00134C2E">
        <w:rPr>
          <w:rFonts w:cstheme="minorHAnsi"/>
          <w:bCs/>
        </w:rPr>
        <w:t xml:space="preserve">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258651BC"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preliminąriąją</w:t>
      </w:r>
      <w:r w:rsidR="00FF3F7F" w:rsidRPr="00C65A29">
        <w:rPr>
          <w:rFonts w:eastAsiaTheme="minorHAnsi" w:cstheme="minorHAnsi"/>
          <w:color w:val="000000"/>
        </w:rPr>
        <w:t xml:space="preserve"> 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lastRenderedPageBreak/>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5DACBA41" w14:textId="7C8592E3" w:rsidR="005441BE" w:rsidRPr="00913B13"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4"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"Taip",</w:t>
            </w:r>
          </w:p>
          <w:p w14:paraId="7E4F5484" w14:textId="443C0FE8" w:rsidR="00F16AF8" w:rsidRPr="00753B3C" w:rsidRDefault="00F16AF8" w:rsidP="002D3C28">
            <w:pPr>
              <w:rPr>
                <w:bCs/>
                <w:color w:val="000000" w:themeColor="text1"/>
                <w:lang w:bidi="ta-IN"/>
              </w:rPr>
            </w:pPr>
            <w:r w:rsidRPr="00753B3C">
              <w:rPr>
                <w:bCs/>
                <w:color w:val="000000" w:themeColor="text1"/>
                <w:lang w:bidi="ta-IN"/>
              </w:rPr>
              <w:t xml:space="preserve">T1 = </w:t>
            </w:r>
            <w:r w:rsidR="005B5EF7" w:rsidRPr="00753B3C">
              <w:rPr>
                <w:bCs/>
                <w:color w:val="000000" w:themeColor="text1"/>
                <w:lang w:bidi="ta-IN"/>
              </w:rPr>
              <w:t>4</w:t>
            </w:r>
            <w:r w:rsidRPr="00753B3C">
              <w:rPr>
                <w:bCs/>
                <w:color w:val="000000" w:themeColor="text1"/>
                <w:lang w:bidi="ta-IN"/>
              </w:rPr>
              <w:t>000</w:t>
            </w:r>
            <w:r w:rsidR="00A97936" w:rsidRPr="00753B3C">
              <w:rPr>
                <w:bCs/>
                <w:color w:val="000000" w:themeColor="text1"/>
                <w:lang w:bidi="ta-IN"/>
              </w:rPr>
              <w:t>,00</w:t>
            </w:r>
            <w:r w:rsidRPr="00753B3C">
              <w:rPr>
                <w:bCs/>
                <w:color w:val="000000" w:themeColor="text1"/>
                <w:lang w:bidi="ta-IN"/>
              </w:rPr>
              <w:t xml:space="preserve">; </w:t>
            </w:r>
          </w:p>
          <w:p w14:paraId="446A54D9"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"Ne",</w:t>
            </w:r>
          </w:p>
          <w:p w14:paraId="3E45DD47" w14:textId="77777777" w:rsidR="00F16AF8" w:rsidRPr="00753B3C" w:rsidRDefault="00F16AF8" w:rsidP="002D3C28">
            <w:pPr>
              <w:jc w:val="both"/>
              <w:rPr>
                <w:bCs/>
                <w:color w:val="000000" w:themeColor="text1"/>
                <w:lang w:bidi="ta-IN"/>
              </w:rPr>
            </w:pPr>
            <w:r w:rsidRPr="00753B3C">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"Taip",</w:t>
            </w:r>
          </w:p>
          <w:p w14:paraId="56EAD127" w14:textId="32E98095" w:rsidR="00F16AF8" w:rsidRPr="00753B3C" w:rsidRDefault="00F16AF8" w:rsidP="002D3C28">
            <w:pPr>
              <w:rPr>
                <w:bCs/>
                <w:color w:val="000000" w:themeColor="text1"/>
                <w:lang w:bidi="ta-IN"/>
              </w:rPr>
            </w:pPr>
            <w:r w:rsidRPr="00753B3C">
              <w:rPr>
                <w:bCs/>
                <w:color w:val="000000" w:themeColor="text1"/>
                <w:lang w:bidi="ta-IN"/>
              </w:rPr>
              <w:t xml:space="preserve">T2 = </w:t>
            </w:r>
            <w:r w:rsidR="005B5EF7" w:rsidRPr="00753B3C">
              <w:rPr>
                <w:bCs/>
                <w:color w:val="000000" w:themeColor="text1"/>
                <w:lang w:bidi="ta-IN"/>
              </w:rPr>
              <w:t>4</w:t>
            </w:r>
            <w:r w:rsidRPr="00753B3C">
              <w:rPr>
                <w:bCs/>
                <w:color w:val="000000" w:themeColor="text1"/>
                <w:lang w:bidi="ta-IN"/>
              </w:rPr>
              <w:t>000</w:t>
            </w:r>
            <w:r w:rsidR="00A97936" w:rsidRPr="00753B3C">
              <w:rPr>
                <w:bCs/>
                <w:color w:val="000000" w:themeColor="text1"/>
                <w:lang w:bidi="ta-IN"/>
              </w:rPr>
              <w:t>,00</w:t>
            </w:r>
            <w:r w:rsidRPr="00753B3C">
              <w:rPr>
                <w:bCs/>
                <w:color w:val="000000" w:themeColor="text1"/>
                <w:lang w:bidi="ta-IN"/>
              </w:rPr>
              <w:t xml:space="preserve">; </w:t>
            </w:r>
          </w:p>
          <w:p w14:paraId="0966A06F"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"Ne",</w:t>
            </w:r>
          </w:p>
          <w:p w14:paraId="41257EF1" w14:textId="77777777" w:rsidR="00F16AF8" w:rsidRPr="00753B3C" w:rsidRDefault="00F16AF8" w:rsidP="002D3C28">
            <w:pPr>
              <w:jc w:val="both"/>
              <w:rPr>
                <w:bCs/>
                <w:color w:val="000000" w:themeColor="text1"/>
                <w:lang w:bidi="ta-IN"/>
              </w:rPr>
            </w:pPr>
            <w:r w:rsidRPr="00753B3C">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4"/>
    <w:p w14:paraId="24B5CE81" w14:textId="201CCAF8"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lastRenderedPageBreak/>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3C2061" w:rsidRPr="000A423B">
        <w:rPr>
          <w:color w:val="000000" w:themeColor="text1"/>
          <w:sz w:val="24"/>
          <w:szCs w:val="24"/>
          <w:lang w:val="lt-LT"/>
        </w:rPr>
        <w:t xml:space="preserve">preliminariosios </w:t>
      </w:r>
      <w:r w:rsidR="00CA3BEE" w:rsidRPr="000A423B">
        <w:rPr>
          <w:color w:val="000000" w:themeColor="text1"/>
          <w:sz w:val="24"/>
          <w:szCs w:val="24"/>
          <w:lang w:val="lt-LT"/>
        </w:rPr>
        <w:t>sutarties projekto (</w:t>
      </w:r>
      <w:r w:rsidR="003C2061" w:rsidRPr="000A423B">
        <w:rPr>
          <w:color w:val="000000" w:themeColor="text1"/>
          <w:sz w:val="24"/>
          <w:szCs w:val="24"/>
          <w:lang w:val="lt-LT"/>
        </w:rPr>
        <w:t xml:space="preserve">Pirkimo sąlygų </w:t>
      </w:r>
      <w:r w:rsidR="00AD2260" w:rsidRPr="000A423B">
        <w:rPr>
          <w:color w:val="000000" w:themeColor="text1"/>
          <w:sz w:val="24"/>
          <w:szCs w:val="24"/>
          <w:lang w:val="lt-LT"/>
        </w:rPr>
        <w:t>4</w:t>
      </w:r>
      <w:r w:rsidR="00CA3BEE" w:rsidRPr="000A423B">
        <w:rPr>
          <w:color w:val="000000" w:themeColor="text1"/>
          <w:sz w:val="24"/>
          <w:szCs w:val="24"/>
          <w:lang w:val="lt-LT"/>
        </w:rPr>
        <w:t xml:space="preserve"> priedas) </w:t>
      </w:r>
      <w:r w:rsidR="00CA3BEE" w:rsidRPr="000A423B">
        <w:rPr>
          <w:color w:val="000000" w:themeColor="text1"/>
          <w:sz w:val="24"/>
          <w:szCs w:val="24"/>
          <w:lang w:val="lt-LT" w:bidi="ta-IN"/>
        </w:rPr>
        <w:t>11.3.16. ir 11.3.17. punktuose</w:t>
      </w:r>
      <w:r w:rsidR="003C2061" w:rsidRPr="000A423B">
        <w:rPr>
          <w:color w:val="000000" w:themeColor="text1"/>
          <w:sz w:val="24"/>
          <w:szCs w:val="24"/>
          <w:lang w:val="lt-LT" w:bidi="ta-IN"/>
        </w:rPr>
        <w:t xml:space="preserve"> ir </w:t>
      </w:r>
      <w:r w:rsidR="000A423B" w:rsidRPr="000A423B">
        <w:rPr>
          <w:color w:val="000000" w:themeColor="text1"/>
          <w:sz w:val="24"/>
          <w:szCs w:val="24"/>
          <w:lang w:val="lt-LT" w:bidi="ta-IN"/>
        </w:rPr>
        <w:t>P</w:t>
      </w:r>
      <w:r w:rsidR="003C2061" w:rsidRPr="000A423B">
        <w:rPr>
          <w:color w:val="000000" w:themeColor="text1"/>
          <w:sz w:val="24"/>
          <w:szCs w:val="24"/>
          <w:lang w:val="lt-LT" w:bidi="ta-IN"/>
        </w:rPr>
        <w:t>agrindinės sutarties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r w:rsidR="003C2061" w:rsidRPr="000A423B">
        <w:rPr>
          <w:color w:val="000000" w:themeColor="text1"/>
          <w:sz w:val="24"/>
          <w:szCs w:val="24"/>
          <w:lang w:val="lt-LT" w:bidi="ta-IN"/>
        </w:rPr>
        <w:t xml:space="preserve"> (Preliminarisoios sutarties projekto</w:t>
      </w:r>
      <w:r w:rsidR="003C2061" w:rsidRPr="00917847">
        <w:rPr>
          <w:color w:val="000000" w:themeColor="text1"/>
          <w:sz w:val="24"/>
          <w:szCs w:val="24"/>
          <w:lang w:val="lt-LT" w:bidi="ta-IN"/>
        </w:rPr>
        <w:t xml:space="preserve"> priedas)</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w:t>
      </w:r>
      <w:r w:rsidRPr="001173D1">
        <w:rPr>
          <w:rFonts w:cstheme="minorHAnsi"/>
        </w:rPr>
        <w:lastRenderedPageBreak/>
        <w:t>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 xml:space="preserve">per jos </w:t>
      </w:r>
      <w:r w:rsidR="00DF61E1" w:rsidRPr="00E46903">
        <w:rPr>
          <w:rFonts w:cstheme="minorHAnsi"/>
          <w:bCs/>
          <w:iCs/>
        </w:rPr>
        <w:lastRenderedPageBreak/>
        <w:t>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.13 punkto reikalavimų (neatitinka (prastesnės, nelygiavertės techninės charakteristikos) darbų aprašymas, per mažas darbų kiekis, nelygiaverčiai, 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1C99CDC2"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 preliminariosios sutarties su ekonomiškai naudingiausią pasiūlymą pateikusiu tiekėju, jeigu ji nustato, kad pasiūlymas neatitinka </w:t>
      </w:r>
      <w:r w:rsidR="003C2061" w:rsidRPr="00B75355">
        <w:rPr>
          <w:rStyle w:val="markedcontent"/>
        </w:rPr>
        <w:lastRenderedPageBreak/>
        <w:t>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(1 </w:t>
      </w:r>
      <w:r w:rsidRPr="00614B11">
        <w:rPr>
          <w:rFonts w:cstheme="minorHAnsi"/>
          <w:b/>
        </w:rPr>
        <w:lastRenderedPageBreak/>
        <w:t>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9" w:type="dxa"/>
        <w:tblInd w:w="-5" w:type="dxa"/>
        <w:tblLook w:val="04A0" w:firstRow="1" w:lastRow="0" w:firstColumn="1" w:lastColumn="0" w:noHBand="0" w:noVBand="1"/>
      </w:tblPr>
      <w:tblGrid>
        <w:gridCol w:w="996"/>
        <w:gridCol w:w="4384"/>
        <w:gridCol w:w="4259"/>
      </w:tblGrid>
      <w:tr w:rsidR="00343AA1" w:rsidRPr="003B626E" w14:paraId="53C9E366" w14:textId="77777777" w:rsidTr="00343AA1">
        <w:tc>
          <w:tcPr>
            <w:tcW w:w="9639" w:type="dxa"/>
            <w:gridSpan w:val="3"/>
            <w:hideMark/>
          </w:tcPr>
          <w:p w14:paraId="03905999" w14:textId="77777777" w:rsidR="00343AA1" w:rsidRPr="003B626E" w:rsidRDefault="00343AA1" w:rsidP="00325941">
            <w:pPr>
              <w:spacing w:line="360" w:lineRule="auto"/>
              <w:jc w:val="both"/>
              <w:rPr>
                <w:b/>
                <w:bCs/>
                <w:iCs/>
              </w:rPr>
            </w:pPr>
            <w:bookmarkStart w:id="5" w:name="_Hlk177720647"/>
            <w:r w:rsidRPr="00EC5E2A">
              <w:rPr>
                <w:b/>
                <w:bCs/>
                <w:iCs/>
                <w:color w:val="7030A0"/>
              </w:rPr>
              <w:t>Techninis ir profesinis pajėgumas</w:t>
            </w:r>
          </w:p>
        </w:tc>
        <w:bookmarkEnd w:id="5"/>
      </w:tr>
      <w:tr w:rsidR="00343AA1" w:rsidRPr="003B626E" w14:paraId="04B1D086" w14:textId="77777777" w:rsidTr="00343AA1">
        <w:tc>
          <w:tcPr>
            <w:tcW w:w="426" w:type="dxa"/>
            <w:hideMark/>
          </w:tcPr>
          <w:p w14:paraId="0325AF54" w14:textId="418D3643" w:rsidR="00343AA1" w:rsidRPr="003B626E" w:rsidRDefault="00796642" w:rsidP="00325941">
            <w:r>
              <w:t xml:space="preserve"> </w:t>
            </w:r>
            <w:r>
              <w:rPr>
                <w:lang w:val="en-US"/>
              </w:rPr>
              <w:t>1</w:t>
            </w:r>
            <w:r w:rsidR="00753B3C">
              <w:rPr>
                <w:lang w:val="en-US"/>
              </w:rPr>
              <w:t>1</w:t>
            </w:r>
            <w:r>
              <w:rPr>
                <w:lang w:val="en-US"/>
              </w:rPr>
              <w:t>.1</w:t>
            </w:r>
            <w:r w:rsidR="00753B3C">
              <w:rPr>
                <w:lang w:val="en-US"/>
              </w:rPr>
              <w:t>0</w:t>
            </w:r>
            <w:r w:rsidR="00343AA1" w:rsidRPr="003B626E">
              <w:t>.</w:t>
            </w:r>
            <w:r w:rsidR="00753B3C">
              <w:t>1</w:t>
            </w:r>
          </w:p>
        </w:tc>
        <w:tc>
          <w:tcPr>
            <w:tcW w:w="4656" w:type="dxa"/>
          </w:tcPr>
          <w:p w14:paraId="57C3D2E0" w14:textId="611FA193" w:rsidR="00343AA1" w:rsidRPr="003B626E" w:rsidRDefault="00343AA1" w:rsidP="00325941">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Pr>
                <w:b/>
                <w:bCs/>
              </w:rPr>
              <w:t>vandentiekio tinklų statybos</w:t>
            </w:r>
            <w:r w:rsidRPr="003B626E">
              <w:rPr>
                <w:b/>
                <w:bCs/>
              </w:rPr>
              <w:t xml:space="preserve"> darbų***</w:t>
            </w:r>
            <w:r w:rsidRPr="003B626E">
              <w:t xml:space="preserve">, kurių bendra vertė ne mažesnė kaip </w:t>
            </w:r>
            <w:r w:rsidRPr="000F2E5C">
              <w:rPr>
                <w:b/>
                <w:bCs/>
              </w:rPr>
              <w:t>2</w:t>
            </w:r>
            <w:r w:rsidRPr="003B626E">
              <w:rPr>
                <w:b/>
                <w:bCs/>
              </w:rPr>
              <w:t xml:space="preserve">00 000,00 </w:t>
            </w:r>
            <w:r w:rsidRPr="003B626E">
              <w:rPr>
                <w:b/>
                <w:bCs/>
                <w:color w:val="000000"/>
              </w:rPr>
              <w:t>Eur be PVM.</w:t>
            </w:r>
          </w:p>
          <w:p w14:paraId="0E7DBF69" w14:textId="77777777" w:rsidR="00343AA1" w:rsidRPr="003B626E" w:rsidRDefault="00343AA1" w:rsidP="00325941">
            <w:pPr>
              <w:widowControl w:val="0"/>
              <w:tabs>
                <w:tab w:val="left" w:pos="1418"/>
              </w:tabs>
              <w:autoSpaceDE w:val="0"/>
              <w:adjustRightInd w:val="0"/>
              <w:jc w:val="both"/>
              <w:rPr>
                <w:i/>
                <w:iCs/>
              </w:rPr>
            </w:pPr>
          </w:p>
          <w:p w14:paraId="0924D612" w14:textId="77777777" w:rsidR="00343AA1" w:rsidRPr="003B626E" w:rsidRDefault="00343AA1" w:rsidP="00325941">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6535297C" w14:textId="77777777" w:rsidR="00343AA1" w:rsidRPr="003B626E" w:rsidRDefault="00343AA1" w:rsidP="00325941">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438555AF" w14:textId="77777777" w:rsidR="00343AA1" w:rsidRPr="003B626E" w:rsidRDefault="00343AA1" w:rsidP="00325941">
            <w:pPr>
              <w:jc w:val="both"/>
            </w:pPr>
            <w:r w:rsidRPr="003B626E">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6D34FA08" w14:textId="77777777" w:rsidR="00343AA1" w:rsidRPr="003B626E" w:rsidRDefault="00343AA1" w:rsidP="00325941">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kuri turi būti ne mažesnė nei šiame reikalavime nurodyta suma.</w:t>
            </w:r>
          </w:p>
          <w:p w14:paraId="2468EE7B" w14:textId="77777777" w:rsidR="00343AA1" w:rsidRPr="003B626E" w:rsidRDefault="00343AA1" w:rsidP="00325941">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w:t>
            </w:r>
            <w:r w:rsidRPr="003B626E">
              <w:lastRenderedPageBreak/>
              <w:t>apimtis, vertė, o ne sutarties objektas apskritai.</w:t>
            </w:r>
          </w:p>
          <w:p w14:paraId="6891BBF9" w14:textId="77777777" w:rsidR="00343AA1" w:rsidRPr="003B626E" w:rsidRDefault="00343AA1" w:rsidP="00325941">
            <w:pPr>
              <w:widowControl w:val="0"/>
              <w:tabs>
                <w:tab w:val="left" w:pos="1418"/>
              </w:tabs>
              <w:autoSpaceDE w:val="0"/>
              <w:adjustRightInd w:val="0"/>
              <w:jc w:val="both"/>
            </w:pPr>
          </w:p>
          <w:p w14:paraId="39E530C0" w14:textId="77777777" w:rsidR="00343AA1" w:rsidRPr="003B626E" w:rsidRDefault="00343AA1" w:rsidP="00325941">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288C01CE" w14:textId="77777777" w:rsidR="00343AA1" w:rsidRPr="003B626E" w:rsidRDefault="00343AA1" w:rsidP="00325941">
            <w:pPr>
              <w:jc w:val="both"/>
              <w:rPr>
                <w:i/>
              </w:rPr>
            </w:pPr>
          </w:p>
          <w:p w14:paraId="1E2DFD53"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655C298C"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77777777" w:rsidR="00343AA1" w:rsidRPr="003B626E" w:rsidRDefault="00343AA1" w:rsidP="000604B9">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557" w:type="dxa"/>
          </w:tcPr>
          <w:p w14:paraId="37B7FE15" w14:textId="77777777" w:rsidR="00343AA1" w:rsidRPr="003B626E" w:rsidRDefault="00343AA1" w:rsidP="00325941">
            <w:pPr>
              <w:jc w:val="both"/>
              <w:rPr>
                <w:b/>
              </w:rPr>
            </w:pPr>
            <w:r w:rsidRPr="003B626E">
              <w:rPr>
                <w:bCs/>
              </w:rPr>
              <w:lastRenderedPageBreak/>
              <w:t>Pateikiama:</w:t>
            </w:r>
          </w:p>
          <w:p w14:paraId="289B3104" w14:textId="77777777" w:rsidR="00343AA1" w:rsidRPr="003B626E" w:rsidRDefault="00343AA1" w:rsidP="00325941">
            <w:pPr>
              <w:widowControl w:val="0"/>
              <w:tabs>
                <w:tab w:val="left" w:pos="1418"/>
              </w:tabs>
              <w:autoSpaceDE w:val="0"/>
              <w:adjustRightInd w:val="0"/>
              <w:jc w:val="both"/>
              <w:rPr>
                <w:bCs/>
              </w:rPr>
            </w:pPr>
          </w:p>
          <w:p w14:paraId="64B42192" w14:textId="63BB7EDD" w:rsidR="00343AA1" w:rsidRPr="003B626E" w:rsidRDefault="00343AA1" w:rsidP="00325941">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Pr>
                <w:b/>
                <w:bCs/>
              </w:rPr>
              <w:t xml:space="preserve">vandentiekio tinklų statybos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6D78C3F0" w14:textId="77777777" w:rsidR="00343AA1" w:rsidRPr="003B626E" w:rsidRDefault="00343AA1" w:rsidP="00325941">
            <w:pPr>
              <w:jc w:val="both"/>
            </w:pPr>
          </w:p>
          <w:p w14:paraId="4D01CF97" w14:textId="2D55098A" w:rsidR="00343AA1" w:rsidRPr="003B626E" w:rsidRDefault="00343AA1" w:rsidP="00325941">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Pr>
                <w:b/>
                <w:bCs/>
              </w:rPr>
              <w:t xml:space="preserve">vandentiekio tinklų statybos </w:t>
            </w:r>
            <w:r w:rsidRPr="003B626E">
              <w:rPr>
                <w:b/>
                <w:bCs/>
              </w:rPr>
              <w:t>darbai</w:t>
            </w:r>
            <w:r w:rsidRPr="003B626E">
              <w:rPr>
                <w:b/>
              </w:rPr>
              <w:t xml:space="preserve"> buvo atlikti tinkamai. </w:t>
            </w:r>
            <w:r w:rsidRPr="003B626E">
              <w:rPr>
                <w:bCs/>
              </w:rPr>
              <w:t xml:space="preserve">Užsakovų pažymose 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 xml:space="preserve">Užsakovų pažymose taip pat turi būti nurodyta, ar tiekėjas nurodytus darbus atliko savo </w:t>
            </w:r>
            <w:r w:rsidRPr="003B626E">
              <w:rPr>
                <w:b/>
              </w:rPr>
              <w:lastRenderedPageBreak/>
              <w:t>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985A201" w14:textId="3DF6F6A3" w:rsidR="00343AA1" w:rsidRPr="003B626E" w:rsidRDefault="00343AA1" w:rsidP="00325941">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76A4EB82" w14:textId="77777777" w:rsidR="00343AA1" w:rsidRPr="003B626E" w:rsidRDefault="00343AA1" w:rsidP="00325941">
            <w:pPr>
              <w:ind w:right="40"/>
              <w:jc w:val="both"/>
            </w:pPr>
            <w:r w:rsidRPr="003B626E">
              <w:t xml:space="preserve">  </w:t>
            </w:r>
          </w:p>
          <w:p w14:paraId="2FEBD0B1" w14:textId="77777777" w:rsidR="00343AA1" w:rsidRPr="003B626E" w:rsidRDefault="00343AA1" w:rsidP="00325941">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343AA1" w:rsidRPr="003B626E" w14:paraId="61EADA92" w14:textId="77777777" w:rsidTr="00343AA1">
        <w:tc>
          <w:tcPr>
            <w:tcW w:w="426" w:type="dxa"/>
            <w:hideMark/>
          </w:tcPr>
          <w:p w14:paraId="34995D54" w14:textId="0277E3D1" w:rsidR="00343AA1" w:rsidRPr="003B626E" w:rsidRDefault="00753B3C" w:rsidP="00325941">
            <w:pPr>
              <w:widowControl w:val="0"/>
              <w:tabs>
                <w:tab w:val="left" w:pos="1418"/>
              </w:tabs>
              <w:autoSpaceDE w:val="0"/>
              <w:adjustRightInd w:val="0"/>
              <w:jc w:val="both"/>
            </w:pPr>
            <w:r>
              <w:lastRenderedPageBreak/>
              <w:t>11.10.2</w:t>
            </w:r>
            <w:r w:rsidR="00343AA1" w:rsidRPr="003B626E">
              <w:t>.</w:t>
            </w:r>
          </w:p>
        </w:tc>
        <w:tc>
          <w:tcPr>
            <w:tcW w:w="4656" w:type="dxa"/>
          </w:tcPr>
          <w:p w14:paraId="7A9E1F47" w14:textId="77777777" w:rsidR="00343AA1" w:rsidRPr="003B626E" w:rsidRDefault="00343AA1" w:rsidP="00325941">
            <w:pPr>
              <w:jc w:val="both"/>
            </w:pPr>
            <w:r w:rsidRPr="003B626E">
              <w:t>Tiekėjo vadovaujančių specialistų ir asmenų, atsakingų už pirkimo sutarties vykdymą, kvalifikacija. Tiekėjas privalo paskirti specialistus*, kurių kvalifikacija** atitinka nurodytus reikalavimus:</w:t>
            </w:r>
          </w:p>
          <w:p w14:paraId="1F22D6BD" w14:textId="77777777" w:rsidR="00343AA1" w:rsidRPr="003B626E" w:rsidRDefault="00343AA1" w:rsidP="00325941">
            <w:pPr>
              <w:widowControl w:val="0"/>
              <w:shd w:val="clear" w:color="auto" w:fill="FFFFFF"/>
              <w:tabs>
                <w:tab w:val="left" w:pos="1418"/>
              </w:tabs>
              <w:autoSpaceDE w:val="0"/>
              <w:adjustRightInd w:val="0"/>
              <w:jc w:val="both"/>
              <w:rPr>
                <w:bCs/>
              </w:rPr>
            </w:pPr>
          </w:p>
          <w:p w14:paraId="1694D260" w14:textId="3557F2F6" w:rsidR="00343AA1" w:rsidRPr="003B626E" w:rsidRDefault="00343AA1" w:rsidP="00325941">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rsidR="00E949A0">
              <w:t xml:space="preserve">inžinerinių </w:t>
            </w:r>
            <w:r w:rsidRPr="003B626E">
              <w:t xml:space="preserve">statinių grupė: </w:t>
            </w:r>
            <w:r w:rsidR="00E949A0">
              <w:t>inžineriniai tinklai</w:t>
            </w:r>
            <w:r w:rsidR="00796642">
              <w:t>; p</w:t>
            </w:r>
            <w:r w:rsidR="000604B9">
              <w:t>o</w:t>
            </w:r>
            <w:r w:rsidR="00796642">
              <w:t>grupis - vandentiekio tinklai</w:t>
            </w:r>
            <w:r w:rsidRPr="003B626E">
              <w:t>.</w:t>
            </w:r>
          </w:p>
          <w:p w14:paraId="66576BD0" w14:textId="77777777" w:rsidR="00343AA1" w:rsidRPr="003B626E" w:rsidRDefault="00343AA1" w:rsidP="00325941">
            <w:pPr>
              <w:shd w:val="clear" w:color="auto" w:fill="FFFFFF"/>
              <w:jc w:val="both"/>
            </w:pPr>
          </w:p>
          <w:p w14:paraId="7ECD68BD" w14:textId="77777777" w:rsidR="00343AA1" w:rsidRPr="003B626E" w:rsidRDefault="00343AA1" w:rsidP="00325941">
            <w:pPr>
              <w:shd w:val="clear" w:color="auto" w:fill="FFFFFF"/>
              <w:jc w:val="both"/>
            </w:pPr>
          </w:p>
          <w:p w14:paraId="293813E5" w14:textId="77777777" w:rsidR="00343AA1" w:rsidRPr="003B626E" w:rsidRDefault="00343AA1" w:rsidP="00325941">
            <w:pPr>
              <w:jc w:val="both"/>
            </w:pPr>
            <w:r w:rsidRPr="003B626E">
              <w:t xml:space="preserve">* </w:t>
            </w:r>
            <w:r w:rsidRPr="003B626E">
              <w:rPr>
                <w:i/>
              </w:rPr>
              <w:t>Tiekėjas gali siūlyti vieną asmenį kelioms pozicijoms, jei šis asmuo atitinka visus skirtingoms pozicijoms keliamus reikalavimus.</w:t>
            </w:r>
          </w:p>
          <w:p w14:paraId="67600DFB" w14:textId="77777777" w:rsidR="00343AA1" w:rsidRPr="003B626E" w:rsidRDefault="00343AA1" w:rsidP="00325941">
            <w:pPr>
              <w:widowControl w:val="0"/>
              <w:tabs>
                <w:tab w:val="left" w:pos="1418"/>
              </w:tabs>
              <w:autoSpaceDE w:val="0"/>
              <w:adjustRightInd w:val="0"/>
              <w:jc w:val="both"/>
              <w:rPr>
                <w:i/>
              </w:rPr>
            </w:pPr>
            <w:r w:rsidRPr="003B626E">
              <w:rPr>
                <w:b/>
                <w:i/>
              </w:rPr>
              <w:t xml:space="preserve">** </w:t>
            </w:r>
            <w:r w:rsidRPr="003B626E">
              <w:rPr>
                <w:i/>
              </w:rPr>
              <w:t>Tiekėjo specialistų atestatai atitiks reikalavimus, jei jie apims daugiau statinių grupių ar pogrupių nei reikalaujama.</w:t>
            </w:r>
          </w:p>
          <w:p w14:paraId="6B05558F" w14:textId="77777777" w:rsidR="00343AA1" w:rsidRPr="003B626E" w:rsidRDefault="00343AA1" w:rsidP="00325941">
            <w:pPr>
              <w:widowControl w:val="0"/>
              <w:tabs>
                <w:tab w:val="left" w:pos="1418"/>
              </w:tabs>
              <w:autoSpaceDE w:val="0"/>
              <w:adjustRightInd w:val="0"/>
              <w:jc w:val="both"/>
            </w:pPr>
          </w:p>
          <w:p w14:paraId="46B0470F"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73A2EAE1"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 xml:space="preserve">Tiekėjas gali remtis kitų ūkio subjektų pajėgumais tik tuo atveju, jeigu tie </w:t>
            </w:r>
            <w:r w:rsidRPr="003B626E">
              <w:rPr>
                <w:i/>
                <w:color w:val="000000"/>
                <w:kern w:val="2"/>
                <w14:ligatures w14:val="standardContextual"/>
              </w:rPr>
              <w:lastRenderedPageBreak/>
              <w:t>subjektai (jų darbuotojai) patys vykdys tą pirkimo sutarties dalį, kuriai reikia jų turimų pajėgumų;</w:t>
            </w:r>
          </w:p>
          <w:p w14:paraId="4C19B12C"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557" w:type="dxa"/>
          </w:tcPr>
          <w:p w14:paraId="10AED35B" w14:textId="77777777" w:rsidR="00343AA1" w:rsidRPr="003B626E" w:rsidRDefault="00343AA1" w:rsidP="00325941">
            <w:pPr>
              <w:jc w:val="both"/>
              <w:rPr>
                <w:bCs/>
              </w:rPr>
            </w:pPr>
            <w:r w:rsidRPr="003B626E">
              <w:rPr>
                <w:bCs/>
              </w:rPr>
              <w:lastRenderedPageBreak/>
              <w:t>Pateikiama:</w:t>
            </w:r>
          </w:p>
          <w:p w14:paraId="1DEF12E4" w14:textId="77777777" w:rsidR="00343AA1" w:rsidRPr="003B626E" w:rsidRDefault="00343AA1" w:rsidP="00325941">
            <w:pPr>
              <w:jc w:val="both"/>
              <w:rPr>
                <w:bCs/>
              </w:rPr>
            </w:pPr>
          </w:p>
          <w:p w14:paraId="77B47D95" w14:textId="3E582E8F" w:rsidR="00343AA1" w:rsidRPr="003B626E" w:rsidRDefault="00343AA1" w:rsidP="00325941">
            <w:pPr>
              <w:jc w:val="both"/>
              <w:rPr>
                <w:b/>
              </w:rPr>
            </w:pPr>
            <w:r w:rsidRPr="003B626E">
              <w:rPr>
                <w:bCs/>
              </w:rPr>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00E949A0"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3 punkte nurodytus reikalavimus), pareigos, vykdant pirkimo sutartį, dabartinė darbovietė, kvalifikacijos atestato / teisės pripažinimo pažymos / pažymėjimo numeris, išdavimo data, galiojimo laikas, išdavusios institucijos pavadinimas.  </w:t>
            </w:r>
          </w:p>
          <w:p w14:paraId="6242A547" w14:textId="77777777" w:rsidR="00343AA1" w:rsidRPr="003B626E" w:rsidRDefault="00343AA1" w:rsidP="00325941">
            <w:pPr>
              <w:jc w:val="both"/>
              <w:rPr>
                <w:b/>
                <w:bCs/>
              </w:rPr>
            </w:pPr>
          </w:p>
          <w:p w14:paraId="31CB8111" w14:textId="77777777" w:rsidR="00343AA1" w:rsidRPr="003B626E" w:rsidRDefault="00343AA1" w:rsidP="00325941">
            <w:pPr>
              <w:jc w:val="both"/>
            </w:pPr>
            <w:r w:rsidRPr="003B626E">
              <w:t xml:space="preserve">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w:t>
            </w:r>
            <w:r w:rsidRPr="003B626E">
              <w:lastRenderedPageBreak/>
              <w:t>patvirtinantys turimą kvalifikaciją kilmės šalyje.</w:t>
            </w:r>
          </w:p>
          <w:p w14:paraId="67232EB5" w14:textId="77777777" w:rsidR="00343AA1" w:rsidRPr="003B626E" w:rsidRDefault="00343AA1" w:rsidP="00325941">
            <w:pPr>
              <w:jc w:val="both"/>
            </w:pPr>
          </w:p>
          <w:p w14:paraId="4BC3C52C" w14:textId="77777777" w:rsidR="00343AA1" w:rsidRPr="003B626E" w:rsidRDefault="00343AA1" w:rsidP="00325941">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307006A5" w14:textId="77777777" w:rsidR="00343AA1" w:rsidRPr="003B626E" w:rsidRDefault="00343AA1" w:rsidP="00325941">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Respublikos instituciją (VšĮ „Statybos sektoriaus vystymo agentūra“, Lietuvos architektų rūmai) dėl teisės pripažinimo dokumento išdavimo. </w:t>
            </w:r>
          </w:p>
          <w:p w14:paraId="54BBC3BA" w14:textId="77777777" w:rsidR="00343AA1" w:rsidRPr="003B626E" w:rsidRDefault="00343AA1" w:rsidP="00325941">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4250A3F7" w14:textId="77777777" w:rsidR="00343AA1" w:rsidRPr="003B626E" w:rsidRDefault="00343AA1" w:rsidP="00325941">
            <w:pPr>
              <w:jc w:val="both"/>
            </w:pPr>
            <w:r w:rsidRPr="003B626E">
              <w:t>Užsienio šalių specialistai iki pirkimo sutarties pasirašymo turi gauti ir pateikti Statybos įstatymo nustatyta tvarka išduotą teisės pripažinimo dokumentą.</w:t>
            </w:r>
          </w:p>
          <w:p w14:paraId="2AAF1C10" w14:textId="77777777" w:rsidR="00343AA1" w:rsidRPr="003B626E" w:rsidRDefault="00343AA1" w:rsidP="00325941">
            <w:pPr>
              <w:widowControl w:val="0"/>
              <w:jc w:val="both"/>
              <w:rPr>
                <w:bCs/>
              </w:rPr>
            </w:pPr>
          </w:p>
          <w:p w14:paraId="1AD469C8" w14:textId="77777777" w:rsidR="00343AA1" w:rsidRPr="003B626E" w:rsidRDefault="00343AA1" w:rsidP="00325941">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C66BEB">
      <w:pPr>
        <w:ind w:left="1842"/>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797B5F31" w14:textId="77777777" w:rsidR="00183193" w:rsidRDefault="00183193" w:rsidP="00183193">
            <w:pPr>
              <w:tabs>
                <w:tab w:val="left" w:pos="993"/>
              </w:tabs>
              <w:jc w:val="both"/>
            </w:pPr>
            <w:r>
              <w:t xml:space="preserve">Tiekėjas* turi būti įdiegęs ir taikyti atliekamų statybos darbų apimtyje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0CFFCD12" w14:textId="77777777" w:rsidR="00183193" w:rsidRDefault="00183193" w:rsidP="00183193">
            <w:pPr>
              <w:tabs>
                <w:tab w:val="left" w:pos="993"/>
              </w:tabs>
              <w:jc w:val="both"/>
            </w:pPr>
          </w:p>
          <w:p w14:paraId="4C6ADF2A" w14:textId="77777777" w:rsidR="00183193" w:rsidRDefault="00183193" w:rsidP="00183193">
            <w:pPr>
              <w:tabs>
                <w:tab w:val="left" w:pos="993"/>
              </w:tabs>
              <w:jc w:val="both"/>
            </w:pPr>
            <w:r>
              <w:t>*Pastaba:</w:t>
            </w:r>
          </w:p>
          <w:p w14:paraId="41BF0249" w14:textId="3B002DDE" w:rsidR="00183193" w:rsidRDefault="00183193" w:rsidP="00183193">
            <w:pPr>
              <w:tabs>
                <w:tab w:val="left" w:pos="993"/>
              </w:tabs>
              <w:jc w:val="both"/>
            </w:pPr>
            <w:r>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14:paraId="194230B9" w14:textId="77777777" w:rsidR="00183193" w:rsidRDefault="00183193" w:rsidP="002C5AD4">
            <w:pPr>
              <w:tabs>
                <w:tab w:val="left" w:pos="993"/>
              </w:tabs>
              <w:jc w:val="both"/>
            </w:pPr>
          </w:p>
          <w:p w14:paraId="6715D787" w14:textId="410109C3" w:rsidR="002C5AD4" w:rsidRPr="00B62242" w:rsidRDefault="002C5AD4" w:rsidP="00183193">
            <w:pPr>
              <w:pStyle w:val="ListParagraph"/>
              <w:shd w:val="clear" w:color="auto" w:fill="FFFFFF" w:themeFill="background1"/>
              <w:ind w:left="180"/>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t>Pateikiama:</w:t>
            </w:r>
            <w:r w:rsidRPr="00A828A1">
              <w:t xml:space="preserve"> </w:t>
            </w:r>
          </w:p>
          <w:p w14:paraId="3F4DA82A" w14:textId="77777777" w:rsidR="00183193" w:rsidRDefault="00183193" w:rsidP="00183193">
            <w:pPr>
              <w:jc w:val="both"/>
            </w:pPr>
            <w:r>
              <w:t xml:space="preserve">Nepriklausomos įstaigos išduotas galiojantis </w:t>
            </w:r>
          </w:p>
          <w:p w14:paraId="213916D8" w14:textId="77777777" w:rsidR="00183193" w:rsidRDefault="00183193" w:rsidP="00183193">
            <w:pPr>
              <w:jc w:val="both"/>
            </w:pPr>
            <w:r>
              <w:t>EMAS arba LST EN ISO 14001 sertifikatas, patvirtinantis, kad tiekėjas laikosi reikalaujamos aplinkos apsaugos vadybos sistemos standartų, skaitmeninė kopija.</w:t>
            </w:r>
          </w:p>
          <w:p w14:paraId="262E302A" w14:textId="77777777" w:rsidR="00183193" w:rsidRDefault="00183193" w:rsidP="00183193">
            <w:pPr>
              <w:jc w:val="both"/>
            </w:pPr>
          </w:p>
          <w:p w14:paraId="54FA90FA" w14:textId="77777777" w:rsidR="00183193" w:rsidRDefault="00183193" w:rsidP="00183193">
            <w:pPr>
              <w:jc w:val="both"/>
            </w:pPr>
            <w:r>
              <w:t xml:space="preserve">Perkančioji organizacija pripažįsta lygiaverčius sertifikatus, išduotus kitose valstybėse narėse įsteigtų nepriklausomų įstaigų. </w:t>
            </w:r>
          </w:p>
          <w:p w14:paraId="2B9898DE" w14:textId="77777777" w:rsidR="00183193" w:rsidRDefault="00183193" w:rsidP="00183193">
            <w:pPr>
              <w:jc w:val="both"/>
            </w:pPr>
          </w:p>
          <w:p w14:paraId="182D5285" w14:textId="77777777" w:rsidR="00183193" w:rsidRDefault="00183193" w:rsidP="00183193">
            <w:pPr>
              <w:jc w:val="both"/>
            </w:pPr>
            <w:r>
              <w:t>Perkančioji organizacija taip pat priima ir kitus tiekėjo lygiaverčių aplinkos apsaugos vadybos užtikrinimo priemonių įrodymus, kurie patvirtintų, kad jo siūlomos aplinkos apsaugos vadybos užtikrinimo priemonės atitinka reikalaujamus aplinkos apsaugos vadybos sistemos standartus, tik jeigu tiekėjas įrodo, kad dėl nuo jo nepriklausančių objektyvių priežasčių negali pateikti sertifikatų per nustatytą laiką.</w:t>
            </w:r>
          </w:p>
          <w:p w14:paraId="1DC371F0" w14:textId="77777777" w:rsidR="00183193" w:rsidRDefault="00183193" w:rsidP="00183193">
            <w:pPr>
              <w:jc w:val="both"/>
            </w:pPr>
          </w:p>
          <w:p w14:paraId="44678E4E" w14:textId="660BC99F" w:rsidR="002C5AD4" w:rsidRPr="00183193" w:rsidRDefault="00183193" w:rsidP="002C5AD4">
            <w:pPr>
              <w:jc w:val="both"/>
            </w:pPr>
            <w: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Pr>
          <w:lang w:eastAsia="lt-LT"/>
        </w:rPr>
        <w:lastRenderedPageBreak/>
        <w:t>paraiškų arba pasiūlymų pateikimo datos</w:t>
      </w:r>
      <w:r>
        <w:rPr>
          <w:vertAlign w:val="superscript"/>
          <w:lang w:eastAsia="lt-LT"/>
        </w:rPr>
        <w:footnoteReference w:id="3"/>
      </w:r>
      <w:r>
        <w:rPr>
          <w:lang w:eastAsia="lt-LT"/>
        </w:rPr>
        <w:t>.</w:t>
      </w:r>
    </w:p>
    <w:p w14:paraId="065B2A0A" w14:textId="2988523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w:t>
      </w:r>
      <w:r w:rsidR="003C2061">
        <w:rPr>
          <w:rFonts w:eastAsia="Calibri"/>
          <w:b/>
          <w:bCs/>
          <w:szCs w:val="20"/>
        </w:rPr>
        <w:t xml:space="preserve">preliminariąją </w:t>
      </w:r>
      <w:r w:rsidRPr="00714C0C">
        <w:rPr>
          <w:rFonts w:eastAsia="Calibri"/>
          <w:b/>
          <w:bCs/>
          <w:szCs w:val="20"/>
        </w:rPr>
        <w:t>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78622DA8"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C2061">
        <w:t>preliminariosios</w:t>
      </w:r>
      <w:r w:rsidR="003866D6" w:rsidRPr="00CF46E6">
        <w:t xml:space="preserve"> </w:t>
      </w:r>
      <w:r w:rsidRPr="00CF46E6">
        <w:t xml:space="preserve">sutarties sudarymo. Pasiūlymų eilė nustatoma ekonominio naudingumo </w:t>
      </w:r>
      <w:r w:rsidRPr="00E46903">
        <w:t xml:space="preserve">mažėjimo tvarka. Jeigu kelių pateiktų pasiūlymų ekonominis </w:t>
      </w:r>
      <w:r w:rsidRPr="00E46903">
        <w:lastRenderedPageBreak/>
        <w:t>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191DFA6D"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xml:space="preserve">, kurio pasiūlymas nustatytas laimėjusiu, sudaryti </w:t>
      </w:r>
      <w:r w:rsidR="003C2061">
        <w:rPr>
          <w:rFonts w:eastAsia="Calibri"/>
          <w:bCs/>
        </w:rPr>
        <w:t>preliminariąją</w:t>
      </w:r>
      <w:r w:rsidR="00495112" w:rsidRPr="00E46903">
        <w:rPr>
          <w:rFonts w:eastAsia="Calibri"/>
          <w:bCs/>
        </w:rPr>
        <w:t xml:space="preserve"> </w:t>
      </w:r>
      <w:r w:rsidRPr="00E46903">
        <w:rPr>
          <w:rFonts w:eastAsia="Calibri"/>
          <w:bCs/>
        </w:rPr>
        <w:t>sutart</w:t>
      </w:r>
      <w:r w:rsidR="003C2061">
        <w:rPr>
          <w:rFonts w:eastAsia="Calibri"/>
          <w:bCs/>
        </w:rPr>
        <w:t>į</w:t>
      </w:r>
      <w:r w:rsidR="00DF4596" w:rsidRPr="00E46903">
        <w:rPr>
          <w:rFonts w:eastAsia="Calibri"/>
          <w:bCs/>
        </w:rPr>
        <w:t xml:space="preserve"> </w:t>
      </w:r>
      <w:r w:rsidRPr="00E46903">
        <w:rPr>
          <w:rFonts w:eastAsia="Calibri"/>
          <w:bCs/>
        </w:rPr>
        <w:t xml:space="preserve">kviečiamas raštu ir jam nurodomas laikas, iki kada jis turi sudaryti </w:t>
      </w:r>
      <w:r w:rsidR="003C2061">
        <w:rPr>
          <w:rFonts w:eastAsia="Calibri"/>
          <w:bCs/>
        </w:rPr>
        <w:t>preliminariąją</w:t>
      </w:r>
      <w:r w:rsidRPr="00E46903">
        <w:rPr>
          <w:rFonts w:eastAsia="Calibri"/>
          <w:bCs/>
        </w:rPr>
        <w:t xml:space="preserve"> sutartį.</w:t>
      </w:r>
    </w:p>
    <w:p w14:paraId="335F8CF2" w14:textId="05A87CCE"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 </w:t>
      </w:r>
      <w:r w:rsidR="003C2061">
        <w:t>preliminariąją</w:t>
      </w:r>
      <w:r w:rsidR="00495112">
        <w:t xml:space="preserve"> </w:t>
      </w:r>
      <w:r w:rsidRPr="00D8789F">
        <w:t xml:space="preserve">sutartį, raštu atsisako ją sudaryti arba iki </w:t>
      </w:r>
      <w:r w:rsidR="00346C63">
        <w:t>perkančiojo subjekto</w:t>
      </w:r>
      <w:r w:rsidRPr="00D8789F">
        <w:t xml:space="preserve"> nurodyto laiko nepasirašo </w:t>
      </w:r>
      <w:r w:rsidR="003C2061">
        <w:t>preliminariosios</w:t>
      </w:r>
      <w:r w:rsidRPr="00D8789F">
        <w:t xml:space="preserve"> sutarties, arba atsisako sudaryti </w:t>
      </w:r>
      <w:r w:rsidR="003C2061">
        <w:t>preliminariąją</w:t>
      </w:r>
      <w:r w:rsidRPr="00D8789F">
        <w:t xml:space="preserve"> sutartį </w:t>
      </w:r>
      <w:r w:rsidR="005723B5">
        <w:t>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3C2061">
        <w:rPr>
          <w:rFonts w:eastAsia="Calibri"/>
        </w:rPr>
        <w:t>preliminariąją</w:t>
      </w:r>
      <w:r w:rsidRPr="008214A9">
        <w:rPr>
          <w:rFonts w:eastAsia="Calibri"/>
        </w:rPr>
        <w:t xml:space="preserve">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w:t>
      </w:r>
      <w:r w:rsidR="003C2061">
        <w:t>preliminariojoje</w:t>
      </w:r>
      <w:r w:rsidR="00A64159">
        <w:t xml:space="preserve">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w:t>
      </w:r>
      <w:r w:rsidR="003C2061">
        <w:rPr>
          <w:rFonts w:eastAsia="Calibri"/>
        </w:rPr>
        <w:t>preliminariają</w:t>
      </w:r>
      <w:r w:rsidRPr="008214A9">
        <w:rPr>
          <w:rFonts w:eastAsia="Calibri"/>
        </w:rPr>
        <w:t xml:space="preserve"> sutartį tiekėjui, kurio pasiūlymas pagal nustatytą pasiūlymų eilę yra pirmas po tiekėjo, atsisakiusio sudaryti </w:t>
      </w:r>
      <w:r w:rsidR="003C2061">
        <w:rPr>
          <w:rFonts w:eastAsia="Calibri"/>
        </w:rPr>
        <w:t>preliminariąją</w:t>
      </w:r>
      <w:r w:rsidRPr="008214A9">
        <w:rPr>
          <w:rFonts w:eastAsia="Calibri"/>
        </w:rPr>
        <w:t xml:space="preserve"> sutartį, </w:t>
      </w:r>
      <w:r w:rsidR="00A64159" w:rsidRPr="008214A9">
        <w:rPr>
          <w:rFonts w:eastAsia="Calibri"/>
        </w:rPr>
        <w:t xml:space="preserve">nepateikusio </w:t>
      </w:r>
      <w:r w:rsidR="003C2061">
        <w:rPr>
          <w:rFonts w:eastAsia="Calibri"/>
        </w:rPr>
        <w:t>preliminariosios</w:t>
      </w:r>
      <w:r w:rsidR="00A64159" w:rsidRPr="008214A9">
        <w:rPr>
          <w:rFonts w:eastAsia="Calibri"/>
        </w:rPr>
        <w:t xml:space="preserve">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4345CD1D"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w:t>
      </w:r>
      <w:r w:rsidR="00192821" w:rsidRPr="007876D4">
        <w:rPr>
          <w:color w:val="000000" w:themeColor="text1"/>
          <w:spacing w:val="-4"/>
        </w:rPr>
        <w:t>preliminariosios</w:t>
      </w:r>
      <w:r w:rsidR="00400E43" w:rsidRPr="007876D4">
        <w:rPr>
          <w:color w:val="000000" w:themeColor="text1"/>
          <w:spacing w:val="-4"/>
        </w:rPr>
        <w:t xml:space="preserve"> </w:t>
      </w:r>
      <w:r w:rsidR="002A2006" w:rsidRPr="007876D4">
        <w:rPr>
          <w:color w:val="000000" w:themeColor="text1"/>
          <w:spacing w:val="-4"/>
        </w:rPr>
        <w:t xml:space="preserve">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24A31EE7"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 xml:space="preserve">priimtą sprendimą nustatyti laimėjusį pasiūlymą, dėl kurio bus sudaroma pirkimo </w:t>
      </w:r>
      <w:r>
        <w:t xml:space="preserve">preliminarioji </w:t>
      </w:r>
      <w:r w:rsidRPr="00D569AB">
        <w:t>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priima sprendimą nesudaryti preliminariosios sutarties arba pradėti pirkimą iš naujo, dalyviams nurodo priežastis, dėl kurių buvo priimtas sprendimas nesudaryti preliminariosios sutarties arba pradėti pirkimą iš naujo. </w:t>
      </w:r>
    </w:p>
    <w:p w14:paraId="6B525038" w14:textId="77777777"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preliminariąją sutartį su tiekėju, kurio pasiūlymas bus pripažintas laimėjęs.</w:t>
      </w:r>
    </w:p>
    <w:p w14:paraId="2C33D9C1" w14:textId="22D7FDA3"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w:t>
      </w:r>
      <w:r w:rsidR="00192821">
        <w:t xml:space="preserve">preliminariąją </w:t>
      </w:r>
      <w:r w:rsidR="00192821" w:rsidRPr="005723B5">
        <w:t>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2A1DFBB8"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w:t>
      </w:r>
      <w:r w:rsidR="00192821">
        <w:rPr>
          <w:rFonts w:eastAsia="Arial"/>
        </w:rPr>
        <w:t xml:space="preserve">preliminariosios </w:t>
      </w:r>
      <w:r w:rsidRPr="00C00615">
        <w:rPr>
          <w:rFonts w:eastAsia="Arial"/>
        </w:rPr>
        <w:t xml:space="preserve">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79BA4C2A" w:rsidR="004B71ED" w:rsidRPr="002808DB" w:rsidRDefault="00192821" w:rsidP="000604B9">
      <w:pPr>
        <w:pStyle w:val="ListParagraph"/>
        <w:numPr>
          <w:ilvl w:val="0"/>
          <w:numId w:val="28"/>
        </w:numPr>
        <w:tabs>
          <w:tab w:val="left" w:pos="1134"/>
        </w:tabs>
        <w:autoSpaceDN/>
        <w:spacing w:before="120" w:after="120"/>
        <w:jc w:val="center"/>
        <w:textAlignment w:val="auto"/>
        <w:rPr>
          <w:b/>
          <w:lang w:eastAsia="lt-LT"/>
        </w:rPr>
      </w:pPr>
      <w:r>
        <w:rPr>
          <w:b/>
          <w:lang w:eastAsia="lt-LT"/>
        </w:rPr>
        <w:t>PRELIMINARIOSIOS</w:t>
      </w:r>
      <w:r w:rsidR="00087C15" w:rsidRPr="003A0A24">
        <w:rPr>
          <w:b/>
          <w:lang w:eastAsia="lt-LT"/>
        </w:rPr>
        <w:t xml:space="preserve"> SUTARTIES SĄLYGOS</w:t>
      </w:r>
    </w:p>
    <w:p w14:paraId="4B33A439" w14:textId="6E9862A8"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w:t>
      </w:r>
      <w:r w:rsidR="00192821">
        <w:t>preliminarioji</w:t>
      </w:r>
      <w:r w:rsidRPr="00E46903">
        <w:t xml:space="preserve"> sutartis atitinka laimėjusio tiekėjo pasiūlymą ir </w:t>
      </w:r>
      <w:r w:rsidR="00346C63">
        <w:t xml:space="preserve">perkančiojo </w:t>
      </w:r>
      <w:r w:rsidR="00346C63">
        <w:lastRenderedPageBreak/>
        <w:t>subjekto</w:t>
      </w:r>
      <w:r w:rsidRPr="00E46903">
        <w:t xml:space="preserve"> konkurso sąlygose nustatytus reikalavimus.</w:t>
      </w:r>
    </w:p>
    <w:p w14:paraId="49A3C214" w14:textId="77777777" w:rsidR="00192821" w:rsidRPr="00E43C3A" w:rsidRDefault="00192821" w:rsidP="000604B9">
      <w:pPr>
        <w:pStyle w:val="ListParagraph"/>
        <w:widowControl w:val="0"/>
        <w:numPr>
          <w:ilvl w:val="1"/>
          <w:numId w:val="28"/>
        </w:numPr>
        <w:autoSpaceDE w:val="0"/>
        <w:adjustRightInd w:val="0"/>
        <w:ind w:left="55" w:firstLine="512"/>
        <w:jc w:val="both"/>
        <w:rPr>
          <w:szCs w:val="20"/>
        </w:rPr>
      </w:pPr>
      <w:r>
        <w:t>Preliminarioji</w:t>
      </w:r>
      <w:r w:rsidR="00F05C6D" w:rsidRPr="00E46903">
        <w:t xml:space="preserve"> sutartis sudaroma nedelsiant, </w:t>
      </w:r>
      <w:r w:rsidRPr="00192821">
        <w:t>bet ne anksčiau negu pasibaigė atidėjimo terminas (5 darbo dienų laikotarpis nuo pranešimo apie sprendimą sudaryti preliminariąją sutartį išsiuntimo dienos). Atidėjimo terminas gali būti netaikomas, kai vienintelis suinteresuotas dalyvis yra tas</w:t>
      </w:r>
      <w:r w:rsidRPr="00E43C3A">
        <w:t>, su kuriuo sudaroma preliminarioji sutartis.</w:t>
      </w:r>
    </w:p>
    <w:p w14:paraId="531E117E" w14:textId="77777777"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preliminariąją sutartį, joje nedidinama laimėjusio tiekėjo pasiūlymo kaina, sąnaudos ir nekeičiam</w:t>
      </w:r>
      <w:r w:rsidRPr="00E43C3A">
        <w:rPr>
          <w:rFonts w:eastAsiaTheme="minorHAnsi" w:cstheme="minorHAnsi"/>
          <w:bCs/>
          <w:iCs/>
          <w:color w:val="000000" w:themeColor="text1"/>
        </w:rPr>
        <w:t>os kitos sąlygos.</w:t>
      </w:r>
    </w:p>
    <w:p w14:paraId="49EE7A98" w14:textId="13EED974"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Pagrindinės (-ių) sutarties (-ių) įvykdymo užtikrinimą (-us). Pagrindinės (-ių) sutarties (-ių) įvykdymo užtikrinimą (-us)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Pagrindinės (-ių) sutarties (ių) pasirašymo dienos. Sutarties įvykdymo užtikrinimo dydis – 5 proc. nuo pradinės Pagrindinės (-ių)  sutarties (-ių) vertės be PVM. </w:t>
      </w:r>
    </w:p>
    <w:p w14:paraId="3CF3A787" w14:textId="4FCEC1D2" w:rsidR="00192821" w:rsidRPr="00753B3C"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color w:val="000000" w:themeColor="text1"/>
        </w:rPr>
        <w:t>Preliminariosios sutarties sąlygos pateikiamos pirkimo sąlygų 4 priede „Preliminariosios sutarties</w:t>
      </w:r>
      <w:r w:rsidRPr="00753B3C">
        <w:rPr>
          <w:rFonts w:eastAsiaTheme="minorHAnsi" w:cstheme="minorHAnsi"/>
          <w:bCs/>
          <w:iCs/>
          <w:color w:val="000000" w:themeColor="text1"/>
        </w:rPr>
        <w:t xml:space="preserve"> projektas“. Preliminariosios sutarties įvykdymas užtikrinamas netesybomis (bauda). Baudos dydis 5 proc. </w:t>
      </w:r>
      <w:r w:rsidRPr="00753B3C">
        <w:rPr>
          <w:color w:val="000000" w:themeColor="text1"/>
          <w:lang w:eastAsia="lt-LT"/>
        </w:rPr>
        <w:t>nuo pradinės preliminariosios sutarties kainos be PVM.</w:t>
      </w:r>
    </w:p>
    <w:p w14:paraId="48090949" w14:textId="72553219" w:rsidR="000E13B7" w:rsidRPr="00753B3C" w:rsidRDefault="004C5CAA" w:rsidP="00BA7301">
      <w:pPr>
        <w:autoSpaceDN/>
        <w:ind w:left="3240"/>
        <w:textAlignment w:val="auto"/>
        <w:rPr>
          <w:color w:val="000000" w:themeColor="text1"/>
          <w:lang w:eastAsia="lt-LT"/>
        </w:rPr>
      </w:pPr>
      <w:r w:rsidRPr="00753B3C">
        <w:rPr>
          <w:color w:val="000000" w:themeColor="text1"/>
          <w:lang w:eastAsia="lt-LT"/>
        </w:rPr>
        <w:t>_________________________</w:t>
      </w:r>
    </w:p>
    <w:p w14:paraId="15F1EBDF" w14:textId="77777777" w:rsidR="00C53F30" w:rsidRDefault="00C53F30" w:rsidP="00372826">
      <w:pPr>
        <w:pStyle w:val="Tvarkostekstas"/>
        <w:numPr>
          <w:ilvl w:val="0"/>
          <w:numId w:val="0"/>
        </w:numPr>
        <w:spacing w:after="240"/>
        <w:rPr>
          <w:bCs/>
        </w:rPr>
      </w:pP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30FEFB67" w14:textId="77777777" w:rsidR="00540946" w:rsidRDefault="00540946" w:rsidP="00372826">
      <w:pPr>
        <w:pStyle w:val="Tvarkostekstas"/>
        <w:numPr>
          <w:ilvl w:val="0"/>
          <w:numId w:val="0"/>
        </w:numPr>
        <w:spacing w:after="240"/>
        <w:rPr>
          <w:bCs/>
        </w:rPr>
      </w:pPr>
    </w:p>
    <w:sectPr w:rsidR="00540946" w:rsidSect="00CB7EE3">
      <w:footerReference w:type="default" r:id="rId1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56A0" w14:textId="77777777" w:rsidR="00003426" w:rsidRDefault="00003426">
      <w:r>
        <w:separator/>
      </w:r>
    </w:p>
  </w:endnote>
  <w:endnote w:type="continuationSeparator" w:id="0">
    <w:p w14:paraId="3FA6089C" w14:textId="77777777" w:rsidR="00003426" w:rsidRDefault="0000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5720" w14:textId="77777777" w:rsidR="00003426" w:rsidRDefault="00003426">
      <w:r>
        <w:rPr>
          <w:color w:val="000000"/>
        </w:rPr>
        <w:separator/>
      </w:r>
    </w:p>
  </w:footnote>
  <w:footnote w:type="continuationSeparator" w:id="0">
    <w:p w14:paraId="37357C2B" w14:textId="77777777" w:rsidR="00003426" w:rsidRDefault="00003426">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1147"/>
    <w:rsid w:val="001C2159"/>
    <w:rsid w:val="001C2321"/>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23C"/>
    <w:rsid w:val="002B367F"/>
    <w:rsid w:val="002B3C9F"/>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3DC"/>
    <w:rsid w:val="003464E1"/>
    <w:rsid w:val="003468B4"/>
    <w:rsid w:val="00346A88"/>
    <w:rsid w:val="00346C63"/>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FBF"/>
    <w:rsid w:val="00461339"/>
    <w:rsid w:val="00461AA0"/>
    <w:rsid w:val="00461B6D"/>
    <w:rsid w:val="004623BA"/>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3786"/>
    <w:rsid w:val="006141DB"/>
    <w:rsid w:val="00614973"/>
    <w:rsid w:val="00614B11"/>
    <w:rsid w:val="00615551"/>
    <w:rsid w:val="00615668"/>
    <w:rsid w:val="00615904"/>
    <w:rsid w:val="006159FD"/>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856"/>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5D8"/>
    <w:rsid w:val="00B2195F"/>
    <w:rsid w:val="00B219BE"/>
    <w:rsid w:val="00B21CB6"/>
    <w:rsid w:val="00B2218E"/>
    <w:rsid w:val="00B22818"/>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F1D"/>
    <w:rsid w:val="00BA0F80"/>
    <w:rsid w:val="00BA1172"/>
    <w:rsid w:val="00BA11E9"/>
    <w:rsid w:val="00BA14B8"/>
    <w:rsid w:val="00BA14D7"/>
    <w:rsid w:val="00BA1545"/>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70C"/>
    <w:rsid w:val="00D15889"/>
    <w:rsid w:val="00D159A9"/>
    <w:rsid w:val="00D16013"/>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607"/>
    <w:rsid w:val="00DD5ACB"/>
    <w:rsid w:val="00DD6547"/>
    <w:rsid w:val="00DD6D94"/>
    <w:rsid w:val="00DD70A3"/>
    <w:rsid w:val="00DD7221"/>
    <w:rsid w:val="00DD77A4"/>
    <w:rsid w:val="00DD7A3D"/>
    <w:rsid w:val="00DE0F1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23</Pages>
  <Words>12517</Words>
  <Characters>71352</Characters>
  <Application>Microsoft Office Word</Application>
  <DocSecurity>0</DocSecurity>
  <Lines>594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83702</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15</cp:revision>
  <cp:lastPrinted>2025-03-25T09:47:00Z</cp:lastPrinted>
  <dcterms:created xsi:type="dcterms:W3CDTF">2025-04-02T07:10:00Z</dcterms:created>
  <dcterms:modified xsi:type="dcterms:W3CDTF">2025-07-09T06:53:00Z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