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78F2007B" w14:textId="23FE0239" w:rsidR="00504131" w:rsidRPr="002F2A78" w:rsidRDefault="00921806" w:rsidP="00773E6F">
      <w:pPr>
        <w:jc w:val="center"/>
        <w:rPr>
          <w:rFonts w:ascii="Times New Roman" w:eastAsia="Times New Roman" w:hAnsi="Times New Roman"/>
          <w:b/>
          <w:caps/>
          <w:color w:val="000000" w:themeColor="text1"/>
          <w:lang w:eastAsia="en-GB"/>
        </w:rPr>
      </w:pPr>
      <w:r w:rsidRPr="00921806">
        <w:rPr>
          <w:rFonts w:ascii="Times New Roman" w:eastAsia="Times New Roman" w:hAnsi="Times New Roman"/>
          <w:b/>
          <w:caps/>
          <w:color w:val="000000" w:themeColor="text1"/>
          <w:lang w:eastAsia="en-GB"/>
        </w:rPr>
        <w:t>,,Vandentiekio tinklo rekonstrukcija Kauno r. sav., Babtų sen., Jugintų k., Labūnavos g.“</w:t>
      </w: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66098658" w:rsidR="001C67F5" w:rsidRPr="00DA6FDE" w:rsidRDefault="00DA6FDE" w:rsidP="001C67F5">
            <w:pPr>
              <w:autoSpaceDE w:val="0"/>
              <w:adjustRightInd w:val="0"/>
              <w:spacing w:after="0" w:line="240" w:lineRule="auto"/>
              <w:rPr>
                <w:rFonts w:ascii="Times New Roman" w:hAnsi="Times New Roman"/>
                <w:b/>
                <w:bCs/>
                <w:lang w:val="fi-FI" w:eastAsia="en-GB"/>
              </w:rPr>
            </w:pPr>
            <w:r w:rsidRPr="00DA6FDE">
              <w:rPr>
                <w:rFonts w:ascii="Times New Roman" w:hAnsi="Times New Roman"/>
                <w:b/>
                <w:bCs/>
                <w:lang w:val="fi-FI" w:eastAsia="en-GB"/>
              </w:rPr>
              <w:t>Vandentiekio tinklo rekonstrukcija Kauno r. sav., Babtų sen., Jugintų k., Labūnavos g.</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284476A7" w:rsidR="000A2B64" w:rsidRPr="001C67F5" w:rsidRDefault="00D165E9" w:rsidP="000A2B64">
            <w:pPr>
              <w:autoSpaceDE w:val="0"/>
              <w:adjustRightInd w:val="0"/>
              <w:spacing w:after="0" w:line="240" w:lineRule="auto"/>
              <w:rPr>
                <w:rFonts w:ascii="Times New Roman" w:hAnsi="Times New Roman"/>
                <w:lang w:eastAsia="en-GB"/>
              </w:rPr>
            </w:pPr>
            <w:r>
              <w:rPr>
                <w:rFonts w:ascii="Times New Roman" w:hAnsi="Times New Roman"/>
                <w:lang w:eastAsia="en-GB"/>
              </w:rPr>
              <w:t>Vandentiekio tinklai</w:t>
            </w:r>
            <w:r w:rsidR="005F4077">
              <w:rPr>
                <w:rFonts w:ascii="Times New Roman" w:hAnsi="Times New Roman"/>
                <w:lang w:eastAsia="en-GB"/>
              </w:rPr>
              <w:t xml:space="preserve"> </w:t>
            </w:r>
            <w:r w:rsidR="00DA6FDE">
              <w:rPr>
                <w:rFonts w:ascii="Times New Roman" w:hAnsi="Times New Roman"/>
                <w:lang w:eastAsia="en-GB"/>
              </w:rPr>
              <w:t>Labūnavos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D33475"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D33475" w:rsidRPr="001C67F5" w:rsidRDefault="00D33475" w:rsidP="00D33475">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D33475" w:rsidRPr="001C67F5" w:rsidRDefault="00D33475" w:rsidP="00D33475">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D33475" w:rsidRPr="001C67F5" w:rsidRDefault="00D33475" w:rsidP="00D33475">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D33475" w:rsidRPr="001C67F5" w:rsidRDefault="00D33475" w:rsidP="00D3347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D33475" w:rsidRPr="001C67F5" w:rsidRDefault="00D33475" w:rsidP="00D3347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D33475" w:rsidRPr="001C67F5" w:rsidRDefault="00D33475" w:rsidP="00D33475">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436E42">
        <w:rPr>
          <w:b/>
          <w:bCs/>
          <w:iCs/>
          <w:sz w:val="22"/>
          <w:szCs w:val="22"/>
          <w:lang w:val="en-US"/>
        </w:rPr>
        <w:t>3</w:t>
      </w:r>
      <w:r w:rsidRPr="00436E42">
        <w:rPr>
          <w:b/>
          <w:bCs/>
          <w:iCs/>
          <w:sz w:val="22"/>
          <w:szCs w:val="22"/>
        </w:rPr>
        <w:t xml:space="preserve">. lentelė. </w:t>
      </w:r>
      <w:proofErr w:type="spellStart"/>
      <w:r w:rsidRPr="00436E42">
        <w:rPr>
          <w:b/>
          <w:sz w:val="22"/>
          <w:szCs w:val="22"/>
          <w:u w:val="single"/>
          <w:lang w:eastAsia="lt-LT"/>
        </w:rPr>
        <w:t>Pasiūlymo</w:t>
      </w:r>
      <w:proofErr w:type="spellEnd"/>
      <w:r w:rsidRPr="00436E42">
        <w:rPr>
          <w:b/>
          <w:sz w:val="22"/>
          <w:szCs w:val="22"/>
          <w:u w:val="single"/>
          <w:lang w:eastAsia="lt-LT"/>
        </w:rPr>
        <w:t xml:space="preserve"> </w:t>
      </w:r>
      <w:proofErr w:type="spellStart"/>
      <w:r w:rsidRPr="00436E42">
        <w:rPr>
          <w:b/>
          <w:sz w:val="22"/>
          <w:szCs w:val="22"/>
          <w:u w:val="single"/>
          <w:lang w:eastAsia="lt-LT"/>
        </w:rPr>
        <w:t>ekonominio</w:t>
      </w:r>
      <w:proofErr w:type="spellEnd"/>
      <w:r w:rsidRPr="00436E42">
        <w:rPr>
          <w:b/>
          <w:sz w:val="22"/>
          <w:szCs w:val="22"/>
          <w:u w:val="single"/>
          <w:lang w:eastAsia="lt-LT"/>
        </w:rPr>
        <w:t xml:space="preserve"> </w:t>
      </w:r>
      <w:proofErr w:type="spellStart"/>
      <w:r w:rsidRPr="00436E42">
        <w:rPr>
          <w:b/>
          <w:sz w:val="22"/>
          <w:szCs w:val="22"/>
          <w:u w:val="single"/>
          <w:lang w:eastAsia="lt-LT"/>
        </w:rPr>
        <w:t>naudingumo</w:t>
      </w:r>
      <w:proofErr w:type="spellEnd"/>
      <w:r w:rsidRPr="00436E42">
        <w:rPr>
          <w:b/>
          <w:sz w:val="22"/>
          <w:szCs w:val="22"/>
          <w:u w:val="single"/>
          <w:lang w:eastAsia="lt-LT"/>
        </w:rPr>
        <w:t xml:space="preserve"> </w:t>
      </w:r>
      <w:proofErr w:type="spellStart"/>
      <w:r w:rsidRPr="00436E42">
        <w:rPr>
          <w:b/>
          <w:sz w:val="22"/>
          <w:szCs w:val="22"/>
          <w:u w:val="single"/>
          <w:lang w:eastAsia="lt-LT"/>
        </w:rPr>
        <w:t>kriterijų</w:t>
      </w:r>
      <w:proofErr w:type="spellEnd"/>
      <w:r w:rsidRPr="00436E42">
        <w:rPr>
          <w:b/>
          <w:sz w:val="22"/>
          <w:szCs w:val="22"/>
          <w:u w:val="single"/>
          <w:lang w:eastAsia="lt-LT"/>
        </w:rPr>
        <w:t xml:space="preserve"> </w:t>
      </w:r>
      <w:proofErr w:type="spellStart"/>
      <w:r w:rsidRPr="00436E42">
        <w:rPr>
          <w:b/>
          <w:sz w:val="22"/>
          <w:szCs w:val="22"/>
          <w:u w:val="single"/>
          <w:lang w:eastAsia="lt-LT"/>
        </w:rPr>
        <w:t>reikšmės</w:t>
      </w:r>
      <w:proofErr w:type="spellEnd"/>
      <w:r w:rsidRPr="00436E42">
        <w:rPr>
          <w:b/>
          <w:sz w:val="22"/>
          <w:szCs w:val="22"/>
          <w:u w:val="single"/>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shd w:val="clear" w:color="auto" w:fill="auto"/>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proofErr w:type="spellStart"/>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roofErr w:type="spellEnd"/>
          </w:p>
        </w:tc>
        <w:tc>
          <w:tcPr>
            <w:tcW w:w="4110" w:type="dxa"/>
            <w:shd w:val="clear" w:color="auto" w:fill="auto"/>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shd w:val="clear" w:color="auto" w:fill="auto"/>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shd w:val="clear" w:color="auto" w:fill="auto"/>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proofErr w:type="spellStart"/>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roofErr w:type="spellEnd"/>
          </w:p>
        </w:tc>
        <w:tc>
          <w:tcPr>
            <w:tcW w:w="4110" w:type="dxa"/>
            <w:shd w:val="clear" w:color="auto" w:fill="auto"/>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shd w:val="clear" w:color="auto" w:fill="auto"/>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shd w:val="clear" w:color="auto" w:fill="auto"/>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proofErr w:type="spellStart"/>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roofErr w:type="spellEnd"/>
          </w:p>
        </w:tc>
        <w:tc>
          <w:tcPr>
            <w:tcW w:w="4110" w:type="dxa"/>
            <w:shd w:val="clear" w:color="auto" w:fill="auto"/>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proofErr w:type="spellStart"/>
            <w:r w:rsidRPr="00436E42">
              <w:rPr>
                <w:rFonts w:ascii="Times New Roman" w:hAnsi="Times New Roman"/>
                <w:b/>
                <w:bCs/>
                <w:bdr w:val="nil"/>
                <w:lang w:val="fi-FI" w:eastAsia="lt-LT"/>
              </w:rPr>
              <w:t>Ar</w:t>
            </w:r>
            <w:proofErr w:type="spellEnd"/>
            <w:r w:rsidRPr="00436E42">
              <w:rPr>
                <w:rFonts w:ascii="Times New Roman" w:hAnsi="Times New Roman"/>
                <w:b/>
                <w:bCs/>
                <w:bdr w:val="nil"/>
                <w:lang w:val="fi-FI" w:eastAsia="lt-LT"/>
              </w:rPr>
              <w:t xml:space="preserve"> </w:t>
            </w:r>
            <w:proofErr w:type="spellStart"/>
            <w:r w:rsidRPr="00436E42">
              <w:rPr>
                <w:rFonts w:ascii="Times New Roman" w:hAnsi="Times New Roman"/>
                <w:b/>
                <w:bCs/>
                <w:bdr w:val="nil"/>
                <w:lang w:val="fi-FI" w:eastAsia="lt-LT"/>
              </w:rPr>
              <w:t>tiekėjas</w:t>
            </w:r>
            <w:proofErr w:type="spellEnd"/>
            <w:r w:rsidRPr="00436E42">
              <w:rPr>
                <w:rFonts w:ascii="Times New Roman" w:hAnsi="Times New Roman"/>
                <w:b/>
                <w:bCs/>
                <w:bdr w:val="nil"/>
                <w:lang w:val="fi-FI" w:eastAsia="lt-LT"/>
              </w:rPr>
              <w:t xml:space="preserve"> </w:t>
            </w:r>
            <w:proofErr w:type="spellStart"/>
            <w:r w:rsidRPr="00436E42">
              <w:rPr>
                <w:rFonts w:ascii="Times New Roman" w:hAnsi="Times New Roman"/>
                <w:b/>
                <w:bCs/>
                <w:bdr w:val="nil"/>
                <w:lang w:val="fi-FI" w:eastAsia="lt-LT"/>
              </w:rPr>
              <w:t>taikys</w:t>
            </w:r>
            <w:proofErr w:type="spellEnd"/>
            <w:r w:rsidRPr="00436E42">
              <w:rPr>
                <w:rFonts w:ascii="Times New Roman" w:hAnsi="Times New Roman"/>
                <w:b/>
                <w:bCs/>
                <w:bdr w:val="nil"/>
                <w:lang w:val="fi-FI" w:eastAsia="lt-LT"/>
              </w:rPr>
              <w:t xml:space="preserve"> </w:t>
            </w:r>
            <w:proofErr w:type="spellStart"/>
            <w:r w:rsidRPr="00436E42">
              <w:rPr>
                <w:rFonts w:ascii="Times New Roman" w:hAnsi="Times New Roman"/>
                <w:b/>
                <w:bCs/>
                <w:bdr w:val="nil"/>
                <w:lang w:val="fi-FI" w:eastAsia="lt-LT"/>
              </w:rPr>
              <w:t>darbo</w:t>
            </w:r>
            <w:proofErr w:type="spellEnd"/>
            <w:r w:rsidRPr="00436E42">
              <w:rPr>
                <w:rFonts w:ascii="Times New Roman" w:hAnsi="Times New Roman"/>
                <w:b/>
                <w:bCs/>
                <w:bdr w:val="nil"/>
                <w:lang w:val="fi-FI" w:eastAsia="lt-LT"/>
              </w:rPr>
              <w:t xml:space="preserve"> </w:t>
            </w:r>
            <w:proofErr w:type="spellStart"/>
            <w:r w:rsidRPr="00436E42">
              <w:rPr>
                <w:rFonts w:ascii="Times New Roman" w:hAnsi="Times New Roman"/>
                <w:b/>
                <w:bCs/>
                <w:bdr w:val="nil"/>
                <w:lang w:val="fi-FI" w:eastAsia="lt-LT"/>
              </w:rPr>
              <w:t>laiko</w:t>
            </w:r>
            <w:proofErr w:type="spellEnd"/>
            <w:r w:rsidRPr="00436E42">
              <w:rPr>
                <w:rFonts w:ascii="Times New Roman" w:hAnsi="Times New Roman"/>
                <w:b/>
                <w:bCs/>
                <w:bdr w:val="nil"/>
                <w:lang w:val="fi-FI" w:eastAsia="lt-LT"/>
              </w:rPr>
              <w:t xml:space="preserve"> </w:t>
            </w:r>
            <w:proofErr w:type="spellStart"/>
            <w:r w:rsidRPr="00436E42">
              <w:rPr>
                <w:rFonts w:ascii="Times New Roman" w:hAnsi="Times New Roman"/>
                <w:b/>
                <w:bCs/>
                <w:bdr w:val="nil"/>
                <w:lang w:val="fi-FI" w:eastAsia="lt-LT"/>
              </w:rPr>
              <w:t>apskaitos</w:t>
            </w:r>
            <w:proofErr w:type="spellEnd"/>
            <w:r w:rsidRPr="00436E42">
              <w:rPr>
                <w:rFonts w:ascii="Times New Roman" w:hAnsi="Times New Roman"/>
                <w:b/>
                <w:bCs/>
                <w:bdr w:val="nil"/>
                <w:lang w:val="fi-FI" w:eastAsia="lt-LT"/>
              </w:rPr>
              <w:t xml:space="preserve"> </w:t>
            </w:r>
            <w:proofErr w:type="spellStart"/>
            <w:r w:rsidRPr="00436E42">
              <w:rPr>
                <w:rFonts w:ascii="Times New Roman" w:hAnsi="Times New Roman"/>
                <w:b/>
                <w:bCs/>
                <w:bdr w:val="nil"/>
                <w:lang w:val="fi-FI" w:eastAsia="lt-LT"/>
              </w:rPr>
              <w:t>sitemą</w:t>
            </w:r>
            <w:proofErr w:type="spellEnd"/>
            <w:r w:rsidRPr="00436E42">
              <w:rPr>
                <w:rFonts w:ascii="Times New Roman" w:hAnsi="Times New Roman"/>
                <w:b/>
                <w:bCs/>
                <w:bdr w:val="nil"/>
                <w:lang w:val="fi-FI" w:eastAsia="lt-LT"/>
              </w:rPr>
              <w:t xml:space="preserve"> </w:t>
            </w:r>
            <w:proofErr w:type="spellStart"/>
            <w:r w:rsidRPr="00436E42">
              <w:rPr>
                <w:rFonts w:ascii="Times New Roman" w:hAnsi="Times New Roman"/>
                <w:b/>
                <w:bCs/>
                <w:bdr w:val="nil"/>
                <w:lang w:val="fi-FI" w:eastAsia="lt-LT"/>
              </w:rPr>
              <w:t>statybvietėje</w:t>
            </w:r>
            <w:proofErr w:type="spellEnd"/>
            <w:r w:rsidRPr="00436E42">
              <w:rPr>
                <w:rFonts w:ascii="Times New Roman" w:eastAsia="Arial Unicode MS" w:hAnsi="Times New Roman"/>
                <w:b/>
                <w:bdr w:val="nil"/>
                <w:lang w:bidi="ta-IN"/>
              </w:rPr>
              <w:t>?</w:t>
            </w:r>
          </w:p>
        </w:tc>
        <w:tc>
          <w:tcPr>
            <w:tcW w:w="4253" w:type="dxa"/>
            <w:shd w:val="clear" w:color="auto" w:fill="auto"/>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436E42">
        <w:rPr>
          <w:rFonts w:ascii="Times New Roman" w:hAnsi="Times New Roman"/>
          <w:b/>
          <w:bCs/>
          <w:lang w:val="en-U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436E42">
        <w:rPr>
          <w:rFonts w:ascii="Times New Roman" w:eastAsia="Times New Roman" w:hAnsi="Times New Roman"/>
          <w:lang w:val="en-US"/>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436E42">
        <w:rPr>
          <w:rFonts w:ascii="Times New Roman" w:eastAsia="Times New Roman" w:hAnsi="Times New Roman"/>
        </w:rPr>
        <w:t>ais</w:t>
      </w:r>
      <w:proofErr w:type="spellEnd"/>
      <w:r w:rsidRPr="00436E42">
        <w:rPr>
          <w:rFonts w:ascii="Times New Roman" w:eastAsia="Times New Roman" w:hAnsi="Times New Roman"/>
        </w:rPr>
        <w:t>) dokumentu (-</w:t>
      </w:r>
      <w:proofErr w:type="spellStart"/>
      <w:r w:rsidRPr="00436E42">
        <w:rPr>
          <w:rFonts w:ascii="Times New Roman" w:eastAsia="Times New Roman" w:hAnsi="Times New Roman"/>
        </w:rPr>
        <w:t>ais</w:t>
      </w:r>
      <w:proofErr w:type="spellEnd"/>
      <w:r w:rsidRPr="00436E42">
        <w:rPr>
          <w:rFonts w:ascii="Times New Roman" w:eastAsia="Times New Roman" w:hAnsi="Times New Roman"/>
        </w:rPr>
        <w:t>).</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FA72" w14:textId="77777777" w:rsidR="000021F5" w:rsidRDefault="000021F5">
      <w:pPr>
        <w:spacing w:after="0" w:line="240" w:lineRule="auto"/>
      </w:pPr>
      <w:r>
        <w:separator/>
      </w:r>
    </w:p>
  </w:endnote>
  <w:endnote w:type="continuationSeparator" w:id="0">
    <w:p w14:paraId="4F8F1A3C" w14:textId="77777777" w:rsidR="000021F5" w:rsidRDefault="00002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0343" w14:textId="77777777" w:rsidR="000021F5" w:rsidRDefault="000021F5">
      <w:pPr>
        <w:spacing w:after="0" w:line="240" w:lineRule="auto"/>
      </w:pPr>
      <w:r>
        <w:separator/>
      </w:r>
    </w:p>
  </w:footnote>
  <w:footnote w:type="continuationSeparator" w:id="0">
    <w:p w14:paraId="400BE256" w14:textId="77777777" w:rsidR="000021F5" w:rsidRDefault="000021F5">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1"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2"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0"/>
  </w:num>
  <w:num w:numId="11" w16cid:durableId="1117486369">
    <w:abstractNumId w:val="13"/>
  </w:num>
  <w:num w:numId="12" w16cid:durableId="898200787">
    <w:abstractNumId w:val="1"/>
  </w:num>
  <w:num w:numId="13" w16cid:durableId="502668573">
    <w:abstractNumId w:val="14"/>
  </w:num>
  <w:num w:numId="14" w16cid:durableId="1953245888">
    <w:abstractNumId w:val="15"/>
  </w:num>
  <w:num w:numId="15" w16cid:durableId="54193768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16237"/>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18D3"/>
    <w:rsid w:val="003E4FA2"/>
    <w:rsid w:val="003E59A2"/>
    <w:rsid w:val="003F08A1"/>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C308E"/>
    <w:rsid w:val="005D083B"/>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73E6F"/>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54FA"/>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840</Words>
  <Characters>4794</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Giedre Subaciute</cp:lastModifiedBy>
  <cp:revision>5</cp:revision>
  <cp:lastPrinted>2022-05-06T07:33:00Z</cp:lastPrinted>
  <dcterms:created xsi:type="dcterms:W3CDTF">2025-03-30T14:58:00Z</dcterms:created>
  <dcterms:modified xsi:type="dcterms:W3CDTF">2025-03-31T11:48:00Z</dcterms:modified>
</cp:coreProperties>
</file>