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CD88" w14:textId="3E21E8D7" w:rsidR="008E5F52" w:rsidRPr="008E5F52" w:rsidRDefault="008E5F52">
      <w:pPr>
        <w:rPr>
          <w:rFonts w:ascii="Times New Roman" w:hAnsi="Times New Roman" w:cs="Times New Roman"/>
          <w:lang w:val="lt-LT"/>
        </w:rPr>
      </w:pPr>
      <w:r w:rsidRPr="008E5F52">
        <w:rPr>
          <w:rFonts w:ascii="Times New Roman" w:hAnsi="Times New Roman" w:cs="Times New Roman"/>
          <w:lang w:val="lt-LT"/>
        </w:rPr>
        <w:t xml:space="preserve">Tiekėjams </w:t>
      </w:r>
    </w:p>
    <w:p w14:paraId="1237163D" w14:textId="0BE14593" w:rsidR="008E5F52" w:rsidRPr="008E5F52" w:rsidRDefault="008E5F52">
      <w:pPr>
        <w:rPr>
          <w:rFonts w:ascii="Times New Roman" w:hAnsi="Times New Roman" w:cs="Times New Roman"/>
          <w:lang w:val="lt-LT"/>
        </w:rPr>
      </w:pPr>
      <w:r w:rsidRPr="008E5F52">
        <w:rPr>
          <w:rFonts w:ascii="Times New Roman" w:hAnsi="Times New Roman" w:cs="Times New Roman"/>
          <w:lang w:val="lt-LT"/>
        </w:rPr>
        <w:t xml:space="preserve">PIRKIMAS: </w:t>
      </w:r>
      <w:r w:rsidRPr="008E5F52">
        <w:rPr>
          <w:rFonts w:ascii="Times New Roman" w:hAnsi="Times New Roman" w:cs="Times New Roman"/>
          <w:b/>
          <w:bCs/>
          <w:i/>
          <w:iCs/>
          <w:lang w:val="lt-LT"/>
        </w:rPr>
        <w:t>Garažų paskirties pastato (2G0b), unikalus Nr. 1998-0009-8028 esančio Kauno m., Savanorių per. 371, paprasto remonto statybos darbai</w:t>
      </w:r>
    </w:p>
    <w:p w14:paraId="34A2D779" w14:textId="0DBC773D" w:rsidR="008E5F52" w:rsidRPr="008E5F52" w:rsidRDefault="008E5F52">
      <w:pPr>
        <w:rPr>
          <w:rFonts w:ascii="Times New Roman" w:hAnsi="Times New Roman" w:cs="Times New Roman"/>
          <w:lang w:val="lt-LT"/>
        </w:rPr>
      </w:pPr>
      <w:r w:rsidRPr="008E5F52">
        <w:rPr>
          <w:rFonts w:ascii="Times New Roman" w:hAnsi="Times New Roman" w:cs="Times New Roman"/>
          <w:lang w:val="lt-LT"/>
        </w:rPr>
        <w:t xml:space="preserve">Teikiame atsakymus į tiekėjų pateiktus klausimus. </w:t>
      </w:r>
    </w:p>
    <w:tbl>
      <w:tblPr>
        <w:tblStyle w:val="TableGrid"/>
        <w:tblW w:w="0" w:type="auto"/>
        <w:tblLook w:val="04A0" w:firstRow="1" w:lastRow="0" w:firstColumn="1" w:lastColumn="0" w:noHBand="0" w:noVBand="1"/>
      </w:tblPr>
      <w:tblGrid>
        <w:gridCol w:w="985"/>
        <w:gridCol w:w="4590"/>
        <w:gridCol w:w="3775"/>
      </w:tblGrid>
      <w:tr w:rsidR="008E5F52" w:rsidRPr="008E5F52" w14:paraId="7D1FED48" w14:textId="77777777" w:rsidTr="008E5F52">
        <w:tc>
          <w:tcPr>
            <w:tcW w:w="985" w:type="dxa"/>
          </w:tcPr>
          <w:p w14:paraId="5236397A" w14:textId="58E6F4B0" w:rsidR="008E5F52" w:rsidRPr="008E5F52" w:rsidRDefault="008E5F52">
            <w:pPr>
              <w:rPr>
                <w:rFonts w:ascii="Times New Roman" w:hAnsi="Times New Roman" w:cs="Times New Roman"/>
                <w:lang w:val="lt-LT"/>
              </w:rPr>
            </w:pPr>
            <w:r w:rsidRPr="008E5F52">
              <w:rPr>
                <w:rFonts w:ascii="Times New Roman" w:hAnsi="Times New Roman" w:cs="Times New Roman"/>
                <w:lang w:val="lt-LT"/>
              </w:rPr>
              <w:t xml:space="preserve">Nr. </w:t>
            </w:r>
          </w:p>
        </w:tc>
        <w:tc>
          <w:tcPr>
            <w:tcW w:w="4590" w:type="dxa"/>
          </w:tcPr>
          <w:p w14:paraId="0547D703" w14:textId="5B789FD0" w:rsidR="008E5F52" w:rsidRPr="008E5F52" w:rsidRDefault="008E5F52">
            <w:pPr>
              <w:rPr>
                <w:rFonts w:ascii="Times New Roman" w:hAnsi="Times New Roman" w:cs="Times New Roman"/>
                <w:lang w:val="lt-LT"/>
              </w:rPr>
            </w:pPr>
            <w:r w:rsidRPr="008E5F52">
              <w:rPr>
                <w:rFonts w:ascii="Times New Roman" w:hAnsi="Times New Roman" w:cs="Times New Roman"/>
                <w:lang w:val="lt-LT"/>
              </w:rPr>
              <w:t xml:space="preserve">Klausimas </w:t>
            </w:r>
          </w:p>
        </w:tc>
        <w:tc>
          <w:tcPr>
            <w:tcW w:w="3775" w:type="dxa"/>
          </w:tcPr>
          <w:p w14:paraId="301051D4" w14:textId="2926C751" w:rsidR="008E5F52" w:rsidRPr="008E5F52" w:rsidRDefault="008E5F52">
            <w:pPr>
              <w:rPr>
                <w:rFonts w:ascii="Times New Roman" w:hAnsi="Times New Roman" w:cs="Times New Roman"/>
                <w:lang w:val="lt-LT"/>
              </w:rPr>
            </w:pPr>
            <w:r w:rsidRPr="008E5F52">
              <w:rPr>
                <w:rFonts w:ascii="Times New Roman" w:hAnsi="Times New Roman" w:cs="Times New Roman"/>
                <w:lang w:val="lt-LT"/>
              </w:rPr>
              <w:t xml:space="preserve">Atsakymas: </w:t>
            </w:r>
          </w:p>
        </w:tc>
      </w:tr>
      <w:tr w:rsidR="008E5F52" w:rsidRPr="00182E94" w14:paraId="6958AEB8" w14:textId="77777777" w:rsidTr="008E5F52">
        <w:tc>
          <w:tcPr>
            <w:tcW w:w="985" w:type="dxa"/>
          </w:tcPr>
          <w:p w14:paraId="4CDED6FF" w14:textId="2F45E69F" w:rsidR="008E5F52" w:rsidRPr="008E5F52" w:rsidRDefault="008E5F52">
            <w:pPr>
              <w:rPr>
                <w:rFonts w:ascii="Times New Roman" w:hAnsi="Times New Roman" w:cs="Times New Roman"/>
                <w:lang w:val="lt-LT"/>
              </w:rPr>
            </w:pPr>
            <w:r w:rsidRPr="008E5F52">
              <w:rPr>
                <w:rFonts w:ascii="Times New Roman" w:hAnsi="Times New Roman" w:cs="Times New Roman"/>
                <w:lang w:val="lt-LT"/>
              </w:rPr>
              <w:t>1</w:t>
            </w:r>
          </w:p>
        </w:tc>
        <w:tc>
          <w:tcPr>
            <w:tcW w:w="4590" w:type="dxa"/>
          </w:tcPr>
          <w:p w14:paraId="1BEAC796" w14:textId="3BD0082D" w:rsidR="008E5F52" w:rsidRPr="008E5F52" w:rsidRDefault="008E5F52">
            <w:pPr>
              <w:rPr>
                <w:rFonts w:ascii="Times New Roman" w:hAnsi="Times New Roman" w:cs="Times New Roman"/>
                <w:lang w:val="lt-LT"/>
              </w:rPr>
            </w:pPr>
            <w:r w:rsidRPr="008E5F52">
              <w:rPr>
                <w:rFonts w:ascii="Times New Roman" w:hAnsi="Times New Roman" w:cs="Times New Roman"/>
                <w:lang w:val="lt-LT"/>
              </w:rPr>
              <w:t>norėčiau pasitikslinti ar dokumentas "Savanorių pr. 371, Kaunas Šildymas – Aprašas" yra tikslus ir reikalingi trys vienetai radiatorių patalpose, tai pat patikslinti keli vienetai reikalingi 200w ir keli 600w.</w:t>
            </w:r>
          </w:p>
        </w:tc>
        <w:tc>
          <w:tcPr>
            <w:tcW w:w="3775" w:type="dxa"/>
          </w:tcPr>
          <w:p w14:paraId="1E513FB0" w14:textId="77777777" w:rsidR="008E5F52" w:rsidRDefault="008D5A4C" w:rsidP="00860676">
            <w:pPr>
              <w:rPr>
                <w:rFonts w:ascii="Times New Roman" w:hAnsi="Times New Roman" w:cs="Times New Roman"/>
                <w:lang w:val="lt-LT"/>
              </w:rPr>
            </w:pPr>
            <w:r w:rsidRPr="00860676">
              <w:rPr>
                <w:rFonts w:ascii="Times New Roman" w:hAnsi="Times New Roman" w:cs="Times New Roman"/>
                <w:lang w:val="lt-LT"/>
              </w:rPr>
              <w:t xml:space="preserve">Visi 3 radiatoriai turi būti po 600 W. </w:t>
            </w:r>
          </w:p>
          <w:p w14:paraId="18F77BE5" w14:textId="5E0A93CE" w:rsidR="001B0839" w:rsidRPr="00860676" w:rsidRDefault="001B0839" w:rsidP="00860676">
            <w:pPr>
              <w:rPr>
                <w:rFonts w:ascii="Times New Roman" w:hAnsi="Times New Roman" w:cs="Times New Roman"/>
                <w:lang w:val="lt-LT"/>
              </w:rPr>
            </w:pPr>
            <w:r>
              <w:rPr>
                <w:rFonts w:ascii="Times New Roman" w:hAnsi="Times New Roman" w:cs="Times New Roman"/>
                <w:lang w:val="lt-LT"/>
              </w:rPr>
              <w:t xml:space="preserve">1 </w:t>
            </w:r>
            <w:proofErr w:type="spellStart"/>
            <w:r>
              <w:rPr>
                <w:rFonts w:ascii="Times New Roman" w:hAnsi="Times New Roman" w:cs="Times New Roman"/>
                <w:lang w:val="lt-LT"/>
              </w:rPr>
              <w:t>vnt</w:t>
            </w:r>
            <w:proofErr w:type="spellEnd"/>
            <w:r>
              <w:rPr>
                <w:rFonts w:ascii="Times New Roman" w:hAnsi="Times New Roman" w:cs="Times New Roman"/>
                <w:lang w:val="lt-LT"/>
              </w:rPr>
              <w:t xml:space="preserve"> WC patalpoje o 2 </w:t>
            </w:r>
            <w:proofErr w:type="spellStart"/>
            <w:r>
              <w:rPr>
                <w:rFonts w:ascii="Times New Roman" w:hAnsi="Times New Roman" w:cs="Times New Roman"/>
                <w:lang w:val="lt-LT"/>
              </w:rPr>
              <w:t>vnt</w:t>
            </w:r>
            <w:proofErr w:type="spellEnd"/>
            <w:r>
              <w:rPr>
                <w:rFonts w:ascii="Times New Roman" w:hAnsi="Times New Roman" w:cs="Times New Roman"/>
                <w:lang w:val="lt-LT"/>
              </w:rPr>
              <w:t xml:space="preserve"> atskiroje pagalbinėje patalpoje.</w:t>
            </w:r>
          </w:p>
        </w:tc>
      </w:tr>
      <w:tr w:rsidR="008E5F52" w:rsidRPr="00182E94" w14:paraId="6F714419" w14:textId="77777777" w:rsidTr="008E5F52">
        <w:tc>
          <w:tcPr>
            <w:tcW w:w="985" w:type="dxa"/>
          </w:tcPr>
          <w:p w14:paraId="0A33C155" w14:textId="27AD1DB5" w:rsidR="008E5F52" w:rsidRPr="008E5F52" w:rsidRDefault="008E5F52">
            <w:pPr>
              <w:rPr>
                <w:rFonts w:ascii="Times New Roman" w:hAnsi="Times New Roman" w:cs="Times New Roman"/>
                <w:lang w:val="lt-LT"/>
              </w:rPr>
            </w:pPr>
            <w:r w:rsidRPr="008E5F52">
              <w:rPr>
                <w:rFonts w:ascii="Times New Roman" w:hAnsi="Times New Roman" w:cs="Times New Roman"/>
                <w:lang w:val="lt-LT"/>
              </w:rPr>
              <w:t>2</w:t>
            </w:r>
          </w:p>
        </w:tc>
        <w:tc>
          <w:tcPr>
            <w:tcW w:w="4590" w:type="dxa"/>
          </w:tcPr>
          <w:p w14:paraId="7E8C9059" w14:textId="06F4A096" w:rsidR="008E5F52" w:rsidRPr="008E5F52" w:rsidRDefault="008E5F52">
            <w:pPr>
              <w:rPr>
                <w:rFonts w:ascii="Times New Roman" w:hAnsi="Times New Roman" w:cs="Times New Roman"/>
                <w:lang w:val="lt-LT"/>
              </w:rPr>
            </w:pPr>
            <w:r w:rsidRPr="008E5F52">
              <w:rPr>
                <w:rFonts w:ascii="Times New Roman" w:hAnsi="Times New Roman" w:cs="Times New Roman"/>
                <w:lang w:val="lt-LT"/>
              </w:rPr>
              <w:t>Rangovas gali pateiki draudimo bendrovės išduotą pasiūlymo užtikrinimą ir toks pasiūlymas nebus atmestas?</w:t>
            </w:r>
          </w:p>
        </w:tc>
        <w:tc>
          <w:tcPr>
            <w:tcW w:w="3775" w:type="dxa"/>
          </w:tcPr>
          <w:p w14:paraId="718AA88E" w14:textId="38E8A615" w:rsidR="008E5F52" w:rsidRPr="008E5F52" w:rsidRDefault="008E5F52">
            <w:pPr>
              <w:rPr>
                <w:rFonts w:ascii="Times New Roman" w:hAnsi="Times New Roman" w:cs="Times New Roman"/>
                <w:lang w:val="lt-LT"/>
              </w:rPr>
            </w:pPr>
            <w:r w:rsidRPr="008E5F52">
              <w:rPr>
                <w:rFonts w:ascii="Times New Roman" w:hAnsi="Times New Roman" w:cs="Times New Roman"/>
                <w:lang w:val="lt-LT"/>
              </w:rPr>
              <w:t xml:space="preserve">Taip, rangovas gali pateikti draudimo bendrovės laidavimo raštą. </w:t>
            </w:r>
          </w:p>
        </w:tc>
      </w:tr>
      <w:tr w:rsidR="008E5F52" w:rsidRPr="00182E94" w14:paraId="68C03524" w14:textId="77777777" w:rsidTr="008E5F52">
        <w:tc>
          <w:tcPr>
            <w:tcW w:w="985" w:type="dxa"/>
          </w:tcPr>
          <w:p w14:paraId="674E5E4D" w14:textId="37596838" w:rsidR="008E5F52" w:rsidRPr="008E5F52" w:rsidRDefault="008E5F52">
            <w:pPr>
              <w:rPr>
                <w:rFonts w:ascii="Times New Roman" w:hAnsi="Times New Roman" w:cs="Times New Roman"/>
                <w:lang w:val="lt-LT"/>
              </w:rPr>
            </w:pPr>
            <w:r w:rsidRPr="008E5F52">
              <w:rPr>
                <w:rFonts w:ascii="Times New Roman" w:hAnsi="Times New Roman" w:cs="Times New Roman"/>
                <w:lang w:val="lt-LT"/>
              </w:rPr>
              <w:t>3</w:t>
            </w:r>
          </w:p>
        </w:tc>
        <w:tc>
          <w:tcPr>
            <w:tcW w:w="4590" w:type="dxa"/>
          </w:tcPr>
          <w:p w14:paraId="3BC336DF" w14:textId="77777777" w:rsidR="008E5F52" w:rsidRPr="008E5F52" w:rsidRDefault="008E5F52" w:rsidP="008E5F52">
            <w:pPr>
              <w:rPr>
                <w:rFonts w:ascii="Times New Roman" w:hAnsi="Times New Roman" w:cs="Times New Roman"/>
                <w:lang w:val="lt-LT"/>
              </w:rPr>
            </w:pPr>
            <w:r w:rsidRPr="008E5F52">
              <w:rPr>
                <w:rFonts w:ascii="Times New Roman" w:hAnsi="Times New Roman" w:cs="Times New Roman"/>
                <w:lang w:val="lt-LT"/>
              </w:rPr>
              <w:t>2024 m. buvo skelbtas konkurso šio objekto (Garažų paskirties pastato 2G0b, Savanorių per. 371, Kaune) rekonstravimo darbams. Tuo metu, kartu su statinio konstrukcijų ekspertizės aktu (NR. 20-215T) buvo pateikiamas UAB „</w:t>
            </w:r>
            <w:proofErr w:type="spellStart"/>
            <w:r w:rsidRPr="008E5F52">
              <w:rPr>
                <w:rFonts w:ascii="Times New Roman" w:hAnsi="Times New Roman" w:cs="Times New Roman"/>
                <w:lang w:val="lt-LT"/>
              </w:rPr>
              <w:t>Primum</w:t>
            </w:r>
            <w:proofErr w:type="spellEnd"/>
            <w:r w:rsidRPr="008E5F52">
              <w:rPr>
                <w:rFonts w:ascii="Times New Roman" w:hAnsi="Times New Roman" w:cs="Times New Roman"/>
                <w:lang w:val="lt-LT"/>
              </w:rPr>
              <w:t xml:space="preserve"> </w:t>
            </w:r>
            <w:proofErr w:type="spellStart"/>
            <w:r w:rsidRPr="008E5F52">
              <w:rPr>
                <w:rFonts w:ascii="Times New Roman" w:hAnsi="Times New Roman" w:cs="Times New Roman"/>
                <w:lang w:val="lt-LT"/>
              </w:rPr>
              <w:t>group</w:t>
            </w:r>
            <w:proofErr w:type="spellEnd"/>
            <w:r w:rsidRPr="008E5F52">
              <w:rPr>
                <w:rFonts w:ascii="Times New Roman" w:hAnsi="Times New Roman" w:cs="Times New Roman"/>
                <w:lang w:val="lt-LT"/>
              </w:rPr>
              <w:t>“ parengtas techninis projektas „Garažų paskirties pastato, Savanorių per. 371, Kaune, rekonstravimo projektas“ Nr. PRI-20.001. Šio pirkimo metu apart paminėtos konstrukcijų ekspertizės yra pateikiama tik garažo specifikacija bei darbų kiekių aprašymai (</w:t>
            </w:r>
            <w:proofErr w:type="spellStart"/>
            <w:r w:rsidRPr="008E5F52">
              <w:rPr>
                <w:rFonts w:ascii="Times New Roman" w:hAnsi="Times New Roman" w:cs="Times New Roman"/>
                <w:lang w:val="lt-LT"/>
              </w:rPr>
              <w:t>excel</w:t>
            </w:r>
            <w:proofErr w:type="spellEnd"/>
            <w:r w:rsidRPr="008E5F52">
              <w:rPr>
                <w:rFonts w:ascii="Times New Roman" w:hAnsi="Times New Roman" w:cs="Times New Roman"/>
                <w:lang w:val="lt-LT"/>
              </w:rPr>
              <w:t xml:space="preserve"> dokumentai). Prašome nurodyti:</w:t>
            </w:r>
          </w:p>
          <w:p w14:paraId="4B1CCD0C" w14:textId="77777777" w:rsidR="008E5F52" w:rsidRPr="008E5F52" w:rsidRDefault="008E5F52" w:rsidP="008E5F52">
            <w:pPr>
              <w:rPr>
                <w:rFonts w:ascii="Times New Roman" w:hAnsi="Times New Roman" w:cs="Times New Roman"/>
                <w:lang w:val="lt-LT"/>
              </w:rPr>
            </w:pPr>
            <w:r w:rsidRPr="008E5F52">
              <w:rPr>
                <w:rFonts w:ascii="Times New Roman" w:hAnsi="Times New Roman" w:cs="Times New Roman"/>
                <w:lang w:val="lt-LT"/>
              </w:rPr>
              <w:t>1.1. ar Užsakovas pateiks techninį projektą perkamų darbų apimčiai?</w:t>
            </w:r>
          </w:p>
          <w:p w14:paraId="4484AD7A" w14:textId="2AF31C81" w:rsidR="008E5F52" w:rsidRPr="008E5F52" w:rsidRDefault="008E5F52" w:rsidP="008E5F52">
            <w:pPr>
              <w:rPr>
                <w:rFonts w:ascii="Times New Roman" w:hAnsi="Times New Roman" w:cs="Times New Roman"/>
                <w:lang w:val="lt-LT"/>
              </w:rPr>
            </w:pPr>
            <w:r w:rsidRPr="008E5F52">
              <w:rPr>
                <w:rFonts w:ascii="Times New Roman" w:hAnsi="Times New Roman" w:cs="Times New Roman"/>
                <w:lang w:val="lt-LT"/>
              </w:rPr>
              <w:t>1.2. kuo vadovautis rengiant pasiūlymą, kadangi trūksta detalesnės informacijos, brėžinių, dangų detalių, o pateiktose techninėse specifikacijos nėra aprašoma dalis perkamų darbų ir gaminių.</w:t>
            </w:r>
          </w:p>
        </w:tc>
        <w:tc>
          <w:tcPr>
            <w:tcW w:w="3775" w:type="dxa"/>
          </w:tcPr>
          <w:p w14:paraId="717E7EAA" w14:textId="2B05CAC3" w:rsidR="008E5F52" w:rsidRPr="007E4FF7" w:rsidRDefault="008E5F52" w:rsidP="007E4FF7">
            <w:pPr>
              <w:rPr>
                <w:rFonts w:ascii="Times New Roman" w:hAnsi="Times New Roman" w:cs="Times New Roman"/>
                <w:lang w:val="fr-FR"/>
              </w:rPr>
            </w:pPr>
            <w:r w:rsidRPr="007E4FF7">
              <w:rPr>
                <w:rFonts w:ascii="Times New Roman" w:hAnsi="Times New Roman" w:cs="Times New Roman"/>
                <w:lang w:val="lt-LT"/>
              </w:rPr>
              <w:t>1.</w:t>
            </w:r>
            <w:r w:rsidR="00EF79AE" w:rsidRPr="007E4FF7">
              <w:rPr>
                <w:rFonts w:ascii="Times New Roman" w:hAnsi="Times New Roman" w:cs="Times New Roman"/>
                <w:lang w:val="lt-LT"/>
              </w:rPr>
              <w:t>1</w:t>
            </w:r>
            <w:r w:rsidR="007E4FF7">
              <w:rPr>
                <w:rFonts w:ascii="Times New Roman" w:hAnsi="Times New Roman" w:cs="Times New Roman"/>
                <w:lang w:val="lt-LT"/>
              </w:rPr>
              <w:t>.</w:t>
            </w:r>
            <w:r w:rsidR="00EF79AE" w:rsidRPr="007E4FF7">
              <w:rPr>
                <w:rFonts w:ascii="Times New Roman" w:hAnsi="Times New Roman" w:cs="Times New Roman"/>
                <w:lang w:val="lt-LT"/>
              </w:rPr>
              <w:t xml:space="preserve"> </w:t>
            </w:r>
            <w:r w:rsidR="007E4FF7" w:rsidRPr="007E4FF7">
              <w:rPr>
                <w:rFonts w:ascii="Times New Roman" w:hAnsi="Times New Roman" w:cs="Times New Roman"/>
                <w:lang w:val="lt-LT"/>
              </w:rPr>
              <w:t>T</w:t>
            </w:r>
            <w:proofErr w:type="spellStart"/>
            <w:r w:rsidR="007E4FF7" w:rsidRPr="007E4FF7">
              <w:rPr>
                <w:rFonts w:ascii="Times New Roman" w:hAnsi="Times New Roman" w:cs="Times New Roman"/>
                <w:lang w:val="fr-FR"/>
              </w:rPr>
              <w:t>echninis</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projektas</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pirkimo</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metu</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nebus</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pateikiamas</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Visi</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darbai</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turi</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būti</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atliekami</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remiantis</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pateiktais</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kiekių</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žiniaraščiais</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Jei</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reikalinga</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papildoma</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informacija</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ar</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kyla</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neaiškumų</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prašome</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atvykti</w:t>
            </w:r>
            <w:proofErr w:type="spellEnd"/>
            <w:r w:rsidR="007E4FF7" w:rsidRPr="007E4FF7">
              <w:rPr>
                <w:rFonts w:ascii="Times New Roman" w:hAnsi="Times New Roman" w:cs="Times New Roman"/>
                <w:lang w:val="fr-FR"/>
              </w:rPr>
              <w:t xml:space="preserve"> į </w:t>
            </w:r>
            <w:proofErr w:type="spellStart"/>
            <w:r w:rsidR="007E4FF7" w:rsidRPr="007E4FF7">
              <w:rPr>
                <w:rFonts w:ascii="Times New Roman" w:hAnsi="Times New Roman" w:cs="Times New Roman"/>
                <w:lang w:val="fr-FR"/>
              </w:rPr>
              <w:t>objektą</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ir</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apžiūrėti</w:t>
            </w:r>
            <w:proofErr w:type="spellEnd"/>
            <w:r w:rsidR="007E4FF7" w:rsidRPr="007E4FF7">
              <w:rPr>
                <w:rFonts w:ascii="Times New Roman" w:hAnsi="Times New Roman" w:cs="Times New Roman"/>
                <w:lang w:val="fr-FR"/>
              </w:rPr>
              <w:t xml:space="preserve"> </w:t>
            </w:r>
            <w:proofErr w:type="spellStart"/>
            <w:r w:rsidR="007E4FF7" w:rsidRPr="007E4FF7">
              <w:rPr>
                <w:rFonts w:ascii="Times New Roman" w:hAnsi="Times New Roman" w:cs="Times New Roman"/>
                <w:lang w:val="fr-FR"/>
              </w:rPr>
              <w:t>vietoje</w:t>
            </w:r>
            <w:proofErr w:type="spellEnd"/>
            <w:r w:rsidR="007E4FF7" w:rsidRPr="007E4FF7">
              <w:rPr>
                <w:rFonts w:ascii="Times New Roman" w:hAnsi="Times New Roman" w:cs="Times New Roman"/>
                <w:lang w:val="fr-FR"/>
              </w:rPr>
              <w:t>.</w:t>
            </w:r>
          </w:p>
          <w:p w14:paraId="2BEF1AC7" w14:textId="77777777" w:rsidR="008E5F52" w:rsidRPr="008E5F52" w:rsidRDefault="008E5F52">
            <w:pPr>
              <w:rPr>
                <w:rFonts w:ascii="Times New Roman" w:hAnsi="Times New Roman" w:cs="Times New Roman"/>
                <w:lang w:val="lt-LT"/>
              </w:rPr>
            </w:pPr>
          </w:p>
          <w:p w14:paraId="310004AD" w14:textId="147A272A" w:rsidR="008E5F52" w:rsidRPr="008E5F52" w:rsidRDefault="001B0839">
            <w:pPr>
              <w:rPr>
                <w:rFonts w:ascii="Times New Roman" w:hAnsi="Times New Roman" w:cs="Times New Roman"/>
                <w:lang w:val="lt-LT"/>
              </w:rPr>
            </w:pPr>
            <w:r>
              <w:rPr>
                <w:rFonts w:ascii="Times New Roman" w:hAnsi="Times New Roman" w:cs="Times New Roman"/>
                <w:lang w:val="lt-LT"/>
              </w:rPr>
              <w:t>1.</w:t>
            </w:r>
            <w:r w:rsidR="008E5F52" w:rsidRPr="008E5F52">
              <w:rPr>
                <w:rFonts w:ascii="Times New Roman" w:hAnsi="Times New Roman" w:cs="Times New Roman"/>
                <w:lang w:val="lt-LT"/>
              </w:rPr>
              <w:t xml:space="preserve">2. </w:t>
            </w:r>
            <w:r w:rsidR="00BF5C58">
              <w:rPr>
                <w:rFonts w:ascii="Times New Roman" w:hAnsi="Times New Roman" w:cs="Times New Roman"/>
                <w:lang w:val="lt-LT"/>
              </w:rPr>
              <w:t>Vadovautis pagal kiekių žiniaraščius ir STR normas.</w:t>
            </w:r>
          </w:p>
        </w:tc>
      </w:tr>
      <w:tr w:rsidR="008E5F52" w:rsidRPr="008D5A4C" w14:paraId="4062C714" w14:textId="77777777" w:rsidTr="008E5F52">
        <w:tc>
          <w:tcPr>
            <w:tcW w:w="985" w:type="dxa"/>
          </w:tcPr>
          <w:p w14:paraId="30C38D2E" w14:textId="7C000069" w:rsidR="008E5F52" w:rsidRPr="008E5F52" w:rsidRDefault="008E5F52">
            <w:pPr>
              <w:rPr>
                <w:rFonts w:ascii="Times New Roman" w:hAnsi="Times New Roman" w:cs="Times New Roman"/>
                <w:lang w:val="lt-LT"/>
              </w:rPr>
            </w:pPr>
            <w:r w:rsidRPr="008E5F52">
              <w:rPr>
                <w:rFonts w:ascii="Times New Roman" w:hAnsi="Times New Roman" w:cs="Times New Roman"/>
                <w:lang w:val="lt-LT"/>
              </w:rPr>
              <w:t>4</w:t>
            </w:r>
          </w:p>
        </w:tc>
        <w:tc>
          <w:tcPr>
            <w:tcW w:w="4590" w:type="dxa"/>
          </w:tcPr>
          <w:p w14:paraId="590BF527" w14:textId="5A666C3D" w:rsidR="008E5F52" w:rsidRPr="008E5F52" w:rsidRDefault="008E5F52">
            <w:pPr>
              <w:rPr>
                <w:rFonts w:ascii="Times New Roman" w:hAnsi="Times New Roman" w:cs="Times New Roman"/>
                <w:lang w:val="lt-LT"/>
              </w:rPr>
            </w:pPr>
            <w:r w:rsidRPr="008E5F52">
              <w:rPr>
                <w:rFonts w:ascii="Times New Roman" w:hAnsi="Times New Roman" w:cs="Times New Roman"/>
                <w:lang w:val="lt-LT"/>
              </w:rPr>
              <w:t>Prašome patvirtinti, kad šio pirkimo metu, Tiekėjams nereikia vertinti projektavimo ir kitų su tuo susijusių inžinerinių paslaugų.</w:t>
            </w:r>
          </w:p>
        </w:tc>
        <w:tc>
          <w:tcPr>
            <w:tcW w:w="3775" w:type="dxa"/>
          </w:tcPr>
          <w:p w14:paraId="3AC8B209" w14:textId="673EAFC1" w:rsidR="008E5F52" w:rsidRPr="008E5F52" w:rsidRDefault="007E4FF7">
            <w:pPr>
              <w:rPr>
                <w:rFonts w:ascii="Times New Roman" w:hAnsi="Times New Roman" w:cs="Times New Roman"/>
                <w:lang w:val="lt-LT"/>
              </w:rPr>
            </w:pPr>
            <w:r>
              <w:rPr>
                <w:rFonts w:ascii="Times New Roman" w:hAnsi="Times New Roman" w:cs="Times New Roman"/>
                <w:lang w:val="lt-LT"/>
              </w:rPr>
              <w:t>Projektavimo paslaugų</w:t>
            </w:r>
            <w:r w:rsidR="00182E94">
              <w:rPr>
                <w:rFonts w:ascii="Times New Roman" w:hAnsi="Times New Roman" w:cs="Times New Roman"/>
                <w:lang w:val="lt-LT"/>
              </w:rPr>
              <w:t xml:space="preserve"> </w:t>
            </w:r>
            <w:r>
              <w:rPr>
                <w:rFonts w:ascii="Times New Roman" w:hAnsi="Times New Roman" w:cs="Times New Roman"/>
                <w:lang w:val="lt-LT"/>
              </w:rPr>
              <w:t>atlikinėti nereikės.</w:t>
            </w:r>
          </w:p>
        </w:tc>
      </w:tr>
      <w:tr w:rsidR="008E5F52" w:rsidRPr="00182E94" w14:paraId="2434BF6D" w14:textId="77777777" w:rsidTr="008E5F52">
        <w:tc>
          <w:tcPr>
            <w:tcW w:w="985" w:type="dxa"/>
          </w:tcPr>
          <w:p w14:paraId="678F2404" w14:textId="271CB4B5" w:rsidR="008E5F52" w:rsidRPr="008E5F52" w:rsidRDefault="008E5F52">
            <w:pPr>
              <w:rPr>
                <w:rFonts w:ascii="Times New Roman" w:hAnsi="Times New Roman" w:cs="Times New Roman"/>
                <w:lang w:val="lt-LT"/>
              </w:rPr>
            </w:pPr>
            <w:r w:rsidRPr="008E5F52">
              <w:rPr>
                <w:rFonts w:ascii="Times New Roman" w:hAnsi="Times New Roman" w:cs="Times New Roman"/>
                <w:lang w:val="lt-LT"/>
              </w:rPr>
              <w:t>5</w:t>
            </w:r>
          </w:p>
        </w:tc>
        <w:tc>
          <w:tcPr>
            <w:tcW w:w="4590" w:type="dxa"/>
          </w:tcPr>
          <w:p w14:paraId="7965A1AA" w14:textId="22467E4A" w:rsidR="008E5F52" w:rsidRPr="008E5F52" w:rsidRDefault="008E5F52">
            <w:pPr>
              <w:rPr>
                <w:rFonts w:ascii="Times New Roman" w:hAnsi="Times New Roman" w:cs="Times New Roman"/>
                <w:lang w:val="lt-LT"/>
              </w:rPr>
            </w:pPr>
            <w:r w:rsidRPr="008E5F52">
              <w:rPr>
                <w:rFonts w:ascii="Times New Roman" w:hAnsi="Times New Roman" w:cs="Times New Roman"/>
                <w:lang w:val="lt-LT"/>
              </w:rPr>
              <w:t xml:space="preserve">nerandame </w:t>
            </w:r>
            <w:r w:rsidRPr="008E5F52">
              <w:rPr>
                <w:rFonts w:ascii="Times New Roman" w:hAnsi="Times New Roman" w:cs="Times New Roman"/>
                <w:b/>
                <w:bCs/>
                <w:lang w:val="lt-LT"/>
              </w:rPr>
              <w:t>elektros skydu</w:t>
            </w:r>
            <w:r w:rsidRPr="008E5F52">
              <w:rPr>
                <w:rFonts w:ascii="Times New Roman" w:hAnsi="Times New Roman" w:cs="Times New Roman"/>
                <w:lang w:val="lt-LT"/>
              </w:rPr>
              <w:t xml:space="preserve"> schemų ir brėžinių, gal galite jas pateikti arba nurodyti kur jas rasti</w:t>
            </w:r>
          </w:p>
        </w:tc>
        <w:tc>
          <w:tcPr>
            <w:tcW w:w="3775" w:type="dxa"/>
          </w:tcPr>
          <w:p w14:paraId="4AF7EC65" w14:textId="15B84FEB" w:rsidR="008E5F52" w:rsidRPr="001B0839" w:rsidRDefault="00EF79AE" w:rsidP="001B0839">
            <w:pPr>
              <w:rPr>
                <w:rFonts w:ascii="Times New Roman" w:hAnsi="Times New Roman" w:cs="Times New Roman"/>
                <w:lang w:val="lt-LT"/>
              </w:rPr>
            </w:pPr>
            <w:r>
              <w:rPr>
                <w:rFonts w:ascii="Times New Roman" w:hAnsi="Times New Roman" w:cs="Times New Roman"/>
                <w:lang w:val="lt-LT"/>
              </w:rPr>
              <w:t>E</w:t>
            </w:r>
            <w:r w:rsidR="001B0839" w:rsidRPr="001B0839">
              <w:rPr>
                <w:rFonts w:ascii="Times New Roman" w:hAnsi="Times New Roman" w:cs="Times New Roman"/>
                <w:lang w:val="lt-LT"/>
              </w:rPr>
              <w:t>lektros skydų schemos ir brėžiniai nėra atskirai pateikiami, kadangi visa įranga ir sujungimai turi būti realizuoti kaip vientisa sistema, užtikrinanti pilną veikimą pagal techninę specifikaciją</w:t>
            </w:r>
            <w:r w:rsidR="001B0839">
              <w:rPr>
                <w:rFonts w:ascii="Times New Roman" w:hAnsi="Times New Roman" w:cs="Times New Roman"/>
                <w:lang w:val="lt-LT"/>
              </w:rPr>
              <w:t>. E</w:t>
            </w:r>
            <w:r w:rsidR="001B0839" w:rsidRPr="001B0839">
              <w:rPr>
                <w:rFonts w:ascii="Times New Roman" w:hAnsi="Times New Roman" w:cs="Times New Roman"/>
                <w:lang w:val="lt-LT"/>
              </w:rPr>
              <w:t xml:space="preserve">lektros skydai bus sukomplektuoti, </w:t>
            </w:r>
            <w:r w:rsidR="001B0839" w:rsidRPr="001B0839">
              <w:rPr>
                <w:rFonts w:ascii="Times New Roman" w:hAnsi="Times New Roman" w:cs="Times New Roman"/>
                <w:lang w:val="lt-LT"/>
              </w:rPr>
              <w:lastRenderedPageBreak/>
              <w:t>sumontuoti ir sujungti pagal visus galiojančius teisės aktus, normatyvus ir saugos reikalavimus, vadovaujantis gamintojų technine dokumentacija</w:t>
            </w:r>
            <w:r w:rsidR="001B0839">
              <w:rPr>
                <w:rFonts w:ascii="Times New Roman" w:hAnsi="Times New Roman" w:cs="Times New Roman"/>
                <w:lang w:val="lt-LT"/>
              </w:rPr>
              <w:t>.</w:t>
            </w:r>
            <w:r w:rsidR="001B0839" w:rsidRPr="001B0839">
              <w:rPr>
                <w:rFonts w:ascii="Times New Roman" w:hAnsi="Times New Roman" w:cs="Times New Roman"/>
                <w:lang w:val="lt-LT"/>
              </w:rPr>
              <w:t xml:space="preserve"> </w:t>
            </w:r>
          </w:p>
        </w:tc>
      </w:tr>
      <w:tr w:rsidR="008E5F52" w:rsidRPr="00182E94" w14:paraId="2CC9C013" w14:textId="77777777" w:rsidTr="008E5F52">
        <w:tc>
          <w:tcPr>
            <w:tcW w:w="985" w:type="dxa"/>
          </w:tcPr>
          <w:p w14:paraId="287C32DE" w14:textId="134D4146" w:rsidR="008E5F52" w:rsidRPr="008E5F52" w:rsidRDefault="008E5F52">
            <w:pPr>
              <w:rPr>
                <w:rFonts w:ascii="Times New Roman" w:hAnsi="Times New Roman" w:cs="Times New Roman"/>
                <w:lang w:val="lt-LT"/>
              </w:rPr>
            </w:pPr>
            <w:r w:rsidRPr="008E5F52">
              <w:rPr>
                <w:rFonts w:ascii="Times New Roman" w:hAnsi="Times New Roman" w:cs="Times New Roman"/>
                <w:lang w:val="lt-LT"/>
              </w:rPr>
              <w:lastRenderedPageBreak/>
              <w:t>6</w:t>
            </w:r>
          </w:p>
        </w:tc>
        <w:tc>
          <w:tcPr>
            <w:tcW w:w="4590" w:type="dxa"/>
          </w:tcPr>
          <w:p w14:paraId="3FB83801" w14:textId="129B8D43" w:rsidR="008E5F52" w:rsidRPr="008E5F52" w:rsidRDefault="008E5F52">
            <w:pPr>
              <w:rPr>
                <w:rFonts w:ascii="Times New Roman" w:hAnsi="Times New Roman" w:cs="Times New Roman"/>
                <w:lang w:val="lt-LT"/>
              </w:rPr>
            </w:pPr>
            <w:r w:rsidRPr="008E5F52">
              <w:rPr>
                <w:rFonts w:ascii="Times New Roman" w:hAnsi="Times New Roman" w:cs="Times New Roman"/>
                <w:lang w:val="lt-LT"/>
              </w:rPr>
              <w:t xml:space="preserve">Prie pirkimo dokumentų pateikta „Garažo specifikacija“ bei darbų žiniaraščių aprašas. Iš pateiktos specifikacijos ir darbų aprašo, laikantis lygiateisiškumo bei nešališkumo reikalavimų, nėra galimybės įvertinti darbus, kadangi dalyvaujantys Tiekėjai tiek darbus, tiek gaminius ar įrangą gali vertinti skirtingai, kas įtakos pasiūlymų kainą ir didins riziką laimėjusiam Tiekėjui. </w:t>
            </w:r>
            <w:r w:rsidRPr="008E5F52">
              <w:rPr>
                <w:rFonts w:ascii="Times New Roman" w:hAnsi="Times New Roman" w:cs="Times New Roman"/>
                <w:u w:val="single"/>
                <w:lang w:val="lt-LT"/>
              </w:rPr>
              <w:t>Specifikacijoje nėra nurodyti reikalavimai asfaltbetonio dangai, generatoriui, stogeliams, praustuvams, unitazams, nuotekų stotelei, nuotekų bei dumblo persiurbimo siurbliams, tvoros elementams (segmento padengimas, spalva, storis), durų ir vartų matmenys ir kita</w:t>
            </w:r>
            <w:r w:rsidRPr="008E5F52">
              <w:rPr>
                <w:rFonts w:ascii="Times New Roman" w:hAnsi="Times New Roman" w:cs="Times New Roman"/>
                <w:lang w:val="lt-LT"/>
              </w:rPr>
              <w:t xml:space="preserve">. </w:t>
            </w:r>
            <w:r w:rsidRPr="008E5F52">
              <w:rPr>
                <w:rFonts w:ascii="Times New Roman" w:hAnsi="Times New Roman" w:cs="Times New Roman"/>
                <w:b/>
                <w:bCs/>
                <w:lang w:val="lt-LT"/>
              </w:rPr>
              <w:t>Prašome papildyti garažo specifikacijas pagal pateiktus darbų kiekių aprašus.</w:t>
            </w:r>
          </w:p>
        </w:tc>
        <w:tc>
          <w:tcPr>
            <w:tcW w:w="3775" w:type="dxa"/>
          </w:tcPr>
          <w:p w14:paraId="510A6EBA" w14:textId="1A5B1283" w:rsidR="001B0839" w:rsidRPr="001B0839" w:rsidRDefault="001B0839" w:rsidP="001B0839">
            <w:pPr>
              <w:rPr>
                <w:rFonts w:ascii="Times New Roman" w:hAnsi="Times New Roman" w:cs="Times New Roman"/>
                <w:lang w:val="lt-LT"/>
              </w:rPr>
            </w:pPr>
            <w:r>
              <w:rPr>
                <w:rFonts w:ascii="Times New Roman" w:hAnsi="Times New Roman" w:cs="Times New Roman"/>
                <w:lang w:val="lt-LT"/>
              </w:rPr>
              <w:t>R</w:t>
            </w:r>
            <w:r w:rsidRPr="001B0839">
              <w:rPr>
                <w:rFonts w:ascii="Times New Roman" w:hAnsi="Times New Roman" w:cs="Times New Roman"/>
                <w:lang w:val="lt-LT"/>
              </w:rPr>
              <w:t>eikalinga informacija, būtina darbų įvertinimui ir pasiūlymo parengimui, yra pateikta prie pirkimo dokumentų pridėtoje „Garažo specifikacijoje“ bei darbų kiekių aprašuose.</w:t>
            </w:r>
          </w:p>
          <w:p w14:paraId="1846AAEB" w14:textId="77777777" w:rsidR="001B0839" w:rsidRPr="001B0839" w:rsidRDefault="001B0839" w:rsidP="001B0839">
            <w:pPr>
              <w:rPr>
                <w:rFonts w:ascii="Times New Roman" w:hAnsi="Times New Roman" w:cs="Times New Roman"/>
                <w:lang w:val="lt-LT"/>
              </w:rPr>
            </w:pPr>
            <w:r w:rsidRPr="001B0839">
              <w:rPr>
                <w:rFonts w:ascii="Times New Roman" w:hAnsi="Times New Roman" w:cs="Times New Roman"/>
                <w:lang w:val="lt-LT"/>
              </w:rPr>
              <w:t>Papildomų techninių sprendinių ar įrangos detalių specifikavimas nėra numatytas pirkimo dokumentuose, kadangi tiekėjui paliekama teisė siūlyti lygiaverčius sprendinius, atitinkančius galiojančius normatyvus bei užtikrinančius tinkamą funkcionavimą.</w:t>
            </w:r>
          </w:p>
          <w:p w14:paraId="6A17A893" w14:textId="77777777" w:rsidR="001B0839" w:rsidRPr="001B0839" w:rsidRDefault="001B0839" w:rsidP="001B0839">
            <w:pPr>
              <w:rPr>
                <w:rFonts w:ascii="Times New Roman" w:hAnsi="Times New Roman" w:cs="Times New Roman"/>
                <w:lang w:val="lt-LT"/>
              </w:rPr>
            </w:pPr>
            <w:r w:rsidRPr="001B0839">
              <w:rPr>
                <w:rFonts w:ascii="Times New Roman" w:hAnsi="Times New Roman" w:cs="Times New Roman"/>
                <w:lang w:val="lt-LT"/>
              </w:rPr>
              <w:t>Siekdami užtikrinti skaidrumą ir sąlygas tinkamam pasirengimui, kviečiame tiekėjus, esant poreikiui, atvykti į objektą apžiūrai, įvertinti esamą situaciją bei atlikti reikiamus matavimus.</w:t>
            </w:r>
          </w:p>
          <w:p w14:paraId="19495189" w14:textId="77777777" w:rsidR="008E5F52" w:rsidRPr="008E5F52" w:rsidRDefault="008E5F52">
            <w:pPr>
              <w:rPr>
                <w:rFonts w:ascii="Times New Roman" w:hAnsi="Times New Roman" w:cs="Times New Roman"/>
                <w:lang w:val="lt-LT"/>
              </w:rPr>
            </w:pPr>
          </w:p>
        </w:tc>
      </w:tr>
    </w:tbl>
    <w:p w14:paraId="11A1C5BF" w14:textId="77777777" w:rsidR="008E5F52" w:rsidRDefault="008E5F52">
      <w:pPr>
        <w:rPr>
          <w:rFonts w:ascii="Times New Roman" w:hAnsi="Times New Roman" w:cs="Times New Roman"/>
          <w:lang w:val="lt-LT"/>
        </w:rPr>
      </w:pPr>
    </w:p>
    <w:p w14:paraId="2829628B" w14:textId="6B4F1B19" w:rsidR="00182E94" w:rsidRDefault="00182E94">
      <w:pPr>
        <w:rPr>
          <w:rFonts w:ascii="Times New Roman" w:hAnsi="Times New Roman" w:cs="Times New Roman"/>
          <w:lang w:val="lt-LT"/>
        </w:rPr>
      </w:pPr>
      <w:r>
        <w:rPr>
          <w:rFonts w:ascii="Times New Roman" w:hAnsi="Times New Roman" w:cs="Times New Roman"/>
          <w:lang w:val="lt-LT"/>
        </w:rPr>
        <w:t xml:space="preserve">Viešųjų pirkimų tarnybai pateikus pastabas dėl pirkimo dokumentų, teikiame pirkimo sąlygų patikslinimus. </w:t>
      </w:r>
    </w:p>
    <w:p w14:paraId="6E824E02" w14:textId="35908EE7" w:rsidR="008D610E" w:rsidRPr="005B55BC" w:rsidRDefault="008D610E" w:rsidP="008D610E">
      <w:pPr>
        <w:pStyle w:val="ListParagraph"/>
        <w:widowControl w:val="0"/>
        <w:numPr>
          <w:ilvl w:val="0"/>
          <w:numId w:val="2"/>
        </w:numPr>
        <w:tabs>
          <w:tab w:val="left" w:pos="1276"/>
        </w:tabs>
        <w:autoSpaceDE w:val="0"/>
        <w:autoSpaceDN w:val="0"/>
        <w:adjustRightInd w:val="0"/>
        <w:spacing w:after="0" w:line="240" w:lineRule="auto"/>
        <w:ind w:right="-1"/>
        <w:jc w:val="both"/>
        <w:rPr>
          <w:rFonts w:ascii="Times New Roman" w:eastAsia="Times New Roman" w:hAnsi="Times New Roman" w:cs="Times New Roman"/>
          <w:kern w:val="0"/>
          <w:lang w:val="lt-LT" w:eastAsia="lt-LT"/>
          <w14:ligatures w14:val="none"/>
        </w:rPr>
      </w:pPr>
      <w:r w:rsidRPr="005B55BC">
        <w:rPr>
          <w:rFonts w:ascii="Times New Roman" w:eastAsia="Times New Roman" w:hAnsi="Times New Roman" w:cs="Times New Roman"/>
          <w:kern w:val="0"/>
          <w:lang w:val="lt-LT" w:eastAsia="lt-LT"/>
          <w14:ligatures w14:val="none"/>
        </w:rPr>
        <w:t>Pirkimo sąlygų 1.5 p. atsisak</w:t>
      </w:r>
      <w:r>
        <w:rPr>
          <w:rFonts w:ascii="Times New Roman" w:eastAsia="Times New Roman" w:hAnsi="Times New Roman" w:cs="Times New Roman"/>
          <w:kern w:val="0"/>
          <w:lang w:val="lt-LT" w:eastAsia="lt-LT"/>
          <w14:ligatures w14:val="none"/>
        </w:rPr>
        <w:t xml:space="preserve">omas </w:t>
      </w:r>
      <w:r w:rsidRPr="005B55BC">
        <w:rPr>
          <w:rFonts w:ascii="Times New Roman" w:eastAsia="Times New Roman" w:hAnsi="Times New Roman" w:cs="Times New Roman"/>
          <w:kern w:val="0"/>
          <w:lang w:val="lt-LT" w:eastAsia="lt-LT"/>
          <w14:ligatures w14:val="none"/>
        </w:rPr>
        <w:t>reikalavim</w:t>
      </w:r>
      <w:r>
        <w:rPr>
          <w:rFonts w:ascii="Times New Roman" w:eastAsia="Times New Roman" w:hAnsi="Times New Roman" w:cs="Times New Roman"/>
          <w:kern w:val="0"/>
          <w:lang w:val="lt-LT" w:eastAsia="lt-LT"/>
          <w14:ligatures w14:val="none"/>
        </w:rPr>
        <w:t>as</w:t>
      </w:r>
      <w:r w:rsidRPr="005B55BC">
        <w:rPr>
          <w:rFonts w:ascii="Times New Roman" w:eastAsia="Times New Roman" w:hAnsi="Times New Roman" w:cs="Times New Roman"/>
          <w:kern w:val="0"/>
          <w:lang w:val="lt-LT" w:eastAsia="lt-LT"/>
          <w14:ligatures w14:val="none"/>
        </w:rPr>
        <w:t xml:space="preserve"> &lt;....&gt;</w:t>
      </w:r>
      <w:r w:rsidRPr="005B55BC">
        <w:rPr>
          <w:lang w:val="lt-LT"/>
        </w:rPr>
        <w:t xml:space="preserve"> </w:t>
      </w:r>
      <w:r w:rsidRPr="008D610E">
        <w:rPr>
          <w:rFonts w:ascii="Times New Roman" w:eastAsia="Times New Roman" w:hAnsi="Times New Roman" w:cs="Times New Roman"/>
          <w:i/>
          <w:iCs/>
          <w:kern w:val="0"/>
          <w:lang w:val="lt-LT" w:eastAsia="lt-LT"/>
          <w14:ligatures w14:val="none"/>
        </w:rPr>
        <w:t>Taip pat taikomas 4.1 punktas statybinėms medžiagoms (žr. 2 priedo 17 p. Dažai, 20 p. Plytelės , 22  p. Elektros lempos), bei sutarties projekto 11.3.13 p. Užtikrinti, kad rangos darbų vykdymo metu būtų naudojamos Aprašo 2 priede išvardintos medžiagos: 17 p. Dažai, 20 p. Plytelės , 22  p. Elektros lempos. Rangovas Užsakovo prašymu privalo pateikti panaudotų medžiagų dokumentus, pagrindžiančius jų atitikimą Aprašo reikalavimams</w:t>
      </w:r>
      <w:r>
        <w:rPr>
          <w:rFonts w:ascii="Times New Roman" w:eastAsia="Times New Roman" w:hAnsi="Times New Roman" w:cs="Times New Roman"/>
          <w:kern w:val="0"/>
          <w:lang w:val="lt-LT" w:eastAsia="lt-LT"/>
          <w14:ligatures w14:val="none"/>
        </w:rPr>
        <w:t xml:space="preserve">, </w:t>
      </w:r>
      <w:r w:rsidRPr="005B55BC">
        <w:rPr>
          <w:rFonts w:ascii="Times New Roman" w:eastAsia="Times New Roman" w:hAnsi="Times New Roman" w:cs="Times New Roman"/>
          <w:kern w:val="0"/>
          <w:lang w:val="lt-LT" w:eastAsia="lt-LT"/>
          <w14:ligatures w14:val="none"/>
        </w:rPr>
        <w:t>nes reikalavimas taikytinas statybinėms medžiagoms, o ne rangos darbams;</w:t>
      </w:r>
    </w:p>
    <w:p w14:paraId="17F79B24" w14:textId="77777777" w:rsidR="008D610E" w:rsidRDefault="008D610E" w:rsidP="008D610E">
      <w:pPr>
        <w:pStyle w:val="ListParagraph"/>
        <w:widowControl w:val="0"/>
        <w:numPr>
          <w:ilvl w:val="0"/>
          <w:numId w:val="2"/>
        </w:numPr>
        <w:tabs>
          <w:tab w:val="left" w:pos="1276"/>
        </w:tabs>
        <w:autoSpaceDE w:val="0"/>
        <w:autoSpaceDN w:val="0"/>
        <w:adjustRightInd w:val="0"/>
        <w:spacing w:after="0" w:line="240" w:lineRule="auto"/>
        <w:ind w:right="-1"/>
        <w:jc w:val="both"/>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 xml:space="preserve">Pirkimo sąlygų </w:t>
      </w:r>
      <w:r w:rsidRPr="00A17B98">
        <w:rPr>
          <w:rFonts w:ascii="Times New Roman" w:eastAsia="Times New Roman" w:hAnsi="Times New Roman" w:cs="Times New Roman"/>
          <w:kern w:val="0"/>
          <w:lang w:val="lt-LT" w:eastAsia="lt-LT"/>
          <w14:ligatures w14:val="none"/>
        </w:rPr>
        <w:t xml:space="preserve">1.8. </w:t>
      </w:r>
      <w:r>
        <w:rPr>
          <w:rFonts w:ascii="Times New Roman" w:eastAsia="Times New Roman" w:hAnsi="Times New Roman" w:cs="Times New Roman"/>
          <w:kern w:val="0"/>
          <w:lang w:val="lt-LT" w:eastAsia="lt-LT"/>
          <w14:ligatures w14:val="none"/>
        </w:rPr>
        <w:t>p. išdėstyti taip &lt;...&gt;</w:t>
      </w:r>
      <w:r w:rsidRPr="00A17B98">
        <w:rPr>
          <w:rFonts w:ascii="Times New Roman" w:eastAsia="Times New Roman" w:hAnsi="Times New Roman" w:cs="Times New Roman"/>
          <w:i/>
          <w:iCs/>
          <w:kern w:val="0"/>
          <w:lang w:val="lt-LT" w:eastAsia="lt-LT"/>
          <w14:ligatures w14:val="none"/>
        </w:rPr>
        <w:t xml:space="preserve">Pirkimo objektas į dalis neskaidomas, atsižvelgiant į tai, kad perkami vienos rūšies darbai, kurie tarpusavyje yra glaudžiai susiję, objekto statybos darbams parengtas vienas remonto aprašas. Bendras pirkimo rezultatas apima tiek statybos darbus, tiek inžinerines paslaugas ir yra vieningas bei nedalus. Pirkimo objektą skaidant dalimis, atsirastų tikimybė, kad darbus vykdys skirtingi rangovai, todėl bus neįmanoma pasiekti darbų nuoseklumo, užtikrinti jų atlikimo terminų laikymosi. Pirkimo objektą skaidant į dalis  pirkimo sutarties vykdymas techniniu požiūriu, taip pat taptų sudėtingas, nes skirtingų pirkimo objekto dalių įgyvendinimas būtų techniškai glaudžiai susijęs ir dėl to perkančiajai organizacijai atsirastų būtinybė koordinuoti šių dalių tiekėjus, padidėtų administravimo kaštai, atsirastų neracionalaus lėšų panaudojimo </w:t>
      </w:r>
      <w:r w:rsidRPr="00A17B98">
        <w:rPr>
          <w:rFonts w:ascii="Times New Roman" w:eastAsia="Times New Roman" w:hAnsi="Times New Roman" w:cs="Times New Roman"/>
          <w:i/>
          <w:iCs/>
          <w:kern w:val="0"/>
          <w:lang w:val="lt-LT" w:eastAsia="lt-LT"/>
          <w14:ligatures w14:val="none"/>
        </w:rPr>
        <w:lastRenderedPageBreak/>
        <w:t>rizika, ir pailgėtų atskirų dalių suteikimo ir atlikimo terminai, kas yra nesuderinama su Pirkimo esme ir keltų riziką netinkamai ir nesavalaikiai įvykdyti pirkimo sutartį. Taigi, šiuo atveju tikslingam ir nepertraukiamam bei savalaikiam (siekiant optimalaus terminų laikymosi) Pirkimo objekto įgyvendinimui, tikslinga, kad tiek statybos darbus, bei inžinerines paslaugas atliktų/suteiktų tas pats tiekėjas (-ai). Šiuo atveju vienas konkurso laimėtojas galės lygiagrečiai ir nuosekliai vykdyti visus statybos darbus bei atlikti inžinerines paslaugas tokiu būdu, visapusiškai užtikrinant sutarties tinkamą įvykdymą</w:t>
      </w:r>
      <w:r w:rsidRPr="00A17B98">
        <w:rPr>
          <w:rFonts w:ascii="Times New Roman" w:eastAsia="Times New Roman" w:hAnsi="Times New Roman" w:cs="Times New Roman"/>
          <w:kern w:val="0"/>
          <w:lang w:val="lt-LT" w:eastAsia="lt-LT"/>
          <w14:ligatures w14:val="none"/>
        </w:rPr>
        <w:t>.</w:t>
      </w:r>
    </w:p>
    <w:p w14:paraId="110763A9" w14:textId="77777777" w:rsidR="008D610E" w:rsidRPr="005B55BC" w:rsidRDefault="008D610E" w:rsidP="008D610E">
      <w:pPr>
        <w:pStyle w:val="ListParagraph"/>
        <w:widowControl w:val="0"/>
        <w:numPr>
          <w:ilvl w:val="0"/>
          <w:numId w:val="2"/>
        </w:numPr>
        <w:tabs>
          <w:tab w:val="left" w:pos="1276"/>
        </w:tabs>
        <w:autoSpaceDE w:val="0"/>
        <w:autoSpaceDN w:val="0"/>
        <w:adjustRightInd w:val="0"/>
        <w:spacing w:line="240" w:lineRule="auto"/>
        <w:ind w:right="-1"/>
        <w:jc w:val="both"/>
        <w:rPr>
          <w:rFonts w:ascii="Times New Roman" w:eastAsia="Times New Roman" w:hAnsi="Times New Roman" w:cs="Times New Roman"/>
          <w:bCs/>
          <w:i/>
          <w:iCs/>
          <w:kern w:val="0"/>
          <w:lang w:val="lt-LT" w:eastAsia="lt-LT"/>
          <w14:ligatures w14:val="none"/>
        </w:rPr>
      </w:pPr>
      <w:r>
        <w:rPr>
          <w:rFonts w:ascii="Times New Roman" w:eastAsia="Times New Roman" w:hAnsi="Times New Roman" w:cs="Times New Roman"/>
          <w:kern w:val="0"/>
          <w:lang w:val="lt-LT" w:eastAsia="lt-LT"/>
          <w14:ligatures w14:val="none"/>
        </w:rPr>
        <w:t xml:space="preserve">Pirkimo sąlygų 1.13 p. išdėstyti taip &lt;...&gt; </w:t>
      </w:r>
      <w:r w:rsidRPr="008D610E">
        <w:rPr>
          <w:rFonts w:ascii="Times New Roman" w:eastAsia="Times New Roman" w:hAnsi="Times New Roman" w:cs="Times New Roman"/>
          <w:i/>
          <w:iCs/>
          <w:kern w:val="0"/>
          <w:lang w:val="lt-LT" w:eastAsia="lt-LT"/>
          <w14:ligatures w14:val="none"/>
        </w:rPr>
        <w:t>Motyvai, kodėl pirkimas neatliekamas naudojantis centrinės perkančiosios organizacijos paslaugomis (elektroniniu katalogu):</w:t>
      </w:r>
      <w:r w:rsidRPr="005B55BC">
        <w:rPr>
          <w:b/>
          <w:highlight w:val="lightGray"/>
          <w:lang w:val="lt-LT"/>
        </w:rPr>
        <w:t xml:space="preserve"> </w:t>
      </w:r>
      <w:r w:rsidRPr="005B55BC">
        <w:rPr>
          <w:rFonts w:ascii="Times New Roman" w:eastAsia="Times New Roman" w:hAnsi="Times New Roman" w:cs="Times New Roman"/>
          <w:bCs/>
          <w:i/>
          <w:iCs/>
          <w:kern w:val="0"/>
          <w:lang w:val="lt-LT" w:eastAsia="lt-LT"/>
          <w14:ligatures w14:val="none"/>
        </w:rPr>
        <w:t>CPO kataloge atrinktų subjektų kvalifikacija</w:t>
      </w:r>
      <w:r>
        <w:rPr>
          <w:rFonts w:ascii="Times New Roman" w:eastAsia="Times New Roman" w:hAnsi="Times New Roman" w:cs="Times New Roman"/>
          <w:bCs/>
          <w:i/>
          <w:iCs/>
          <w:kern w:val="0"/>
          <w:lang w:val="lt-LT" w:eastAsia="lt-LT"/>
          <w14:ligatures w14:val="none"/>
        </w:rPr>
        <w:t xml:space="preserve">, kuri būtų susijusi su rangos darbų atlikimu (finansinis, techninis, profesinis pajėgumas), nebuvo įvertinta. </w:t>
      </w:r>
      <w:r w:rsidRPr="005B55BC">
        <w:rPr>
          <w:rFonts w:ascii="Times New Roman" w:eastAsia="Times New Roman" w:hAnsi="Times New Roman" w:cs="Times New Roman"/>
          <w:bCs/>
          <w:i/>
          <w:iCs/>
          <w:kern w:val="0"/>
          <w:lang w:val="lt-LT" w:eastAsia="lt-LT"/>
          <w14:ligatures w14:val="none"/>
        </w:rPr>
        <w:t xml:space="preserve"> </w:t>
      </w:r>
      <w:r>
        <w:rPr>
          <w:rFonts w:ascii="Times New Roman" w:eastAsia="Times New Roman" w:hAnsi="Times New Roman" w:cs="Times New Roman"/>
          <w:bCs/>
          <w:i/>
          <w:iCs/>
          <w:kern w:val="0"/>
          <w:lang w:val="lt-LT" w:eastAsia="lt-LT"/>
          <w14:ligatures w14:val="none"/>
        </w:rPr>
        <w:t>A</w:t>
      </w:r>
      <w:r w:rsidRPr="005B55BC">
        <w:rPr>
          <w:rFonts w:ascii="Times New Roman" w:eastAsia="Times New Roman" w:hAnsi="Times New Roman" w:cs="Times New Roman"/>
          <w:bCs/>
          <w:i/>
          <w:iCs/>
          <w:kern w:val="0"/>
          <w:lang w:val="lt-LT" w:eastAsia="lt-LT"/>
          <w14:ligatures w14:val="none"/>
        </w:rPr>
        <w:t xml:space="preserve">trinkti ūkio subjektai gali ir neturėti patirties atliekant remonto darbus konkrečiame objekte  nuo darbų pradžios iki darbų pridavimo. Todėl, siekiant efektyvesnio lėšų panaudojimo neperkama per CPO, nes nėra galimybės įsitikinti - ar atrinkti subjektai iš viso turi (-ėjo) patirties </w:t>
      </w:r>
      <w:r w:rsidRPr="005B55BC">
        <w:rPr>
          <w:rFonts w:ascii="Times New Roman" w:eastAsia="Times New Roman" w:hAnsi="Times New Roman" w:cs="Times New Roman"/>
          <w:bCs/>
          <w:i/>
          <w:iCs/>
          <w:kern w:val="0"/>
          <w:u w:val="single"/>
          <w:lang w:val="lt-LT" w:eastAsia="lt-LT"/>
          <w14:ligatures w14:val="none"/>
        </w:rPr>
        <w:t>vykdant rangos darbus</w:t>
      </w:r>
      <w:r w:rsidRPr="005B55BC">
        <w:rPr>
          <w:rFonts w:ascii="Times New Roman" w:eastAsia="Times New Roman" w:hAnsi="Times New Roman" w:cs="Times New Roman"/>
          <w:bCs/>
          <w:i/>
          <w:iCs/>
          <w:kern w:val="0"/>
          <w:lang w:val="lt-LT" w:eastAsia="lt-LT"/>
          <w14:ligatures w14:val="none"/>
        </w:rPr>
        <w:t>.</w:t>
      </w:r>
    </w:p>
    <w:p w14:paraId="63870AFB" w14:textId="21FC10E0" w:rsidR="008D610E" w:rsidRDefault="008D610E" w:rsidP="008D610E">
      <w:pPr>
        <w:pStyle w:val="ListParagraph"/>
        <w:widowControl w:val="0"/>
        <w:numPr>
          <w:ilvl w:val="0"/>
          <w:numId w:val="2"/>
        </w:numPr>
        <w:tabs>
          <w:tab w:val="left" w:pos="1276"/>
        </w:tabs>
        <w:autoSpaceDE w:val="0"/>
        <w:autoSpaceDN w:val="0"/>
        <w:adjustRightInd w:val="0"/>
        <w:spacing w:after="0" w:line="240" w:lineRule="auto"/>
        <w:ind w:right="-1"/>
        <w:jc w:val="both"/>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Įvertinus tai, kad darbų atlikimo terminas nėra pratęsimas, siekiant aiškumo panaikin</w:t>
      </w:r>
      <w:r>
        <w:rPr>
          <w:rFonts w:ascii="Times New Roman" w:eastAsia="Times New Roman" w:hAnsi="Times New Roman" w:cs="Times New Roman"/>
          <w:kern w:val="0"/>
          <w:lang w:val="lt-LT" w:eastAsia="lt-LT"/>
          <w14:ligatures w14:val="none"/>
        </w:rPr>
        <w:t>amas</w:t>
      </w:r>
      <w:r>
        <w:rPr>
          <w:rFonts w:ascii="Times New Roman" w:eastAsia="Times New Roman" w:hAnsi="Times New Roman" w:cs="Times New Roman"/>
          <w:kern w:val="0"/>
          <w:lang w:val="lt-LT" w:eastAsia="lt-LT"/>
          <w14:ligatures w14:val="none"/>
        </w:rPr>
        <w:t xml:space="preserve"> Sutarties projekto 3.1 p. nuostat</w:t>
      </w:r>
      <w:r>
        <w:rPr>
          <w:rFonts w:ascii="Times New Roman" w:eastAsia="Times New Roman" w:hAnsi="Times New Roman" w:cs="Times New Roman"/>
          <w:kern w:val="0"/>
          <w:lang w:val="lt-LT" w:eastAsia="lt-LT"/>
          <w14:ligatures w14:val="none"/>
        </w:rPr>
        <w:t>a</w:t>
      </w:r>
      <w:r>
        <w:rPr>
          <w:rFonts w:ascii="Times New Roman" w:eastAsia="Times New Roman" w:hAnsi="Times New Roman" w:cs="Times New Roman"/>
          <w:kern w:val="0"/>
          <w:lang w:val="lt-LT" w:eastAsia="lt-LT"/>
          <w14:ligatures w14:val="none"/>
        </w:rPr>
        <w:t xml:space="preserve"> &lt;...&gt;</w:t>
      </w:r>
      <w:r w:rsidRPr="006A06B1">
        <w:rPr>
          <w:lang w:val="lt-LT"/>
        </w:rPr>
        <w:t xml:space="preserve"> </w:t>
      </w:r>
      <w:r w:rsidRPr="009A113B">
        <w:rPr>
          <w:rFonts w:ascii="Times New Roman" w:eastAsia="Times New Roman" w:hAnsi="Times New Roman" w:cs="Times New Roman"/>
          <w:i/>
          <w:iCs/>
          <w:strike/>
          <w:kern w:val="0"/>
          <w:lang w:val="lt-LT" w:eastAsia="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6A06B1">
        <w:rPr>
          <w:rFonts w:ascii="Times New Roman" w:eastAsia="Times New Roman" w:hAnsi="Times New Roman" w:cs="Times New Roman"/>
          <w:kern w:val="0"/>
          <w:lang w:val="lt-LT" w:eastAsia="lt-LT"/>
          <w14:ligatures w14:val="none"/>
        </w:rPr>
        <w:t>.</w:t>
      </w:r>
    </w:p>
    <w:p w14:paraId="4EBD2F0D" w14:textId="77777777" w:rsidR="008D610E" w:rsidRPr="008D610E" w:rsidRDefault="008D610E" w:rsidP="008D610E">
      <w:pPr>
        <w:pStyle w:val="ListParagraph"/>
        <w:widowControl w:val="0"/>
        <w:numPr>
          <w:ilvl w:val="0"/>
          <w:numId w:val="2"/>
        </w:numPr>
        <w:tabs>
          <w:tab w:val="left" w:pos="1276"/>
        </w:tabs>
        <w:autoSpaceDE w:val="0"/>
        <w:autoSpaceDN w:val="0"/>
        <w:adjustRightInd w:val="0"/>
        <w:spacing w:after="0" w:line="240" w:lineRule="auto"/>
        <w:ind w:right="-1"/>
        <w:jc w:val="both"/>
        <w:rPr>
          <w:rFonts w:ascii="Times New Roman" w:eastAsia="Times New Roman" w:hAnsi="Times New Roman" w:cs="Times New Roman"/>
          <w:i/>
          <w:iCs/>
          <w:kern w:val="0"/>
          <w:lang w:val="lt-LT" w:eastAsia="lt-LT"/>
          <w14:ligatures w14:val="none"/>
        </w:rPr>
      </w:pPr>
      <w:r>
        <w:rPr>
          <w:rFonts w:ascii="Times New Roman" w:eastAsia="Times New Roman" w:hAnsi="Times New Roman" w:cs="Times New Roman"/>
          <w:kern w:val="0"/>
          <w:lang w:val="lt-LT" w:eastAsia="lt-LT"/>
          <w14:ligatures w14:val="none"/>
        </w:rPr>
        <w:t>Sutarties projekto 7.2 p. išdėstyti taip &lt;...&gt;</w:t>
      </w:r>
      <w:r w:rsidRPr="001176C0">
        <w:t xml:space="preserve"> </w:t>
      </w:r>
      <w:r w:rsidRPr="008D610E">
        <w:rPr>
          <w:rFonts w:ascii="Times New Roman" w:eastAsia="Times New Roman" w:hAnsi="Times New Roman" w:cs="Times New Roman"/>
          <w:i/>
          <w:iCs/>
          <w:kern w:val="0"/>
          <w:lang w:val="lt-LT" w:eastAsia="lt-LT"/>
          <w14:ligatures w14:val="none"/>
        </w:rPr>
        <w:t>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Pr="001176C0">
        <w:rPr>
          <w:rFonts w:ascii="Times New Roman" w:eastAsia="Times New Roman" w:hAnsi="Times New Roman" w:cs="Times New Roman"/>
          <w:strike/>
          <w:kern w:val="0"/>
          <w:lang w:val="lt-LT" w:eastAsia="lt-LT"/>
          <w14:ligatures w14:val="none"/>
        </w:rPr>
        <w:t>, kaip nustatyta Lietuvos Respublikos aplinkos ministro 2011 m. birželio 28 d. įsakymu Nr. D1-508 patvirtinto „Dėl aplinkos apsaugos kriterijų taikymo, vykdant žaliuosius pirkimus, tvarkos aprašo patvirtinimo“  aprašo (toliau – Tvarkos aprašas) 4.1 punkte (žr. 2 priedo 17 p. Dažai, 20 p. Plytelės , 22  p. Elektros lempos).</w:t>
      </w:r>
      <w:r>
        <w:rPr>
          <w:rFonts w:ascii="Times New Roman" w:eastAsia="Times New Roman" w:hAnsi="Times New Roman" w:cs="Times New Roman"/>
          <w:kern w:val="0"/>
          <w:lang w:val="lt-LT" w:eastAsia="lt-LT"/>
          <w14:ligatures w14:val="none"/>
        </w:rPr>
        <w:t xml:space="preserve"> </w:t>
      </w:r>
      <w:r w:rsidRPr="001176C0">
        <w:rPr>
          <w:rFonts w:ascii="Times New Roman" w:eastAsia="Times New Roman" w:hAnsi="Times New Roman" w:cs="Times New Roman"/>
          <w:strike/>
          <w:kern w:val="0"/>
          <w:lang w:val="lt-LT" w:eastAsia="lt-LT"/>
          <w14:ligatures w14:val="none"/>
        </w:rPr>
        <w:t>Nustačius, kad Rangovas nenaudojo medžiagų, atitinkančių reikalavimus, Rangovas privalės jas pakeisti medžiagom, kurios tenkina minėto teisės akto reikalavimus.</w:t>
      </w:r>
      <w:r w:rsidRPr="001176C0">
        <w:rPr>
          <w:rFonts w:ascii="Times New Roman" w:eastAsia="Times New Roman" w:hAnsi="Times New Roman" w:cs="Times New Roman"/>
          <w:kern w:val="0"/>
          <w:lang w:val="lt-LT" w:eastAsia="lt-LT"/>
          <w14:ligatures w14:val="none"/>
        </w:rPr>
        <w:t xml:space="preserve"> </w:t>
      </w:r>
      <w:r w:rsidRPr="008D610E">
        <w:rPr>
          <w:rFonts w:ascii="Times New Roman" w:eastAsia="Times New Roman" w:hAnsi="Times New Roman" w:cs="Times New Roman"/>
          <w:i/>
          <w:iCs/>
          <w:kern w:val="0"/>
          <w:lang w:val="lt-LT" w:eastAsia="lt-LT"/>
          <w14:ligatures w14:val="none"/>
        </w:rPr>
        <w:t>Už kiekvieną nustatytą atvejį kai Rangovas nesilaiko</w:t>
      </w:r>
      <w:r w:rsidRPr="008D610E">
        <w:rPr>
          <w:i/>
          <w:iCs/>
          <w:lang w:val="lt-LT"/>
        </w:rPr>
        <w:t xml:space="preserve"> </w:t>
      </w:r>
      <w:r w:rsidRPr="008D610E">
        <w:rPr>
          <w:rFonts w:ascii="Times New Roman" w:eastAsia="Times New Roman" w:hAnsi="Times New Roman" w:cs="Times New Roman"/>
          <w:i/>
          <w:iCs/>
          <w:kern w:val="0"/>
          <w:lang w:val="lt-LT" w:eastAsia="lt-LT"/>
          <w14:ligatures w14:val="none"/>
        </w:rPr>
        <w:t>LST EN ISO 14001 arba lygiaverčių priemonių,  Rangovas sumoka 1000 Eur baudą už kiekvieną nustatytą atvejį.</w:t>
      </w:r>
    </w:p>
    <w:p w14:paraId="4AC2E6D4" w14:textId="77777777" w:rsidR="008D610E" w:rsidRDefault="008D610E" w:rsidP="008D610E">
      <w:pPr>
        <w:pStyle w:val="ListParagraph"/>
        <w:widowControl w:val="0"/>
        <w:numPr>
          <w:ilvl w:val="0"/>
          <w:numId w:val="2"/>
        </w:numPr>
        <w:tabs>
          <w:tab w:val="left" w:pos="1276"/>
        </w:tabs>
        <w:autoSpaceDE w:val="0"/>
        <w:autoSpaceDN w:val="0"/>
        <w:adjustRightInd w:val="0"/>
        <w:spacing w:after="0" w:line="240" w:lineRule="auto"/>
        <w:ind w:right="-1"/>
        <w:jc w:val="both"/>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 xml:space="preserve">Patikslinti pirkimo sąlygų 5 priedo 2 lentelės 1 p. kvalifikacinį reikalavimą  ir jį išdėstyti taip </w:t>
      </w:r>
    </w:p>
    <w:p w14:paraId="321E3C71" w14:textId="77777777" w:rsidR="008D610E" w:rsidRPr="001176C0" w:rsidRDefault="008D610E" w:rsidP="008D610E">
      <w:pPr>
        <w:widowControl w:val="0"/>
        <w:tabs>
          <w:tab w:val="left" w:pos="1276"/>
        </w:tabs>
        <w:autoSpaceDE w:val="0"/>
        <w:autoSpaceDN w:val="0"/>
        <w:adjustRightInd w:val="0"/>
        <w:spacing w:after="0" w:line="240" w:lineRule="auto"/>
        <w:ind w:left="360" w:right="-1"/>
        <w:jc w:val="both"/>
        <w:rPr>
          <w:rFonts w:ascii="Times New Roman" w:eastAsia="Times New Roman" w:hAnsi="Times New Roman" w:cs="Times New Roman"/>
          <w:i/>
          <w:iCs/>
          <w:kern w:val="0"/>
          <w:lang w:val="lt-LT" w:eastAsia="lt-LT"/>
          <w14:ligatures w14:val="none"/>
        </w:rPr>
      </w:pPr>
      <w:r>
        <w:rPr>
          <w:rFonts w:ascii="Times New Roman" w:eastAsia="Times New Roman" w:hAnsi="Times New Roman" w:cs="Times New Roman"/>
          <w:kern w:val="0"/>
          <w:lang w:val="lt-LT" w:eastAsia="lt-LT"/>
          <w14:ligatures w14:val="none"/>
        </w:rPr>
        <w:t>&lt;...&gt;</w:t>
      </w:r>
      <w:r w:rsidRPr="001176C0">
        <w:rPr>
          <w:lang w:val="lt-LT"/>
        </w:rPr>
        <w:t xml:space="preserve"> </w:t>
      </w:r>
      <w:r w:rsidRPr="001176C0">
        <w:rPr>
          <w:rFonts w:ascii="Times New Roman" w:eastAsia="Times New Roman" w:hAnsi="Times New Roman" w:cs="Times New Roman"/>
          <w:i/>
          <w:iCs/>
          <w:kern w:val="0"/>
          <w:lang w:val="lt-LT" w:eastAsia="lt-LT"/>
          <w14:ligatures w14:val="none"/>
        </w:rPr>
        <w:t>Per pastaruosius 5 (penkis) metus iki pasiūlymų pateikimo termino pabaigos, nurodytos skelbime apie Pirkimą, arba per laiką nuo tiekėjo įregistravimo dienos (jeigu tiekėjas vykdė veiklą mažiau nei 5 (penkis) metus</w:t>
      </w:r>
      <w:r w:rsidRPr="00EB4B9A">
        <w:rPr>
          <w:rFonts w:ascii="Times New Roman" w:eastAsia="Times New Roman" w:hAnsi="Times New Roman" w:cs="Times New Roman"/>
          <w:i/>
          <w:iCs/>
          <w:kern w:val="0"/>
          <w:u w:val="single"/>
          <w:lang w:val="lt-LT" w:eastAsia="lt-LT"/>
          <w14:ligatures w14:val="none"/>
        </w:rPr>
        <w:t>), pagal vieną ar daugiau sutarčių</w:t>
      </w:r>
      <w:r w:rsidRPr="001176C0">
        <w:rPr>
          <w:rFonts w:ascii="Times New Roman" w:eastAsia="Times New Roman" w:hAnsi="Times New Roman" w:cs="Times New Roman"/>
          <w:i/>
          <w:iCs/>
          <w:kern w:val="0"/>
          <w:lang w:val="lt-LT" w:eastAsia="lt-LT"/>
          <w14:ligatures w14:val="none"/>
        </w:rPr>
        <w:t xml:space="preserve"> turi būti įvykdęs savo jėgomis gyvenamojo/negyvenamojo pastato statybos darb</w:t>
      </w:r>
      <w:r>
        <w:rPr>
          <w:rFonts w:ascii="Times New Roman" w:eastAsia="Times New Roman" w:hAnsi="Times New Roman" w:cs="Times New Roman"/>
          <w:i/>
          <w:iCs/>
          <w:kern w:val="0"/>
          <w:lang w:val="lt-LT" w:eastAsia="lt-LT"/>
          <w14:ligatures w14:val="none"/>
        </w:rPr>
        <w:t>us</w:t>
      </w:r>
      <w:r w:rsidRPr="001176C0">
        <w:rPr>
          <w:rFonts w:ascii="Times New Roman" w:eastAsia="Times New Roman" w:hAnsi="Times New Roman" w:cs="Times New Roman"/>
          <w:i/>
          <w:iCs/>
          <w:kern w:val="0"/>
          <w:lang w:val="lt-LT" w:eastAsia="lt-LT"/>
          <w14:ligatures w14:val="none"/>
        </w:rPr>
        <w:t xml:space="preserve"> (nauja statyba ir/ar rekonstrukcija ir/ar remontas), kurios</w:t>
      </w:r>
      <w:r>
        <w:rPr>
          <w:rFonts w:ascii="Times New Roman" w:eastAsia="Times New Roman" w:hAnsi="Times New Roman" w:cs="Times New Roman"/>
          <w:i/>
          <w:iCs/>
          <w:kern w:val="0"/>
          <w:lang w:val="lt-LT" w:eastAsia="lt-LT"/>
          <w14:ligatures w14:val="none"/>
        </w:rPr>
        <w:t xml:space="preserve"> (-</w:t>
      </w:r>
      <w:proofErr w:type="spellStart"/>
      <w:r>
        <w:rPr>
          <w:rFonts w:ascii="Times New Roman" w:eastAsia="Times New Roman" w:hAnsi="Times New Roman" w:cs="Times New Roman"/>
          <w:i/>
          <w:iCs/>
          <w:kern w:val="0"/>
          <w:lang w:val="lt-LT" w:eastAsia="lt-LT"/>
          <w14:ligatures w14:val="none"/>
        </w:rPr>
        <w:t>ių</w:t>
      </w:r>
      <w:proofErr w:type="spellEnd"/>
      <w:r>
        <w:rPr>
          <w:rFonts w:ascii="Times New Roman" w:eastAsia="Times New Roman" w:hAnsi="Times New Roman" w:cs="Times New Roman"/>
          <w:i/>
          <w:iCs/>
          <w:kern w:val="0"/>
          <w:lang w:val="lt-LT" w:eastAsia="lt-LT"/>
          <w14:ligatures w14:val="none"/>
        </w:rPr>
        <w:t>)</w:t>
      </w:r>
      <w:r w:rsidRPr="001176C0">
        <w:rPr>
          <w:rFonts w:ascii="Times New Roman" w:eastAsia="Times New Roman" w:hAnsi="Times New Roman" w:cs="Times New Roman"/>
          <w:i/>
          <w:iCs/>
          <w:kern w:val="0"/>
          <w:lang w:val="lt-LT" w:eastAsia="lt-LT"/>
          <w14:ligatures w14:val="none"/>
        </w:rPr>
        <w:t xml:space="preserve"> vertė būtų ne mažiau nei 150 000 Eur be PVM </w:t>
      </w:r>
      <w:r w:rsidRPr="00EB4B9A">
        <w:rPr>
          <w:rFonts w:ascii="Times New Roman" w:eastAsia="Times New Roman" w:hAnsi="Times New Roman" w:cs="Times New Roman"/>
          <w:i/>
          <w:iCs/>
          <w:kern w:val="0"/>
          <w:lang w:val="lt-LT" w:eastAsia="lt-LT"/>
          <w14:ligatures w14:val="none"/>
        </w:rPr>
        <w:t xml:space="preserve">ir </w:t>
      </w:r>
      <w:r w:rsidRPr="00EB4B9A">
        <w:rPr>
          <w:rFonts w:ascii="Times New Roman" w:eastAsia="Times New Roman" w:hAnsi="Times New Roman" w:cs="Times New Roman"/>
          <w:i/>
          <w:iCs/>
          <w:strike/>
          <w:kern w:val="0"/>
          <w:lang w:val="lt-LT" w:eastAsia="lt-LT"/>
          <w14:ligatures w14:val="none"/>
        </w:rPr>
        <w:t xml:space="preserve">svarbiausių darbų atlikimas ir </w:t>
      </w:r>
      <w:r w:rsidRPr="00EB4B9A">
        <w:rPr>
          <w:rFonts w:ascii="Times New Roman" w:eastAsia="Times New Roman" w:hAnsi="Times New Roman" w:cs="Times New Roman"/>
          <w:i/>
          <w:iCs/>
          <w:kern w:val="0"/>
          <w:lang w:val="lt-LT" w:eastAsia="lt-LT"/>
          <w14:ligatures w14:val="none"/>
        </w:rPr>
        <w:t>galutiniai rezultatai buvo tinkami</w:t>
      </w:r>
      <w:r w:rsidRPr="001176C0">
        <w:rPr>
          <w:rFonts w:ascii="Times New Roman" w:eastAsia="Times New Roman" w:hAnsi="Times New Roman" w:cs="Times New Roman"/>
          <w:i/>
          <w:iCs/>
          <w:kern w:val="0"/>
          <w:lang w:val="lt-LT" w:eastAsia="lt-LT"/>
          <w14:ligatures w14:val="none"/>
        </w:rPr>
        <w:t>.</w:t>
      </w:r>
      <w:r>
        <w:rPr>
          <w:rFonts w:ascii="Times New Roman" w:eastAsia="Times New Roman" w:hAnsi="Times New Roman" w:cs="Times New Roman"/>
          <w:i/>
          <w:iCs/>
          <w:kern w:val="0"/>
          <w:lang w:val="lt-LT" w:eastAsia="lt-LT"/>
          <w14:ligatures w14:val="none"/>
        </w:rPr>
        <w:t xml:space="preserve"> </w:t>
      </w:r>
    </w:p>
    <w:p w14:paraId="38AC629D" w14:textId="53CAD472" w:rsidR="00182E94" w:rsidRPr="008E5F52" w:rsidRDefault="008D610E">
      <w:pPr>
        <w:rPr>
          <w:rFonts w:ascii="Times New Roman" w:hAnsi="Times New Roman" w:cs="Times New Roman"/>
          <w:lang w:val="lt-LT"/>
        </w:rPr>
      </w:pPr>
      <w:r>
        <w:rPr>
          <w:rFonts w:ascii="Times New Roman" w:hAnsi="Times New Roman" w:cs="Times New Roman"/>
          <w:lang w:val="lt-LT"/>
        </w:rPr>
        <w:t>Informuojame, kad pasiūlymų pateikimo terminas nukeliamas iki 2025-07-17 9 val. 00 min.</w:t>
      </w:r>
    </w:p>
    <w:sectPr w:rsidR="00182E94" w:rsidRPr="008E5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14C3D"/>
    <w:multiLevelType w:val="hybridMultilevel"/>
    <w:tmpl w:val="275077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B87864"/>
    <w:multiLevelType w:val="hybridMultilevel"/>
    <w:tmpl w:val="663A2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0040604">
    <w:abstractNumId w:val="0"/>
  </w:num>
  <w:num w:numId="2" w16cid:durableId="23528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52"/>
    <w:rsid w:val="00182E94"/>
    <w:rsid w:val="001B0839"/>
    <w:rsid w:val="002374AE"/>
    <w:rsid w:val="007C0E97"/>
    <w:rsid w:val="007E4FF7"/>
    <w:rsid w:val="00860676"/>
    <w:rsid w:val="008D5A4C"/>
    <w:rsid w:val="008D610E"/>
    <w:rsid w:val="008E5F52"/>
    <w:rsid w:val="00960BC3"/>
    <w:rsid w:val="00BF5C58"/>
    <w:rsid w:val="00EF7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EF01"/>
  <w15:chartTrackingRefBased/>
  <w15:docId w15:val="{FB30F69E-9B48-49BA-BC41-7BAF2D31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F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5F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F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F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5F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F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5F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F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F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F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F52"/>
    <w:rPr>
      <w:rFonts w:eastAsiaTheme="majorEastAsia" w:cstheme="majorBidi"/>
      <w:color w:val="272727" w:themeColor="text1" w:themeTint="D8"/>
    </w:rPr>
  </w:style>
  <w:style w:type="paragraph" w:styleId="Title">
    <w:name w:val="Title"/>
    <w:basedOn w:val="Normal"/>
    <w:next w:val="Normal"/>
    <w:link w:val="TitleChar"/>
    <w:uiPriority w:val="10"/>
    <w:qFormat/>
    <w:rsid w:val="008E5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F52"/>
    <w:pPr>
      <w:spacing w:before="160"/>
      <w:jc w:val="center"/>
    </w:pPr>
    <w:rPr>
      <w:i/>
      <w:iCs/>
      <w:color w:val="404040" w:themeColor="text1" w:themeTint="BF"/>
    </w:rPr>
  </w:style>
  <w:style w:type="character" w:customStyle="1" w:styleId="QuoteChar">
    <w:name w:val="Quote Char"/>
    <w:basedOn w:val="DefaultParagraphFont"/>
    <w:link w:val="Quote"/>
    <w:uiPriority w:val="29"/>
    <w:rsid w:val="008E5F52"/>
    <w:rPr>
      <w:i/>
      <w:iCs/>
      <w:color w:val="404040" w:themeColor="text1" w:themeTint="BF"/>
    </w:rPr>
  </w:style>
  <w:style w:type="paragraph" w:styleId="ListParagraph">
    <w:name w:val="List Paragraph"/>
    <w:basedOn w:val="Normal"/>
    <w:uiPriority w:val="34"/>
    <w:qFormat/>
    <w:rsid w:val="008E5F52"/>
    <w:pPr>
      <w:ind w:left="720"/>
      <w:contextualSpacing/>
    </w:pPr>
  </w:style>
  <w:style w:type="character" w:styleId="IntenseEmphasis">
    <w:name w:val="Intense Emphasis"/>
    <w:basedOn w:val="DefaultParagraphFont"/>
    <w:uiPriority w:val="21"/>
    <w:qFormat/>
    <w:rsid w:val="008E5F52"/>
    <w:rPr>
      <w:i/>
      <w:iCs/>
      <w:color w:val="2F5496" w:themeColor="accent1" w:themeShade="BF"/>
    </w:rPr>
  </w:style>
  <w:style w:type="paragraph" w:styleId="IntenseQuote">
    <w:name w:val="Intense Quote"/>
    <w:basedOn w:val="Normal"/>
    <w:next w:val="Normal"/>
    <w:link w:val="IntenseQuoteChar"/>
    <w:uiPriority w:val="30"/>
    <w:qFormat/>
    <w:rsid w:val="008E5F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F52"/>
    <w:rPr>
      <w:i/>
      <w:iCs/>
      <w:color w:val="2F5496" w:themeColor="accent1" w:themeShade="BF"/>
    </w:rPr>
  </w:style>
  <w:style w:type="character" w:styleId="IntenseReference">
    <w:name w:val="Intense Reference"/>
    <w:basedOn w:val="DefaultParagraphFont"/>
    <w:uiPriority w:val="32"/>
    <w:qFormat/>
    <w:rsid w:val="008E5F52"/>
    <w:rPr>
      <w:b/>
      <w:bCs/>
      <w:smallCaps/>
      <w:color w:val="2F5496" w:themeColor="accent1" w:themeShade="BF"/>
      <w:spacing w:val="5"/>
    </w:rPr>
  </w:style>
  <w:style w:type="table" w:styleId="TableGrid">
    <w:name w:val="Table Grid"/>
    <w:basedOn w:val="TableNormal"/>
    <w:uiPriority w:val="39"/>
    <w:rsid w:val="008E5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540674">
      <w:bodyDiv w:val="1"/>
      <w:marLeft w:val="0"/>
      <w:marRight w:val="0"/>
      <w:marTop w:val="0"/>
      <w:marBottom w:val="0"/>
      <w:divBdr>
        <w:top w:val="none" w:sz="0" w:space="0" w:color="auto"/>
        <w:left w:val="none" w:sz="0" w:space="0" w:color="auto"/>
        <w:bottom w:val="none" w:sz="0" w:space="0" w:color="auto"/>
        <w:right w:val="none" w:sz="0" w:space="0" w:color="auto"/>
      </w:divBdr>
    </w:div>
    <w:div w:id="193300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1345</Words>
  <Characters>7672</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Ruslanas Ruslanas</dc:creator>
  <cp:keywords/>
  <dc:description/>
  <cp:lastModifiedBy>Ruslanas Ruslanas</cp:lastModifiedBy>
  <cp:revision>2</cp:revision>
  <cp:lastPrinted>2025-07-04T11:33:00Z</cp:lastPrinted>
  <dcterms:created xsi:type="dcterms:W3CDTF">2025-07-08T13:07:00Z</dcterms:created>
  <dcterms:modified xsi:type="dcterms:W3CDTF">2025-07-08T13:07:00Z</dcterms:modified>
</cp:coreProperties>
</file>