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DB3C" w14:textId="1A0DB36A" w:rsidR="00A75213" w:rsidRPr="00112C7D" w:rsidRDefault="008D69DA" w:rsidP="00A75213">
      <w:pPr>
        <w:jc w:val="right"/>
        <w:rPr>
          <w:rFonts w:ascii="Verdana" w:hAnsi="Verdana"/>
          <w:sz w:val="20"/>
          <w:lang w:val="en-GB"/>
        </w:rPr>
      </w:pPr>
      <w:r w:rsidRPr="00112C7D">
        <w:rPr>
          <w:rFonts w:ascii="Verdana" w:hAnsi="Verdana"/>
          <w:sz w:val="20"/>
          <w:lang w:val="en-GB"/>
        </w:rPr>
        <w:t>Annex 5. ASSESSMENT OF PROPOSALS</w:t>
      </w:r>
      <w:r w:rsidRPr="00112C7D" w:rsidDel="008D69DA">
        <w:rPr>
          <w:rFonts w:ascii="Verdana" w:hAnsi="Verdana"/>
          <w:sz w:val="20"/>
          <w:lang w:val="en-GB"/>
        </w:rPr>
        <w:t xml:space="preserve"> </w:t>
      </w:r>
    </w:p>
    <w:p w14:paraId="26F2788C" w14:textId="77777777" w:rsidR="00A75213" w:rsidRPr="00112C7D" w:rsidRDefault="00A75213" w:rsidP="00A75213">
      <w:pPr>
        <w:rPr>
          <w:rFonts w:ascii="Verdana" w:hAnsi="Verdana"/>
          <w:sz w:val="20"/>
          <w:lang w:val="en-GB"/>
        </w:rPr>
      </w:pPr>
    </w:p>
    <w:p w14:paraId="3F074E21" w14:textId="1AA8A29B" w:rsidR="00A75213" w:rsidRPr="00112C7D" w:rsidRDefault="008D69DA" w:rsidP="00A75213">
      <w:pPr>
        <w:autoSpaceDE w:val="0"/>
        <w:autoSpaceDN w:val="0"/>
        <w:adjustRightInd w:val="0"/>
        <w:ind w:firstLine="851"/>
        <w:jc w:val="center"/>
        <w:rPr>
          <w:rFonts w:ascii="Verdana" w:hAnsi="Verdana"/>
          <w:b/>
          <w:sz w:val="20"/>
          <w:lang w:val="en-GB"/>
        </w:rPr>
      </w:pPr>
      <w:r w:rsidRPr="00112C7D">
        <w:rPr>
          <w:rFonts w:ascii="Verdana" w:hAnsi="Verdana"/>
          <w:b/>
          <w:sz w:val="20"/>
          <w:lang w:val="en-GB"/>
        </w:rPr>
        <w:t>DESCRIPTION OF THE EVALUATION OF TENDERS ON THE BASIS OF PRICE/QUALITY RATIO</w:t>
      </w:r>
      <w:r w:rsidRPr="00112C7D" w:rsidDel="008D69DA">
        <w:rPr>
          <w:rFonts w:ascii="Verdana" w:hAnsi="Verdana"/>
          <w:b/>
          <w:sz w:val="20"/>
          <w:lang w:val="en-GB"/>
        </w:rPr>
        <w:t xml:space="preserve"> </w:t>
      </w:r>
    </w:p>
    <w:p w14:paraId="164D1578" w14:textId="77777777" w:rsidR="00A75213" w:rsidRPr="00112C7D" w:rsidRDefault="00A75213" w:rsidP="00F240CA">
      <w:pPr>
        <w:autoSpaceDE w:val="0"/>
        <w:autoSpaceDN w:val="0"/>
        <w:adjustRightInd w:val="0"/>
        <w:rPr>
          <w:rFonts w:ascii="Verdana" w:hAnsi="Verdana"/>
          <w:b/>
          <w:sz w:val="20"/>
          <w:lang w:val="en-GB"/>
        </w:rPr>
      </w:pPr>
    </w:p>
    <w:p w14:paraId="23DAF5AF" w14:textId="6FE68A80" w:rsidR="00B5423E" w:rsidRPr="00112C7D" w:rsidRDefault="00B5423E" w:rsidP="00366976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eastAsia="MS Mincho" w:hAnsi="Verdana"/>
          <w:iCs/>
          <w:sz w:val="20"/>
          <w:lang w:val="en-GB"/>
        </w:rPr>
      </w:pPr>
      <w:r w:rsidRPr="00112C7D">
        <w:rPr>
          <w:rFonts w:ascii="Verdana" w:eastAsia="MS Mincho" w:hAnsi="Verdana"/>
          <w:iCs/>
          <w:sz w:val="20"/>
          <w:lang w:val="en-GB"/>
        </w:rPr>
        <w:t xml:space="preserve">The contracting authority shall select the most economically advantageous tender </w:t>
      </w:r>
      <w:r w:rsidR="00366976" w:rsidRPr="00112C7D">
        <w:rPr>
          <w:rFonts w:ascii="Verdana" w:eastAsia="MS Mincho" w:hAnsi="Verdana"/>
          <w:iCs/>
          <w:sz w:val="20"/>
          <w:lang w:val="en-GB"/>
        </w:rPr>
        <w:t>based on</w:t>
      </w:r>
      <w:r w:rsidRPr="00112C7D">
        <w:rPr>
          <w:rFonts w:ascii="Verdana" w:eastAsia="MS Mincho" w:hAnsi="Verdana"/>
          <w:iCs/>
          <w:sz w:val="20"/>
          <w:lang w:val="en-GB"/>
        </w:rPr>
        <w:t xml:space="preserve"> price/quality ratio. </w:t>
      </w:r>
    </w:p>
    <w:p w14:paraId="22101145" w14:textId="431DB4BA" w:rsidR="00B5423E" w:rsidRPr="00112C7D" w:rsidRDefault="00B5423E" w:rsidP="00366976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eastAsia="MS Mincho" w:hAnsi="Verdana"/>
          <w:iCs/>
          <w:sz w:val="20"/>
          <w:lang w:val="en-GB"/>
        </w:rPr>
      </w:pPr>
      <w:r w:rsidRPr="00112C7D">
        <w:rPr>
          <w:rFonts w:ascii="Verdana" w:eastAsia="MS Mincho" w:hAnsi="Verdana"/>
          <w:iCs/>
          <w:sz w:val="20"/>
          <w:lang w:val="en-GB"/>
        </w:rPr>
        <w:t xml:space="preserve">The evaluation of the most economically advantageous tender will be carried out </w:t>
      </w:r>
      <w:r w:rsidR="00366976" w:rsidRPr="00112C7D">
        <w:rPr>
          <w:rFonts w:ascii="Verdana" w:eastAsia="MS Mincho" w:hAnsi="Verdana"/>
          <w:iCs/>
          <w:sz w:val="20"/>
          <w:lang w:val="en-GB"/>
        </w:rPr>
        <w:t>based on</w:t>
      </w:r>
      <w:r w:rsidRPr="00112C7D">
        <w:rPr>
          <w:rFonts w:ascii="Verdana" w:eastAsia="MS Mincho" w:hAnsi="Verdana"/>
          <w:iCs/>
          <w:sz w:val="20"/>
          <w:lang w:val="en-GB"/>
        </w:rPr>
        <w:t xml:space="preserve"> the evaluation criteria and their relative weights. </w:t>
      </w:r>
    </w:p>
    <w:p w14:paraId="5D733D9C" w14:textId="567A587F" w:rsidR="00B5423E" w:rsidRPr="00112C7D" w:rsidRDefault="00B5423E" w:rsidP="00366976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eastAsia="MS Mincho" w:hAnsi="Verdana"/>
          <w:iCs/>
          <w:sz w:val="20"/>
          <w:lang w:val="en-GB"/>
        </w:rPr>
      </w:pPr>
      <w:r w:rsidRPr="00112C7D">
        <w:rPr>
          <w:rFonts w:ascii="Verdana" w:eastAsia="MS Mincho" w:hAnsi="Verdana"/>
          <w:iCs/>
          <w:sz w:val="20"/>
          <w:lang w:val="en-GB"/>
        </w:rPr>
        <w:t>The tenders submitted for the procurement shall be examined and evaluated by the Commission.</w:t>
      </w:r>
    </w:p>
    <w:p w14:paraId="290F76B2" w14:textId="34910294" w:rsidR="00B5423E" w:rsidRPr="00112C7D" w:rsidRDefault="00B5423E" w:rsidP="00366976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eastAsia="MS Mincho" w:hAnsi="Verdana"/>
          <w:iCs/>
          <w:sz w:val="20"/>
          <w:lang w:val="en-GB"/>
        </w:rPr>
      </w:pPr>
      <w:r w:rsidRPr="00112C7D">
        <w:rPr>
          <w:rFonts w:ascii="Verdana" w:eastAsia="MS Mincho" w:hAnsi="Verdana"/>
          <w:iCs/>
          <w:sz w:val="20"/>
          <w:lang w:val="en-GB"/>
        </w:rPr>
        <w:t>Criteria for the evaluation of tenders:</w:t>
      </w:r>
    </w:p>
    <w:p w14:paraId="51494927" w14:textId="1AE3DE5C" w:rsidR="00B5423E" w:rsidRPr="00112C7D" w:rsidRDefault="00B5423E" w:rsidP="00366976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Verdana" w:eastAsia="MS Mincho" w:hAnsi="Verdana"/>
          <w:iCs/>
          <w:sz w:val="20"/>
          <w:lang w:val="en-GB"/>
        </w:rPr>
      </w:pPr>
      <w:r w:rsidRPr="00112C7D">
        <w:rPr>
          <w:rFonts w:ascii="Verdana" w:eastAsia="MS Mincho" w:hAnsi="Verdana"/>
          <w:iCs/>
          <w:sz w:val="20"/>
          <w:lang w:val="en-GB"/>
        </w:rPr>
        <w:t xml:space="preserve">Price. The total price of the tender, including all taxes and all costs incurred by the supplier in providing the services, shall be evaluated. </w:t>
      </w:r>
    </w:p>
    <w:p w14:paraId="6666B9DA" w14:textId="2EA1D27C" w:rsidR="002F1659" w:rsidRPr="00112C7D" w:rsidRDefault="00B5423E" w:rsidP="002F1659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Verdana" w:eastAsia="MS Mincho" w:hAnsi="Verdana"/>
          <w:iCs/>
          <w:sz w:val="20"/>
          <w:lang w:val="en-GB"/>
        </w:rPr>
      </w:pPr>
      <w:r w:rsidRPr="00112C7D">
        <w:rPr>
          <w:rFonts w:ascii="Verdana" w:eastAsia="MS Mincho" w:hAnsi="Verdana"/>
          <w:iCs/>
          <w:sz w:val="20"/>
          <w:lang w:val="en-GB"/>
        </w:rPr>
        <w:t xml:space="preserve">Quality. The merits of the platform offered by the supplier shall be evaluated in accordance with the cost-effectiveness evaluation criteria. </w:t>
      </w:r>
    </w:p>
    <w:p w14:paraId="44B50B86" w14:textId="1CA78053" w:rsidR="00A75213" w:rsidRPr="00112C7D" w:rsidRDefault="00B5423E" w:rsidP="002F1659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eastAsia="MS Mincho" w:hAnsi="Verdana"/>
          <w:iCs/>
          <w:sz w:val="20"/>
          <w:lang w:val="en-GB"/>
        </w:rPr>
      </w:pPr>
      <w:r w:rsidRPr="00112C7D">
        <w:rPr>
          <w:rFonts w:ascii="Verdana" w:eastAsia="MS Mincho" w:hAnsi="Verdana"/>
          <w:iCs/>
          <w:sz w:val="20"/>
          <w:lang w:val="en-GB"/>
        </w:rPr>
        <w:t>Criteria for the evaluation of tenders:</w:t>
      </w:r>
      <w:bookmarkStart w:id="0" w:name="_Ref60482388"/>
      <w:bookmarkStart w:id="1" w:name="_Ref251740517"/>
      <w:bookmarkEnd w:id="0"/>
      <w:bookmarkEnd w:id="1"/>
    </w:p>
    <w:tbl>
      <w:tblPr>
        <w:tblW w:w="972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247"/>
        <w:gridCol w:w="1467"/>
        <w:gridCol w:w="1300"/>
        <w:gridCol w:w="1508"/>
      </w:tblGrid>
      <w:tr w:rsidR="001F7317" w:rsidRPr="00112C7D" w14:paraId="2100F458" w14:textId="77777777" w:rsidTr="006424F2">
        <w:trPr>
          <w:cantSplit/>
          <w:tblHeader/>
        </w:trPr>
        <w:tc>
          <w:tcPr>
            <w:tcW w:w="56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A9B8AE" w14:textId="16793111" w:rsidR="001F7317" w:rsidRPr="00112C7D" w:rsidRDefault="004D1389" w:rsidP="006424F2">
            <w:pPr>
              <w:spacing w:line="254" w:lineRule="auto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bookmarkStart w:id="2" w:name="_Hlk56410660"/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Evaluation criteria</w:t>
            </w:r>
          </w:p>
        </w:tc>
        <w:tc>
          <w:tcPr>
            <w:tcW w:w="14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1ED828" w14:textId="4C1074A9" w:rsidR="001F7317" w:rsidRPr="00112C7D" w:rsidRDefault="000F6602" w:rsidP="006424F2">
            <w:pPr>
              <w:spacing w:line="254" w:lineRule="auto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Maximum number of points to be awarded</w:t>
            </w:r>
            <w:r w:rsidR="00DB78DA" w:rsidRPr="00112C7D">
              <w:rPr>
                <w:rFonts w:ascii="Verdana" w:hAnsi="Verdana"/>
                <w:b/>
                <w:bCs/>
                <w:sz w:val="20"/>
                <w:lang w:val="en-GB"/>
              </w:rPr>
              <w:t xml:space="preserve"> (maximum possible value for the parameter)</w:t>
            </w:r>
          </w:p>
        </w:tc>
        <w:tc>
          <w:tcPr>
            <w:tcW w:w="13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hideMark/>
          </w:tcPr>
          <w:p w14:paraId="27575491" w14:textId="20008EE9" w:rsidR="001F7317" w:rsidRPr="00112C7D" w:rsidRDefault="000F6602" w:rsidP="006424F2">
            <w:pPr>
              <w:spacing w:line="254" w:lineRule="auto"/>
              <w:rPr>
                <w:rFonts w:ascii="Verdana" w:hAnsi="Verdana"/>
                <w:b/>
                <w:bCs/>
                <w:sz w:val="20"/>
                <w:lang w:val="en-GB"/>
              </w:rPr>
            </w:pPr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Benchmark weight for the functional parameter of the criterion</w:t>
            </w:r>
          </w:p>
        </w:tc>
        <w:tc>
          <w:tcPr>
            <w:tcW w:w="1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5416F1" w14:textId="5BDC69D7" w:rsidR="001F7317" w:rsidRPr="00112C7D" w:rsidRDefault="000F6602" w:rsidP="006424F2">
            <w:pPr>
              <w:spacing w:line="254" w:lineRule="auto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Comparative weighting in the cost-effectiveness assessment</w:t>
            </w:r>
          </w:p>
        </w:tc>
      </w:tr>
      <w:tr w:rsidR="001F7317" w:rsidRPr="00112C7D" w14:paraId="568C1A52" w14:textId="77777777" w:rsidTr="006424F2">
        <w:trPr>
          <w:cantSplit/>
        </w:trPr>
        <w:tc>
          <w:tcPr>
            <w:tcW w:w="5664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AA90D0" w14:textId="6A1BF1AB" w:rsidR="001F7317" w:rsidRPr="00112C7D" w:rsidRDefault="000F6602" w:rsidP="006424F2">
            <w:pPr>
              <w:spacing w:line="254" w:lineRule="auto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FIRST CRITERIA</w:t>
            </w:r>
            <w:r w:rsidR="001F7317" w:rsidRPr="00112C7D">
              <w:rPr>
                <w:rFonts w:ascii="Verdana" w:hAnsi="Verdana"/>
                <w:b/>
                <w:bCs/>
                <w:sz w:val="20"/>
                <w:lang w:val="en-GB"/>
              </w:rPr>
              <w:t xml:space="preserve"> – </w:t>
            </w:r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PRICE</w:t>
            </w:r>
            <w:r w:rsidR="001F7317" w:rsidRPr="00112C7D">
              <w:rPr>
                <w:rFonts w:ascii="Verdana" w:hAnsi="Verdana"/>
                <w:b/>
                <w:bCs/>
                <w:sz w:val="20"/>
                <w:lang w:val="en-GB"/>
              </w:rPr>
              <w:t xml:space="preserve"> (C)</w:t>
            </w:r>
          </w:p>
        </w:tc>
        <w:tc>
          <w:tcPr>
            <w:tcW w:w="2777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8241EB" w14:textId="77777777" w:rsidR="001F7317" w:rsidRPr="00112C7D" w:rsidRDefault="001F7317" w:rsidP="006424F2">
            <w:pPr>
              <w:spacing w:line="254" w:lineRule="auto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27C3B6" w14:textId="77777777" w:rsidR="001F7317" w:rsidRPr="00112C7D" w:rsidRDefault="001F7317" w:rsidP="006424F2">
            <w:pPr>
              <w:spacing w:line="254" w:lineRule="auto"/>
              <w:jc w:val="center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sz w:val="20"/>
                <w:lang w:val="en-GB"/>
              </w:rPr>
              <w:t>X=40</w:t>
            </w:r>
          </w:p>
        </w:tc>
      </w:tr>
      <w:tr w:rsidR="001F7317" w:rsidRPr="00112C7D" w14:paraId="25EEE62A" w14:textId="77777777" w:rsidTr="006424F2">
        <w:tc>
          <w:tcPr>
            <w:tcW w:w="5664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DAA9B5" w14:textId="7774546C" w:rsidR="001F7317" w:rsidRPr="00112C7D" w:rsidRDefault="000F6602" w:rsidP="006424F2">
            <w:pPr>
              <w:spacing w:line="254" w:lineRule="auto"/>
              <w:ind w:right="152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SECOND</w:t>
            </w:r>
            <w:r w:rsidR="001F7317" w:rsidRPr="00112C7D">
              <w:rPr>
                <w:rFonts w:ascii="Verdana" w:hAnsi="Verdana"/>
                <w:b/>
                <w:bCs/>
                <w:sz w:val="20"/>
                <w:lang w:val="en-GB"/>
              </w:rPr>
              <w:t xml:space="preserve"> </w:t>
            </w:r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CRITERIA</w:t>
            </w:r>
            <w:r w:rsidR="001F7317" w:rsidRPr="00112C7D">
              <w:rPr>
                <w:rFonts w:ascii="Verdana" w:hAnsi="Verdana"/>
                <w:b/>
                <w:bCs/>
                <w:sz w:val="20"/>
                <w:lang w:val="en-GB"/>
              </w:rPr>
              <w:t xml:space="preserve"> – </w:t>
            </w:r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Media content management system functionality</w:t>
            </w:r>
            <w:r w:rsidR="006244AB" w:rsidRPr="00112C7D">
              <w:rPr>
                <w:rFonts w:ascii="Verdana" w:hAnsi="Verdana"/>
                <w:b/>
                <w:bCs/>
                <w:sz w:val="20"/>
                <w:lang w:val="en-GB"/>
              </w:rPr>
              <w:t xml:space="preserve"> </w:t>
            </w:r>
            <w:r w:rsidR="001F7317" w:rsidRPr="00112C7D">
              <w:rPr>
                <w:rFonts w:ascii="Verdana" w:hAnsi="Verdana"/>
                <w:b/>
                <w:bCs/>
                <w:sz w:val="20"/>
                <w:lang w:val="en-GB"/>
              </w:rPr>
              <w:t>(T</w:t>
            </w:r>
            <w:r w:rsidR="001F7317" w:rsidRPr="00112C7D">
              <w:rPr>
                <w:rFonts w:ascii="Verdana" w:hAnsi="Verdana"/>
                <w:b/>
                <w:bCs/>
                <w:sz w:val="20"/>
                <w:vertAlign w:val="subscript"/>
                <w:lang w:val="en-GB"/>
              </w:rPr>
              <w:t>1</w:t>
            </w:r>
            <w:r w:rsidR="001F7317" w:rsidRPr="00112C7D">
              <w:rPr>
                <w:rFonts w:ascii="Verdana" w:hAnsi="Verdana"/>
                <w:b/>
                <w:bCs/>
                <w:sz w:val="20"/>
                <w:lang w:val="en-GB"/>
              </w:rPr>
              <w:t>)</w:t>
            </w:r>
          </w:p>
        </w:tc>
        <w:tc>
          <w:tcPr>
            <w:tcW w:w="2777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AD707F" w14:textId="77777777" w:rsidR="001F7317" w:rsidRPr="00112C7D" w:rsidRDefault="001F7317" w:rsidP="006424F2">
            <w:pPr>
              <w:spacing w:line="254" w:lineRule="auto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C1BFFB" w14:textId="4A5E912B" w:rsidR="001F7317" w:rsidRPr="00112C7D" w:rsidRDefault="001F7317" w:rsidP="006424F2">
            <w:pPr>
              <w:spacing w:line="254" w:lineRule="auto"/>
              <w:jc w:val="center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sz w:val="20"/>
                <w:lang w:val="en-GB"/>
              </w:rPr>
              <w:t>Y</w:t>
            </w:r>
            <w:r w:rsidR="00CD13CE" w:rsidRPr="00112C7D">
              <w:rPr>
                <w:rFonts w:ascii="Verdana" w:hAnsi="Verdana"/>
                <w:sz w:val="20"/>
                <w:vertAlign w:val="subscript"/>
                <w:lang w:val="en-GB"/>
              </w:rPr>
              <w:t>1</w:t>
            </w:r>
            <w:r w:rsidRPr="00112C7D">
              <w:rPr>
                <w:rFonts w:ascii="Verdana" w:hAnsi="Verdana"/>
                <w:sz w:val="20"/>
                <w:lang w:val="en-GB"/>
              </w:rPr>
              <w:t xml:space="preserve">= </w:t>
            </w:r>
            <w:r w:rsidR="00A27DAE" w:rsidRPr="00112C7D">
              <w:rPr>
                <w:rFonts w:ascii="Verdana" w:hAnsi="Verdana"/>
                <w:sz w:val="20"/>
                <w:lang w:val="en-GB"/>
              </w:rPr>
              <w:t>3</w:t>
            </w:r>
            <w:r w:rsidRPr="00112C7D">
              <w:rPr>
                <w:rFonts w:ascii="Verdana" w:hAnsi="Verdana"/>
                <w:sz w:val="20"/>
                <w:lang w:val="en-GB"/>
              </w:rPr>
              <w:t>0</w:t>
            </w:r>
          </w:p>
        </w:tc>
      </w:tr>
      <w:tr w:rsidR="001F7317" w:rsidRPr="00112C7D" w14:paraId="618ACBDA" w14:textId="77777777" w:rsidTr="006424F2">
        <w:tc>
          <w:tcPr>
            <w:tcW w:w="12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0094E6" w14:textId="77777777" w:rsidR="001F7317" w:rsidRPr="00112C7D" w:rsidRDefault="001F7317" w:rsidP="006424F2">
            <w:pPr>
              <w:spacing w:line="254" w:lineRule="auto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sz w:val="20"/>
                <w:lang w:val="en-GB"/>
              </w:rPr>
              <w:t>1.</w:t>
            </w:r>
          </w:p>
        </w:tc>
        <w:tc>
          <w:tcPr>
            <w:tcW w:w="440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5D2BE0" w14:textId="06E36C91" w:rsidR="001F7317" w:rsidRPr="00112C7D" w:rsidRDefault="0066290F" w:rsidP="006424F2">
            <w:pPr>
              <w:spacing w:line="254" w:lineRule="auto"/>
              <w:ind w:right="132"/>
              <w:jc w:val="both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sz w:val="20"/>
                <w:lang w:val="en-GB"/>
              </w:rPr>
              <w:t>Ability to access functionality using an API</w:t>
            </w:r>
            <w:r w:rsidR="001F7317" w:rsidRPr="00112C7D">
              <w:rPr>
                <w:rFonts w:ascii="Verdana" w:hAnsi="Verdana"/>
                <w:sz w:val="20"/>
                <w:lang w:val="en-GB"/>
              </w:rPr>
              <w:t xml:space="preserve"> </w:t>
            </w:r>
            <w:r w:rsidR="00EA1E9C" w:rsidRPr="00112C7D">
              <w:rPr>
                <w:rFonts w:ascii="Verdana" w:hAnsi="Verdana"/>
                <w:sz w:val="20"/>
                <w:lang w:val="en-GB"/>
              </w:rPr>
              <w:t>(P</w:t>
            </w:r>
            <w:r w:rsidR="00EA1E9C" w:rsidRPr="00112C7D">
              <w:rPr>
                <w:rFonts w:ascii="Verdana" w:hAnsi="Verdana"/>
                <w:sz w:val="20"/>
                <w:vertAlign w:val="subscript"/>
                <w:lang w:val="en-GB"/>
              </w:rPr>
              <w:t>1</w:t>
            </w:r>
            <w:r w:rsidR="00EA1E9C" w:rsidRPr="00112C7D">
              <w:rPr>
                <w:rFonts w:ascii="Verdana" w:hAnsi="Verdana"/>
                <w:sz w:val="20"/>
                <w:lang w:val="en-GB"/>
              </w:rPr>
              <w:t>)</w:t>
            </w:r>
          </w:p>
        </w:tc>
        <w:tc>
          <w:tcPr>
            <w:tcW w:w="14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68EE91" w14:textId="6E0AA864" w:rsidR="001F7317" w:rsidRPr="00112C7D" w:rsidRDefault="001F7317" w:rsidP="006424F2">
            <w:pPr>
              <w:spacing w:line="254" w:lineRule="auto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sz w:val="20"/>
                <w:lang w:val="en-GB"/>
              </w:rPr>
              <w:t>ma</w:t>
            </w:r>
            <w:r w:rsidR="000F6602" w:rsidRPr="00112C7D">
              <w:rPr>
                <w:rFonts w:ascii="Verdana" w:hAnsi="Verdana"/>
                <w:sz w:val="20"/>
                <w:lang w:val="en-GB"/>
              </w:rPr>
              <w:t>x</w:t>
            </w:r>
            <w:r w:rsidRPr="00112C7D">
              <w:rPr>
                <w:rFonts w:ascii="Verdana" w:hAnsi="Verdana"/>
                <w:sz w:val="20"/>
                <w:lang w:val="en-GB"/>
              </w:rPr>
              <w:t xml:space="preserve"> </w:t>
            </w:r>
            <w:r w:rsidR="0066290F" w:rsidRPr="00112C7D">
              <w:rPr>
                <w:rFonts w:ascii="Verdana" w:hAnsi="Verdana"/>
                <w:sz w:val="20"/>
                <w:lang w:val="en-GB"/>
              </w:rPr>
              <w:t>17</w:t>
            </w:r>
            <w:r w:rsidRPr="00112C7D">
              <w:rPr>
                <w:rFonts w:ascii="Verdana" w:hAnsi="Verdana"/>
                <w:sz w:val="20"/>
                <w:lang w:val="en-GB"/>
              </w:rPr>
              <w:t xml:space="preserve"> </w:t>
            </w:r>
            <w:r w:rsidR="000F6602" w:rsidRPr="00112C7D">
              <w:rPr>
                <w:rFonts w:ascii="Verdana" w:hAnsi="Verdana"/>
                <w:sz w:val="20"/>
                <w:lang w:val="en-GB"/>
              </w:rPr>
              <w:t>points</w:t>
            </w:r>
          </w:p>
        </w:tc>
        <w:tc>
          <w:tcPr>
            <w:tcW w:w="13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950160" w14:textId="77777777" w:rsidR="001F7317" w:rsidRPr="00112C7D" w:rsidRDefault="001F7317" w:rsidP="006424F2">
            <w:pPr>
              <w:spacing w:line="254" w:lineRule="auto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sz w:val="20"/>
                <w:lang w:val="en-GB"/>
              </w:rPr>
              <w:t>L</w:t>
            </w:r>
            <w:r w:rsidRPr="00112C7D">
              <w:rPr>
                <w:rFonts w:ascii="Verdana" w:hAnsi="Verdana"/>
                <w:sz w:val="20"/>
                <w:vertAlign w:val="subscript"/>
                <w:lang w:val="en-GB"/>
              </w:rPr>
              <w:t>1</w:t>
            </w:r>
            <w:r w:rsidRPr="00112C7D">
              <w:rPr>
                <w:rFonts w:ascii="Verdana" w:hAnsi="Verdana"/>
                <w:sz w:val="20"/>
                <w:lang w:val="en-GB"/>
              </w:rPr>
              <w:t>= 1</w:t>
            </w:r>
          </w:p>
        </w:tc>
        <w:tc>
          <w:tcPr>
            <w:tcW w:w="128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628B67" w14:textId="77777777" w:rsidR="001F7317" w:rsidRPr="00112C7D" w:rsidRDefault="001F7317" w:rsidP="006424F2">
            <w:pPr>
              <w:spacing w:line="254" w:lineRule="auto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</w:p>
        </w:tc>
      </w:tr>
      <w:tr w:rsidR="001F7317" w:rsidRPr="00112C7D" w14:paraId="309CBC4B" w14:textId="77777777" w:rsidTr="00366976">
        <w:trPr>
          <w:cantSplit/>
          <w:trHeight w:val="639"/>
        </w:trPr>
        <w:tc>
          <w:tcPr>
            <w:tcW w:w="5664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BB5771" w14:textId="7E87EBF8" w:rsidR="001F7317" w:rsidRPr="00112C7D" w:rsidRDefault="00BC77DA" w:rsidP="006424F2">
            <w:pPr>
              <w:spacing w:line="254" w:lineRule="auto"/>
              <w:ind w:right="152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THIRD CRITERIA</w:t>
            </w:r>
            <w:r w:rsidR="001F7317" w:rsidRPr="00112C7D">
              <w:rPr>
                <w:rFonts w:ascii="Verdana" w:hAnsi="Verdana"/>
                <w:b/>
                <w:bCs/>
                <w:sz w:val="20"/>
                <w:lang w:val="en-GB"/>
              </w:rPr>
              <w:t xml:space="preserve"> – </w:t>
            </w:r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Media content hosting system functionality</w:t>
            </w:r>
            <w:r w:rsidR="002C3424" w:rsidRPr="00112C7D">
              <w:rPr>
                <w:rFonts w:ascii="Verdana" w:hAnsi="Verdana"/>
                <w:b/>
                <w:bCs/>
                <w:sz w:val="20"/>
                <w:lang w:val="en-GB"/>
              </w:rPr>
              <w:t xml:space="preserve"> </w:t>
            </w:r>
            <w:r w:rsidR="001F7317" w:rsidRPr="00112C7D">
              <w:rPr>
                <w:rFonts w:ascii="Verdana" w:hAnsi="Verdana"/>
                <w:b/>
                <w:bCs/>
                <w:sz w:val="20"/>
                <w:lang w:val="en-GB"/>
              </w:rPr>
              <w:t>(T</w:t>
            </w:r>
            <w:r w:rsidR="001F7317" w:rsidRPr="00112C7D">
              <w:rPr>
                <w:rFonts w:ascii="Verdana" w:hAnsi="Verdana"/>
                <w:b/>
                <w:bCs/>
                <w:sz w:val="20"/>
                <w:vertAlign w:val="subscript"/>
                <w:lang w:val="en-GB"/>
              </w:rPr>
              <w:t>2</w:t>
            </w:r>
            <w:r w:rsidR="001F7317" w:rsidRPr="00112C7D">
              <w:rPr>
                <w:rFonts w:ascii="Verdana" w:hAnsi="Verdana"/>
                <w:b/>
                <w:bCs/>
                <w:sz w:val="20"/>
                <w:lang w:val="en-GB"/>
              </w:rPr>
              <w:t>)</w:t>
            </w:r>
          </w:p>
        </w:tc>
        <w:tc>
          <w:tcPr>
            <w:tcW w:w="2777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165D72" w14:textId="77777777" w:rsidR="001F7317" w:rsidRPr="00112C7D" w:rsidRDefault="001F7317" w:rsidP="006424F2">
            <w:pPr>
              <w:spacing w:line="254" w:lineRule="auto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0BBE9F" w14:textId="3497E122" w:rsidR="001F7317" w:rsidRPr="00112C7D" w:rsidRDefault="001F7317" w:rsidP="006424F2">
            <w:pPr>
              <w:spacing w:line="254" w:lineRule="auto"/>
              <w:jc w:val="center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sz w:val="20"/>
                <w:lang w:val="en-GB"/>
              </w:rPr>
              <w:t>Y</w:t>
            </w:r>
            <w:r w:rsidR="00CD13CE" w:rsidRPr="00112C7D">
              <w:rPr>
                <w:rFonts w:ascii="Verdana" w:hAnsi="Verdana"/>
                <w:sz w:val="20"/>
                <w:vertAlign w:val="subscript"/>
                <w:lang w:val="en-GB"/>
              </w:rPr>
              <w:t>2</w:t>
            </w:r>
            <w:r w:rsidRPr="00112C7D">
              <w:rPr>
                <w:rFonts w:ascii="Verdana" w:hAnsi="Verdana"/>
                <w:sz w:val="20"/>
                <w:lang w:val="en-GB"/>
              </w:rPr>
              <w:t xml:space="preserve">= </w:t>
            </w:r>
            <w:r w:rsidR="00A27DAE" w:rsidRPr="00112C7D">
              <w:rPr>
                <w:rFonts w:ascii="Verdana" w:hAnsi="Verdana"/>
                <w:sz w:val="20"/>
                <w:lang w:val="en-GB"/>
              </w:rPr>
              <w:t>3</w:t>
            </w:r>
            <w:r w:rsidRPr="00112C7D">
              <w:rPr>
                <w:rFonts w:ascii="Verdana" w:hAnsi="Verdana"/>
                <w:sz w:val="20"/>
                <w:lang w:val="en-GB"/>
              </w:rPr>
              <w:t>0</w:t>
            </w:r>
          </w:p>
        </w:tc>
      </w:tr>
      <w:tr w:rsidR="001F7317" w:rsidRPr="00112C7D" w14:paraId="51DD071B" w14:textId="77777777" w:rsidTr="006424F2">
        <w:tc>
          <w:tcPr>
            <w:tcW w:w="12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F05DB2" w14:textId="77777777" w:rsidR="001F7317" w:rsidRPr="00112C7D" w:rsidRDefault="001F7317" w:rsidP="006424F2">
            <w:pPr>
              <w:spacing w:line="254" w:lineRule="auto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sz w:val="20"/>
                <w:lang w:val="en-GB"/>
              </w:rPr>
              <w:t>1.</w:t>
            </w:r>
          </w:p>
        </w:tc>
        <w:tc>
          <w:tcPr>
            <w:tcW w:w="440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471DFA" w14:textId="013095A6" w:rsidR="001F7317" w:rsidRPr="00112C7D" w:rsidRDefault="000F6602" w:rsidP="006424F2">
            <w:pPr>
              <w:spacing w:line="254" w:lineRule="auto"/>
              <w:ind w:right="132"/>
              <w:jc w:val="both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i/>
                <w:iCs/>
                <w:sz w:val="20"/>
                <w:lang w:val="en-GB"/>
              </w:rPr>
              <w:t>VOD media hosting and access functionality is assessed.</w:t>
            </w:r>
            <w:r w:rsidR="00CD248E" w:rsidRPr="00112C7D">
              <w:rPr>
                <w:rFonts w:ascii="Verdana" w:hAnsi="Verdana"/>
                <w:i/>
                <w:iCs/>
                <w:sz w:val="20"/>
                <w:lang w:val="en-GB"/>
              </w:rPr>
              <w:t xml:space="preserve"> </w:t>
            </w:r>
            <w:r w:rsidR="00CD248E" w:rsidRPr="00112C7D">
              <w:rPr>
                <w:rFonts w:ascii="Verdana" w:hAnsi="Verdana"/>
                <w:sz w:val="20"/>
                <w:lang w:val="en-GB"/>
              </w:rPr>
              <w:t>(P</w:t>
            </w:r>
            <w:r w:rsidR="00CD248E" w:rsidRPr="00112C7D">
              <w:rPr>
                <w:rFonts w:ascii="Verdana" w:hAnsi="Verdana"/>
                <w:sz w:val="20"/>
                <w:vertAlign w:val="subscript"/>
                <w:lang w:val="en-GB"/>
              </w:rPr>
              <w:t>2</w:t>
            </w:r>
            <w:r w:rsidR="00CD248E" w:rsidRPr="00112C7D">
              <w:rPr>
                <w:rFonts w:ascii="Verdana" w:hAnsi="Verdana"/>
                <w:sz w:val="20"/>
                <w:lang w:val="en-GB"/>
              </w:rPr>
              <w:t>)</w:t>
            </w:r>
          </w:p>
        </w:tc>
        <w:tc>
          <w:tcPr>
            <w:tcW w:w="14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55CF05" w14:textId="4B129BE3" w:rsidR="001F7317" w:rsidRPr="00112C7D" w:rsidRDefault="001F7317" w:rsidP="006424F2">
            <w:pPr>
              <w:spacing w:line="254" w:lineRule="auto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sz w:val="20"/>
                <w:lang w:val="en-GB"/>
              </w:rPr>
              <w:t>ma</w:t>
            </w:r>
            <w:r w:rsidR="000F6602" w:rsidRPr="00112C7D">
              <w:rPr>
                <w:rFonts w:ascii="Verdana" w:hAnsi="Verdana"/>
                <w:sz w:val="20"/>
                <w:lang w:val="en-GB"/>
              </w:rPr>
              <w:t>x</w:t>
            </w:r>
            <w:r w:rsidRPr="00112C7D">
              <w:rPr>
                <w:rFonts w:ascii="Verdana" w:hAnsi="Verdana"/>
                <w:sz w:val="20"/>
                <w:lang w:val="en-GB"/>
              </w:rPr>
              <w:t xml:space="preserve"> 1 </w:t>
            </w:r>
            <w:r w:rsidR="000F6602" w:rsidRPr="00112C7D">
              <w:rPr>
                <w:rFonts w:ascii="Verdana" w:hAnsi="Verdana"/>
                <w:sz w:val="20"/>
                <w:lang w:val="en-GB"/>
              </w:rPr>
              <w:t>point</w:t>
            </w:r>
          </w:p>
        </w:tc>
        <w:tc>
          <w:tcPr>
            <w:tcW w:w="13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F3CC6F" w14:textId="57C66FBA" w:rsidR="001F7317" w:rsidRPr="00112C7D" w:rsidRDefault="001F7317" w:rsidP="006424F2">
            <w:pPr>
              <w:spacing w:line="254" w:lineRule="auto"/>
              <w:rPr>
                <w:rFonts w:ascii="Verdana" w:eastAsia="Calibri" w:hAnsi="Verdana"/>
                <w:color w:val="000000"/>
                <w:sz w:val="20"/>
                <w:lang w:val="en-GB"/>
              </w:rPr>
            </w:pPr>
            <w:r w:rsidRPr="00112C7D">
              <w:rPr>
                <w:rFonts w:ascii="Verdana" w:hAnsi="Verdana"/>
                <w:sz w:val="20"/>
                <w:lang w:val="en-GB"/>
              </w:rPr>
              <w:t>L</w:t>
            </w:r>
            <w:r w:rsidRPr="00112C7D">
              <w:rPr>
                <w:rFonts w:ascii="Verdana" w:hAnsi="Verdana"/>
                <w:sz w:val="20"/>
                <w:vertAlign w:val="subscript"/>
                <w:lang w:val="en-GB"/>
              </w:rPr>
              <w:t>2</w:t>
            </w:r>
            <w:r w:rsidRPr="00112C7D">
              <w:rPr>
                <w:rFonts w:ascii="Verdana" w:hAnsi="Verdana"/>
                <w:sz w:val="20"/>
                <w:lang w:val="en-GB"/>
              </w:rPr>
              <w:t>= 0,</w:t>
            </w:r>
            <w:r w:rsidR="00A27DAE" w:rsidRPr="00112C7D">
              <w:rPr>
                <w:rFonts w:ascii="Verdana" w:hAnsi="Verdana"/>
                <w:sz w:val="20"/>
                <w:lang w:val="en-GB"/>
              </w:rPr>
              <w:t>5</w:t>
            </w:r>
          </w:p>
        </w:tc>
        <w:tc>
          <w:tcPr>
            <w:tcW w:w="128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F67B17" w14:textId="77777777" w:rsidR="001F7317" w:rsidRPr="00112C7D" w:rsidRDefault="001F7317" w:rsidP="006424F2">
            <w:pPr>
              <w:spacing w:line="254" w:lineRule="auto"/>
              <w:rPr>
                <w:rFonts w:ascii="Verdana" w:eastAsia="Calibri" w:hAnsi="Verdana"/>
                <w:color w:val="000000"/>
                <w:sz w:val="20"/>
                <w:highlight w:val="yellow"/>
                <w:lang w:val="en-GB"/>
              </w:rPr>
            </w:pPr>
          </w:p>
        </w:tc>
      </w:tr>
      <w:tr w:rsidR="001F7317" w:rsidRPr="00112C7D" w14:paraId="122A0E81" w14:textId="77777777" w:rsidTr="006424F2">
        <w:tc>
          <w:tcPr>
            <w:tcW w:w="12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668A6D" w14:textId="77777777" w:rsidR="001F7317" w:rsidRPr="00112C7D" w:rsidRDefault="001F7317" w:rsidP="006424F2">
            <w:pPr>
              <w:spacing w:line="254" w:lineRule="auto"/>
              <w:rPr>
                <w:rFonts w:ascii="Verdana" w:hAnsi="Verdana"/>
                <w:sz w:val="20"/>
                <w:lang w:val="en-GB"/>
              </w:rPr>
            </w:pPr>
            <w:r w:rsidRPr="00112C7D">
              <w:rPr>
                <w:rFonts w:ascii="Verdana" w:hAnsi="Verdana"/>
                <w:sz w:val="20"/>
                <w:lang w:val="en-GB"/>
              </w:rPr>
              <w:t>2.</w:t>
            </w:r>
          </w:p>
        </w:tc>
        <w:tc>
          <w:tcPr>
            <w:tcW w:w="440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D9357E" w14:textId="2DA24137" w:rsidR="001F7317" w:rsidRPr="00112C7D" w:rsidRDefault="000F6602" w:rsidP="006424F2">
            <w:pPr>
              <w:spacing w:line="254" w:lineRule="auto"/>
              <w:ind w:right="132"/>
              <w:jc w:val="both"/>
              <w:rPr>
                <w:rFonts w:ascii="Verdana" w:hAnsi="Verdana"/>
                <w:sz w:val="20"/>
                <w:lang w:val="en-GB"/>
              </w:rPr>
            </w:pPr>
            <w:r w:rsidRPr="00112C7D">
              <w:rPr>
                <w:rFonts w:ascii="Verdana" w:hAnsi="Verdana"/>
                <w:i/>
                <w:iCs/>
                <w:sz w:val="20"/>
                <w:lang w:val="en-GB"/>
              </w:rPr>
              <w:t>LRT's live streaming publishing and access functionality is evaluated</w:t>
            </w:r>
            <w:r w:rsidR="00DE3DBB" w:rsidRPr="00112C7D">
              <w:rPr>
                <w:rFonts w:ascii="Verdana" w:hAnsi="Verdana"/>
                <w:i/>
                <w:iCs/>
                <w:sz w:val="20"/>
                <w:lang w:val="en-GB"/>
              </w:rPr>
              <w:t>.</w:t>
            </w:r>
            <w:r w:rsidR="001F7317" w:rsidRPr="00112C7D">
              <w:rPr>
                <w:rFonts w:ascii="Verdana" w:hAnsi="Verdana"/>
                <w:sz w:val="20"/>
                <w:lang w:val="en-GB"/>
              </w:rPr>
              <w:t xml:space="preserve"> (P</w:t>
            </w:r>
            <w:r w:rsidR="001F7317" w:rsidRPr="00112C7D">
              <w:rPr>
                <w:rFonts w:ascii="Verdana" w:hAnsi="Verdana"/>
                <w:sz w:val="20"/>
                <w:vertAlign w:val="subscript"/>
                <w:lang w:val="en-GB"/>
              </w:rPr>
              <w:t>3</w:t>
            </w:r>
            <w:r w:rsidR="001F7317" w:rsidRPr="00112C7D">
              <w:rPr>
                <w:rFonts w:ascii="Verdana" w:hAnsi="Verdana"/>
                <w:sz w:val="20"/>
                <w:lang w:val="en-GB"/>
              </w:rPr>
              <w:t>)</w:t>
            </w:r>
          </w:p>
        </w:tc>
        <w:tc>
          <w:tcPr>
            <w:tcW w:w="14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E5D799" w14:textId="0DEA8BB7" w:rsidR="001F7317" w:rsidRPr="00112C7D" w:rsidRDefault="001F7317" w:rsidP="006424F2">
            <w:pPr>
              <w:spacing w:line="254" w:lineRule="auto"/>
              <w:rPr>
                <w:rFonts w:ascii="Verdana" w:hAnsi="Verdana"/>
                <w:sz w:val="20"/>
                <w:lang w:val="en-GB"/>
              </w:rPr>
            </w:pPr>
            <w:r w:rsidRPr="00112C7D">
              <w:rPr>
                <w:rFonts w:ascii="Verdana" w:hAnsi="Verdana"/>
                <w:sz w:val="20"/>
                <w:lang w:val="en-GB"/>
              </w:rPr>
              <w:t>ma</w:t>
            </w:r>
            <w:r w:rsidR="000F6602" w:rsidRPr="00112C7D">
              <w:rPr>
                <w:rFonts w:ascii="Verdana" w:hAnsi="Verdana"/>
                <w:sz w:val="20"/>
                <w:lang w:val="en-GB"/>
              </w:rPr>
              <w:t>x</w:t>
            </w:r>
            <w:r w:rsidRPr="00112C7D">
              <w:rPr>
                <w:rFonts w:ascii="Verdana" w:hAnsi="Verdana"/>
                <w:sz w:val="20"/>
                <w:lang w:val="en-GB"/>
              </w:rPr>
              <w:t xml:space="preserve"> 1 </w:t>
            </w:r>
            <w:r w:rsidR="000F6602" w:rsidRPr="00112C7D">
              <w:rPr>
                <w:rFonts w:ascii="Verdana" w:hAnsi="Verdana"/>
                <w:sz w:val="20"/>
                <w:lang w:val="en-GB"/>
              </w:rPr>
              <w:t>point</w:t>
            </w:r>
          </w:p>
        </w:tc>
        <w:tc>
          <w:tcPr>
            <w:tcW w:w="13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8CE498" w14:textId="20EDF8F2" w:rsidR="001F7317" w:rsidRPr="00112C7D" w:rsidRDefault="001F7317" w:rsidP="006424F2">
            <w:pPr>
              <w:spacing w:line="254" w:lineRule="auto"/>
              <w:rPr>
                <w:rFonts w:ascii="Verdana" w:hAnsi="Verdana"/>
                <w:sz w:val="20"/>
                <w:lang w:val="en-GB"/>
              </w:rPr>
            </w:pPr>
            <w:r w:rsidRPr="00112C7D">
              <w:rPr>
                <w:rFonts w:ascii="Verdana" w:hAnsi="Verdana"/>
                <w:sz w:val="20"/>
                <w:lang w:val="en-GB"/>
              </w:rPr>
              <w:t>L</w:t>
            </w:r>
            <w:r w:rsidRPr="00112C7D">
              <w:rPr>
                <w:rFonts w:ascii="Verdana" w:hAnsi="Verdana"/>
                <w:sz w:val="20"/>
                <w:vertAlign w:val="subscript"/>
                <w:lang w:val="en-GB"/>
              </w:rPr>
              <w:t>3</w:t>
            </w:r>
            <w:r w:rsidRPr="00112C7D">
              <w:rPr>
                <w:rFonts w:ascii="Verdana" w:hAnsi="Verdana"/>
                <w:sz w:val="20"/>
                <w:lang w:val="en-GB"/>
              </w:rPr>
              <w:t>= 0,</w:t>
            </w:r>
            <w:r w:rsidR="00A27DAE" w:rsidRPr="00112C7D">
              <w:rPr>
                <w:rFonts w:ascii="Verdana" w:hAnsi="Verdana"/>
                <w:sz w:val="20"/>
                <w:lang w:val="en-GB"/>
              </w:rPr>
              <w:t>5</w:t>
            </w:r>
          </w:p>
        </w:tc>
        <w:tc>
          <w:tcPr>
            <w:tcW w:w="128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2A7727" w14:textId="77777777" w:rsidR="001F7317" w:rsidRPr="00112C7D" w:rsidRDefault="001F7317" w:rsidP="006424F2">
            <w:pPr>
              <w:spacing w:line="254" w:lineRule="auto"/>
              <w:rPr>
                <w:rFonts w:ascii="Verdana" w:eastAsia="Calibri" w:hAnsi="Verdana"/>
                <w:color w:val="000000"/>
                <w:sz w:val="20"/>
                <w:highlight w:val="yellow"/>
                <w:lang w:val="en-GB"/>
              </w:rPr>
            </w:pPr>
          </w:p>
        </w:tc>
      </w:tr>
      <w:bookmarkEnd w:id="2"/>
    </w:tbl>
    <w:p w14:paraId="0DC2CB27" w14:textId="77777777" w:rsidR="001F7317" w:rsidRPr="00112C7D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  <w:lang w:val="en-GB"/>
        </w:rPr>
      </w:pPr>
    </w:p>
    <w:p w14:paraId="04F86253" w14:textId="1BB640B4" w:rsidR="001F7317" w:rsidRPr="00112C7D" w:rsidRDefault="007E5B16" w:rsidP="002F1659">
      <w:pPr>
        <w:numPr>
          <w:ilvl w:val="0"/>
          <w:numId w:val="16"/>
        </w:numPr>
        <w:suppressAutoHyphens/>
        <w:contextualSpacing/>
        <w:rPr>
          <w:rFonts w:ascii="Verdana" w:eastAsia="Calibri" w:hAnsi="Verdana"/>
          <w:sz w:val="20"/>
          <w:lang w:val="en-GB"/>
        </w:rPr>
      </w:pPr>
      <w:r w:rsidRPr="00112C7D">
        <w:rPr>
          <w:rFonts w:ascii="Verdana" w:eastAsia="Calibri" w:hAnsi="Verdana"/>
          <w:sz w:val="20"/>
          <w:lang w:val="en-GB"/>
        </w:rPr>
        <w:t xml:space="preserve">The economic viability of the tender (S) is calculated by adding the </w:t>
      </w:r>
      <w:r w:rsidR="00BC77DA" w:rsidRPr="00112C7D">
        <w:rPr>
          <w:rFonts w:ascii="Verdana" w:eastAsia="Calibri" w:hAnsi="Verdana"/>
          <w:sz w:val="20"/>
          <w:lang w:val="en-GB"/>
        </w:rPr>
        <w:t>points</w:t>
      </w:r>
      <w:r w:rsidRPr="00112C7D">
        <w:rPr>
          <w:rFonts w:ascii="Verdana" w:eastAsia="Calibri" w:hAnsi="Verdana"/>
          <w:sz w:val="20"/>
          <w:lang w:val="en-GB"/>
        </w:rPr>
        <w:t xml:space="preserve"> for the tender price (C) and the </w:t>
      </w:r>
      <w:r w:rsidR="00BC77DA" w:rsidRPr="00112C7D">
        <w:rPr>
          <w:rFonts w:ascii="Verdana" w:eastAsia="Calibri" w:hAnsi="Verdana"/>
          <w:sz w:val="20"/>
          <w:lang w:val="en-GB"/>
        </w:rPr>
        <w:t>points</w:t>
      </w:r>
      <w:r w:rsidRPr="00112C7D">
        <w:rPr>
          <w:rFonts w:ascii="Verdana" w:eastAsia="Calibri" w:hAnsi="Verdana"/>
          <w:sz w:val="20"/>
          <w:lang w:val="en-GB"/>
        </w:rPr>
        <w:t xml:space="preserve"> for the other criteria (T)</w:t>
      </w:r>
      <w:r w:rsidR="001F7317" w:rsidRPr="00112C7D">
        <w:rPr>
          <w:rFonts w:ascii="Verdana" w:eastAsia="Calibri" w:hAnsi="Verdana"/>
          <w:sz w:val="20"/>
          <w:lang w:val="en-GB"/>
        </w:rPr>
        <w:t xml:space="preserve">: </w:t>
      </w:r>
    </w:p>
    <w:p w14:paraId="47E0C4BF" w14:textId="77777777" w:rsidR="001F7317" w:rsidRPr="00112C7D" w:rsidRDefault="001F7317" w:rsidP="001F7317">
      <w:pPr>
        <w:suppressAutoHyphens/>
        <w:rPr>
          <w:rFonts w:ascii="Verdana" w:hAnsi="Verdana"/>
          <w:sz w:val="20"/>
          <w:lang w:val="en-GB"/>
        </w:rPr>
      </w:pPr>
    </w:p>
    <w:p w14:paraId="14E8AEE1" w14:textId="77777777" w:rsidR="001F7317" w:rsidRPr="00112C7D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  <w:lang w:val="en-GB"/>
        </w:rPr>
      </w:pPr>
      <w:r w:rsidRPr="00112C7D">
        <w:rPr>
          <w:rFonts w:ascii="Verdana" w:eastAsia="Calibri" w:hAnsi="Verdana"/>
          <w:i/>
          <w:sz w:val="20"/>
          <w:lang w:val="en-GB"/>
        </w:rPr>
        <w:t>S = C + T.</w:t>
      </w:r>
    </w:p>
    <w:p w14:paraId="3D8998E6" w14:textId="77777777" w:rsidR="001F7317" w:rsidRPr="00112C7D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  <w:lang w:val="en-GB"/>
        </w:rPr>
      </w:pPr>
    </w:p>
    <w:p w14:paraId="62BB7B01" w14:textId="4A312FE9" w:rsidR="001F7317" w:rsidRPr="00112C7D" w:rsidRDefault="007E5B16" w:rsidP="002F1659">
      <w:pPr>
        <w:numPr>
          <w:ilvl w:val="0"/>
          <w:numId w:val="16"/>
        </w:numPr>
        <w:suppressAutoHyphens/>
        <w:contextualSpacing/>
        <w:rPr>
          <w:rFonts w:ascii="Verdana" w:eastAsia="Calibri" w:hAnsi="Verdana"/>
          <w:sz w:val="20"/>
          <w:lang w:val="en-GB"/>
        </w:rPr>
      </w:pPr>
      <w:r w:rsidRPr="00112C7D">
        <w:rPr>
          <w:rFonts w:ascii="Verdana" w:eastAsia="Calibri" w:hAnsi="Verdana"/>
          <w:sz w:val="20"/>
          <w:lang w:val="en-GB"/>
        </w:rPr>
        <w:t>The price (C) is calculated by multiplying the ratio of the lowest price (</w:t>
      </w:r>
      <w:proofErr w:type="spellStart"/>
      <w:r w:rsidRPr="00112C7D">
        <w:rPr>
          <w:rFonts w:ascii="Verdana" w:eastAsia="Calibri" w:hAnsi="Verdana"/>
          <w:sz w:val="20"/>
          <w:lang w:val="en-GB"/>
        </w:rPr>
        <w:t>C</w:t>
      </w:r>
      <w:r w:rsidRPr="00112C7D">
        <w:rPr>
          <w:rFonts w:ascii="Verdana" w:eastAsia="Calibri" w:hAnsi="Verdana"/>
          <w:sz w:val="20"/>
          <w:vertAlign w:val="subscript"/>
          <w:lang w:val="en-GB"/>
        </w:rPr>
        <w:t>min</w:t>
      </w:r>
      <w:proofErr w:type="spellEnd"/>
      <w:r w:rsidRPr="00112C7D">
        <w:rPr>
          <w:rFonts w:ascii="Verdana" w:eastAsia="Calibri" w:hAnsi="Verdana"/>
          <w:sz w:val="20"/>
          <w:lang w:val="en-GB"/>
        </w:rPr>
        <w:t>) to the price (C</w:t>
      </w:r>
      <w:r w:rsidRPr="00112C7D">
        <w:rPr>
          <w:rFonts w:ascii="Verdana" w:eastAsia="Calibri" w:hAnsi="Verdana"/>
          <w:sz w:val="20"/>
          <w:vertAlign w:val="subscript"/>
          <w:lang w:val="en-GB"/>
        </w:rPr>
        <w:t>p</w:t>
      </w:r>
      <w:r w:rsidRPr="00112C7D">
        <w:rPr>
          <w:rFonts w:ascii="Verdana" w:eastAsia="Calibri" w:hAnsi="Verdana"/>
          <w:sz w:val="20"/>
          <w:lang w:val="en-GB"/>
        </w:rPr>
        <w:t xml:space="preserve">) of the tender being evaluated by the price weighting (X). </w:t>
      </w:r>
    </w:p>
    <w:p w14:paraId="4D6AD231" w14:textId="77777777" w:rsidR="001F7317" w:rsidRPr="00112C7D" w:rsidRDefault="001F7317" w:rsidP="001F7317">
      <w:pPr>
        <w:suppressAutoHyphens/>
        <w:ind w:firstLine="851"/>
        <w:rPr>
          <w:rFonts w:ascii="Verdana" w:hAnsi="Verdana"/>
          <w:sz w:val="20"/>
          <w:lang w:val="en-GB"/>
        </w:rPr>
      </w:pPr>
    </w:p>
    <w:p w14:paraId="160E932C" w14:textId="77777777" w:rsidR="001F7317" w:rsidRPr="00112C7D" w:rsidRDefault="001F7317" w:rsidP="001F7317">
      <w:pPr>
        <w:suppressAutoHyphens/>
        <w:ind w:firstLine="851"/>
        <w:rPr>
          <w:rFonts w:ascii="Verdana" w:hAnsi="Verdana"/>
          <w:sz w:val="20"/>
          <w:lang w:val="en-GB"/>
        </w:rPr>
      </w:pPr>
      <w:r w:rsidRPr="00112C7D">
        <w:rPr>
          <w:rFonts w:ascii="Verdana" w:hAnsi="Verdana"/>
          <w:color w:val="000000"/>
          <w:position w:val="-32"/>
          <w:sz w:val="20"/>
          <w:lang w:val="en-GB"/>
        </w:rPr>
        <w:object w:dxaOrig="1305" w:dyaOrig="735" w14:anchorId="06226E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36.6pt" o:ole="" fillcolor="window">
            <v:imagedata r:id="rId9" o:title=""/>
          </v:shape>
          <o:OLEObject Type="Embed" ProgID="Equation.3" ShapeID="_x0000_i1025" DrawAspect="Content" ObjectID="_1813590880" r:id="rId10"/>
        </w:object>
      </w:r>
      <w:r w:rsidRPr="00112C7D">
        <w:rPr>
          <w:rFonts w:ascii="Verdana" w:hAnsi="Verdana"/>
          <w:color w:val="000000"/>
          <w:sz w:val="20"/>
          <w:lang w:val="en-GB"/>
        </w:rPr>
        <w:t>.</w:t>
      </w:r>
    </w:p>
    <w:p w14:paraId="4830ABA4" w14:textId="77777777" w:rsidR="001F7317" w:rsidRPr="00112C7D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  <w:lang w:val="en-GB"/>
        </w:rPr>
      </w:pPr>
    </w:p>
    <w:p w14:paraId="0E359650" w14:textId="79437F07" w:rsidR="001F7317" w:rsidRPr="00112C7D" w:rsidRDefault="00BC77DA" w:rsidP="002F1659">
      <w:pPr>
        <w:numPr>
          <w:ilvl w:val="0"/>
          <w:numId w:val="16"/>
        </w:numPr>
        <w:suppressAutoHyphens/>
        <w:contextualSpacing/>
        <w:rPr>
          <w:rFonts w:ascii="Verdana" w:eastAsia="Calibri" w:hAnsi="Verdana"/>
          <w:sz w:val="20"/>
          <w:lang w:val="en-GB"/>
        </w:rPr>
      </w:pPr>
      <w:r w:rsidRPr="00112C7D">
        <w:rPr>
          <w:rFonts w:ascii="Verdana" w:eastAsia="Calibri" w:hAnsi="Verdana"/>
          <w:sz w:val="20"/>
          <w:lang w:val="en-GB"/>
        </w:rPr>
        <w:t>The points for the criteria (T) are calculated by adding the points for the individual criteria</w:t>
      </w:r>
      <w:r w:rsidR="001F7317" w:rsidRPr="00112C7D">
        <w:rPr>
          <w:rFonts w:ascii="Verdana" w:eastAsia="Calibri" w:hAnsi="Verdana"/>
          <w:sz w:val="20"/>
          <w:lang w:val="en-GB"/>
        </w:rPr>
        <w:t xml:space="preserve"> (T</w:t>
      </w:r>
      <w:r w:rsidR="001F7317" w:rsidRPr="00112C7D">
        <w:rPr>
          <w:rFonts w:ascii="Verdana" w:eastAsia="Calibri" w:hAnsi="Verdana"/>
          <w:sz w:val="20"/>
          <w:vertAlign w:val="subscript"/>
          <w:lang w:val="en-GB"/>
        </w:rPr>
        <w:t>i</w:t>
      </w:r>
      <w:r w:rsidR="001F7317" w:rsidRPr="00112C7D">
        <w:rPr>
          <w:rFonts w:ascii="Verdana" w:eastAsia="Calibri" w:hAnsi="Verdana"/>
          <w:sz w:val="20"/>
          <w:lang w:val="en-GB"/>
        </w:rPr>
        <w:t>).</w:t>
      </w:r>
    </w:p>
    <w:p w14:paraId="38D42579" w14:textId="77777777" w:rsidR="001F7317" w:rsidRPr="00112C7D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  <w:lang w:val="en-GB"/>
        </w:rPr>
      </w:pPr>
    </w:p>
    <w:p w14:paraId="3DAE6574" w14:textId="77777777" w:rsidR="001F7317" w:rsidRPr="00112C7D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  <w:lang w:val="en-GB"/>
        </w:rPr>
      </w:pPr>
      <w:r w:rsidRPr="00112C7D">
        <w:rPr>
          <w:rFonts w:ascii="Verdana" w:eastAsia="Calibri" w:hAnsi="Verdana"/>
          <w:sz w:val="20"/>
          <w:lang w:val="en-GB"/>
        </w:rPr>
        <w:object w:dxaOrig="960" w:dyaOrig="540" w14:anchorId="720692B9">
          <v:shape id="_x0000_i1026" type="#_x0000_t75" style="width:48pt;height:27pt" o:ole="" filled="t">
            <v:fill color2="black"/>
            <v:imagedata r:id="rId11" o:title=""/>
          </v:shape>
          <o:OLEObject Type="Embed" ProgID="Equation.3" ShapeID="_x0000_i1026" DrawAspect="Content" ObjectID="_1813590881" r:id="rId12"/>
        </w:object>
      </w:r>
      <w:r w:rsidRPr="00112C7D">
        <w:rPr>
          <w:rFonts w:ascii="Verdana" w:eastAsia="Calibri" w:hAnsi="Verdana"/>
          <w:sz w:val="20"/>
          <w:lang w:val="en-GB"/>
        </w:rPr>
        <w:t>.</w:t>
      </w:r>
    </w:p>
    <w:p w14:paraId="6676EC74" w14:textId="5802CDE3" w:rsidR="001F7317" w:rsidRPr="00112C7D" w:rsidRDefault="00BC77DA" w:rsidP="002F1659">
      <w:pPr>
        <w:numPr>
          <w:ilvl w:val="0"/>
          <w:numId w:val="16"/>
        </w:numPr>
        <w:suppressAutoHyphens/>
        <w:contextualSpacing/>
        <w:rPr>
          <w:rFonts w:ascii="Verdana" w:eastAsia="Calibri" w:hAnsi="Verdana"/>
          <w:sz w:val="20"/>
          <w:lang w:val="en-GB"/>
        </w:rPr>
      </w:pPr>
      <w:r w:rsidRPr="00112C7D">
        <w:rPr>
          <w:rFonts w:ascii="Verdana" w:eastAsia="Calibri" w:hAnsi="Verdana"/>
          <w:sz w:val="20"/>
          <w:lang w:val="en-GB"/>
        </w:rPr>
        <w:t>The points for the criteria (T</w:t>
      </w:r>
      <w:r w:rsidRPr="00112C7D">
        <w:rPr>
          <w:rFonts w:ascii="Verdana" w:eastAsia="Calibri" w:hAnsi="Verdana"/>
          <w:sz w:val="20"/>
          <w:vertAlign w:val="subscript"/>
          <w:lang w:val="en-GB"/>
        </w:rPr>
        <w:t>i</w:t>
      </w:r>
      <w:r w:rsidRPr="00112C7D">
        <w:rPr>
          <w:rFonts w:ascii="Verdana" w:eastAsia="Calibri" w:hAnsi="Verdana"/>
          <w:sz w:val="20"/>
          <w:lang w:val="en-GB"/>
        </w:rPr>
        <w:t xml:space="preserve">) </w:t>
      </w:r>
      <w:proofErr w:type="gramStart"/>
      <w:r w:rsidRPr="00112C7D">
        <w:rPr>
          <w:rFonts w:ascii="Verdana" w:eastAsia="Calibri" w:hAnsi="Verdana"/>
          <w:sz w:val="20"/>
          <w:lang w:val="en-GB"/>
        </w:rPr>
        <w:t>is</w:t>
      </w:r>
      <w:proofErr w:type="gramEnd"/>
      <w:r w:rsidRPr="00112C7D">
        <w:rPr>
          <w:rFonts w:ascii="Verdana" w:eastAsia="Calibri" w:hAnsi="Verdana"/>
          <w:sz w:val="20"/>
          <w:lang w:val="en-GB"/>
        </w:rPr>
        <w:t xml:space="preserve"> calculated by multiplying the sum of the parameter points (P</w:t>
      </w:r>
      <w:r w:rsidRPr="00112C7D">
        <w:rPr>
          <w:rFonts w:ascii="Verdana" w:eastAsia="Calibri" w:hAnsi="Verdana"/>
          <w:sz w:val="20"/>
          <w:vertAlign w:val="subscript"/>
          <w:lang w:val="en-GB"/>
        </w:rPr>
        <w:t>s</w:t>
      </w:r>
      <w:r w:rsidRPr="00112C7D">
        <w:rPr>
          <w:rFonts w:ascii="Verdana" w:eastAsia="Calibri" w:hAnsi="Verdana"/>
          <w:sz w:val="20"/>
          <w:lang w:val="en-GB"/>
        </w:rPr>
        <w:t>) for that criterion by the comparative weight of the criteria being assessed (Y</w:t>
      </w:r>
      <w:r w:rsidRPr="00112C7D">
        <w:rPr>
          <w:rFonts w:ascii="Verdana" w:eastAsia="Calibri" w:hAnsi="Verdana"/>
          <w:sz w:val="20"/>
          <w:vertAlign w:val="subscript"/>
          <w:lang w:val="en-GB"/>
        </w:rPr>
        <w:t>i</w:t>
      </w:r>
      <w:r w:rsidRPr="00112C7D">
        <w:rPr>
          <w:rFonts w:ascii="Verdana" w:eastAsia="Calibri" w:hAnsi="Verdana"/>
          <w:sz w:val="20"/>
          <w:lang w:val="en-GB"/>
        </w:rPr>
        <w:t>)</w:t>
      </w:r>
      <w:r w:rsidR="001F7317" w:rsidRPr="00112C7D">
        <w:rPr>
          <w:rFonts w:ascii="Verdana" w:eastAsia="Calibri" w:hAnsi="Verdana"/>
          <w:sz w:val="20"/>
          <w:lang w:val="en-GB"/>
        </w:rPr>
        <w:t>:</w:t>
      </w:r>
    </w:p>
    <w:p w14:paraId="7B5A0BC2" w14:textId="77777777" w:rsidR="001F7317" w:rsidRPr="00112C7D" w:rsidRDefault="001F7317" w:rsidP="001F7317">
      <w:pPr>
        <w:suppressAutoHyphens/>
        <w:rPr>
          <w:rFonts w:ascii="Verdana" w:hAnsi="Verdana"/>
          <w:sz w:val="20"/>
          <w:lang w:val="en-GB"/>
        </w:rPr>
      </w:pPr>
    </w:p>
    <w:p w14:paraId="488207B7" w14:textId="77777777" w:rsidR="001F7317" w:rsidRPr="00112C7D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  <w:lang w:val="en-GB"/>
        </w:rPr>
      </w:pPr>
      <w:r w:rsidRPr="00112C7D">
        <w:rPr>
          <w:rFonts w:ascii="Verdana" w:eastAsia="Calibri" w:hAnsi="Verdana"/>
          <w:position w:val="-30"/>
          <w:sz w:val="20"/>
          <w:lang w:val="en-GB"/>
        </w:rPr>
        <w:object w:dxaOrig="1545" w:dyaOrig="735" w14:anchorId="0137C37D">
          <v:shape id="_x0000_i1027" type="#_x0000_t75" style="width:77.4pt;height:36.6pt" o:ole="" filled="t">
            <v:fill color2="black"/>
            <v:imagedata r:id="rId13" o:title=""/>
          </v:shape>
          <o:OLEObject Type="Embed" ProgID="Equation.3" ShapeID="_x0000_i1027" DrawAspect="Content" ObjectID="_1813590882" r:id="rId14"/>
        </w:object>
      </w:r>
      <w:r w:rsidRPr="00112C7D">
        <w:rPr>
          <w:rFonts w:ascii="Verdana" w:eastAsia="Calibri" w:hAnsi="Verdana"/>
          <w:sz w:val="20"/>
          <w:lang w:val="en-GB"/>
        </w:rPr>
        <w:t>.</w:t>
      </w:r>
    </w:p>
    <w:p w14:paraId="3F6EC33C" w14:textId="77777777" w:rsidR="001F7317" w:rsidRPr="00112C7D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  <w:lang w:val="en-GB"/>
        </w:rPr>
      </w:pPr>
    </w:p>
    <w:p w14:paraId="3ED8ACD0" w14:textId="07B47EC3" w:rsidR="001F7317" w:rsidRPr="00112C7D" w:rsidRDefault="006241EC" w:rsidP="008B5727">
      <w:pPr>
        <w:numPr>
          <w:ilvl w:val="0"/>
          <w:numId w:val="16"/>
        </w:numPr>
        <w:tabs>
          <w:tab w:val="left" w:pos="1418"/>
        </w:tabs>
        <w:suppressAutoHyphens/>
        <w:contextualSpacing/>
        <w:jc w:val="both"/>
        <w:rPr>
          <w:rFonts w:ascii="Verdana" w:eastAsia="Calibri" w:hAnsi="Verdana"/>
          <w:sz w:val="20"/>
          <w:lang w:val="en-GB"/>
        </w:rPr>
      </w:pPr>
      <w:r w:rsidRPr="00112C7D">
        <w:rPr>
          <w:rFonts w:ascii="Verdana" w:eastAsia="Calibri" w:hAnsi="Verdana"/>
          <w:sz w:val="20"/>
          <w:lang w:val="en-GB"/>
        </w:rPr>
        <w:t>The score for a criterion parameter (P</w:t>
      </w:r>
      <w:r w:rsidRPr="00112C7D">
        <w:rPr>
          <w:rFonts w:ascii="Verdana" w:eastAsia="Calibri" w:hAnsi="Verdana"/>
          <w:sz w:val="20"/>
          <w:vertAlign w:val="subscript"/>
          <w:lang w:val="en-GB"/>
        </w:rPr>
        <w:t>s</w:t>
      </w:r>
      <w:r w:rsidRPr="00112C7D">
        <w:rPr>
          <w:rFonts w:ascii="Verdana" w:eastAsia="Calibri" w:hAnsi="Verdana"/>
          <w:sz w:val="20"/>
          <w:lang w:val="en-GB"/>
        </w:rPr>
        <w:t>) is calculated by comparing the parameter value (R</w:t>
      </w:r>
      <w:r w:rsidRPr="00112C7D">
        <w:rPr>
          <w:rFonts w:ascii="Verdana" w:eastAsia="Calibri" w:hAnsi="Verdana"/>
          <w:sz w:val="20"/>
          <w:vertAlign w:val="subscript"/>
          <w:lang w:val="en-GB"/>
        </w:rPr>
        <w:t>p</w:t>
      </w:r>
      <w:r w:rsidRPr="00112C7D">
        <w:rPr>
          <w:rFonts w:ascii="Verdana" w:eastAsia="Calibri" w:hAnsi="Verdana"/>
          <w:sz w:val="20"/>
          <w:lang w:val="en-GB"/>
        </w:rPr>
        <w:t xml:space="preserve">) with </w:t>
      </w:r>
      <w:r w:rsidR="00DB78DA" w:rsidRPr="00112C7D">
        <w:rPr>
          <w:rFonts w:ascii="Verdana" w:eastAsia="Calibri" w:hAnsi="Verdana"/>
          <w:sz w:val="20"/>
          <w:lang w:val="en-GB"/>
        </w:rPr>
        <w:t xml:space="preserve">maximum possible </w:t>
      </w:r>
      <w:r w:rsidRPr="00112C7D">
        <w:rPr>
          <w:rFonts w:ascii="Verdana" w:eastAsia="Calibri" w:hAnsi="Verdana"/>
          <w:sz w:val="20"/>
          <w:lang w:val="en-GB"/>
        </w:rPr>
        <w:t>value for the same parameter (</w:t>
      </w:r>
      <w:proofErr w:type="spellStart"/>
      <w:r w:rsidRPr="00112C7D">
        <w:rPr>
          <w:rFonts w:ascii="Verdana" w:eastAsia="Calibri" w:hAnsi="Verdana"/>
          <w:sz w:val="20"/>
          <w:lang w:val="en-GB"/>
        </w:rPr>
        <w:t>R</w:t>
      </w:r>
      <w:r w:rsidRPr="00112C7D">
        <w:rPr>
          <w:rFonts w:ascii="Verdana" w:eastAsia="Calibri" w:hAnsi="Verdana"/>
          <w:sz w:val="20"/>
          <w:vertAlign w:val="subscript"/>
          <w:lang w:val="en-GB"/>
        </w:rPr>
        <w:t>max</w:t>
      </w:r>
      <w:proofErr w:type="spellEnd"/>
      <w:r w:rsidRPr="00112C7D">
        <w:rPr>
          <w:rFonts w:ascii="Verdana" w:eastAsia="Calibri" w:hAnsi="Verdana"/>
          <w:sz w:val="20"/>
          <w:lang w:val="en-GB"/>
        </w:rPr>
        <w:t>) and multiplying it by the comparative weight (L</w:t>
      </w:r>
      <w:r w:rsidRPr="00112C7D">
        <w:rPr>
          <w:rFonts w:ascii="Verdana" w:eastAsia="Calibri" w:hAnsi="Verdana"/>
          <w:sz w:val="20"/>
          <w:vertAlign w:val="subscript"/>
          <w:lang w:val="en-GB"/>
        </w:rPr>
        <w:t>s</w:t>
      </w:r>
      <w:r w:rsidRPr="00112C7D">
        <w:rPr>
          <w:rFonts w:ascii="Verdana" w:eastAsia="Calibri" w:hAnsi="Verdana"/>
          <w:sz w:val="20"/>
          <w:lang w:val="en-GB"/>
        </w:rPr>
        <w:t>) of the criterion parameter being assessed</w:t>
      </w:r>
      <w:r w:rsidR="00270E29" w:rsidRPr="00112C7D">
        <w:rPr>
          <w:rFonts w:ascii="Verdana" w:eastAsia="Calibri" w:hAnsi="Verdana"/>
          <w:sz w:val="20"/>
          <w:lang w:val="en-GB"/>
        </w:rPr>
        <w:t>:</w:t>
      </w:r>
      <w:r w:rsidR="001F7317" w:rsidRPr="00112C7D">
        <w:rPr>
          <w:rFonts w:ascii="Verdana" w:eastAsia="Calibri" w:hAnsi="Verdana"/>
          <w:sz w:val="20"/>
          <w:lang w:val="en-GB"/>
        </w:rPr>
        <w:t xml:space="preserve"> </w:t>
      </w:r>
    </w:p>
    <w:p w14:paraId="196A7C16" w14:textId="77777777" w:rsidR="001F7317" w:rsidRPr="00112C7D" w:rsidRDefault="001F7317" w:rsidP="001F7317">
      <w:pPr>
        <w:shd w:val="clear" w:color="auto" w:fill="FFFFFF"/>
        <w:tabs>
          <w:tab w:val="left" w:pos="1418"/>
        </w:tabs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  <w:lang w:val="en-GB"/>
        </w:rPr>
      </w:pPr>
    </w:p>
    <w:p w14:paraId="25270746" w14:textId="77777777" w:rsidR="001F7317" w:rsidRPr="00112C7D" w:rsidRDefault="001F7317" w:rsidP="001F7317">
      <w:pPr>
        <w:shd w:val="clear" w:color="auto" w:fill="FFFFFF"/>
        <w:tabs>
          <w:tab w:val="left" w:pos="1418"/>
        </w:tabs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  <w:lang w:val="en-GB"/>
        </w:rPr>
      </w:pPr>
      <w:r w:rsidRPr="00112C7D">
        <w:rPr>
          <w:rFonts w:ascii="Verdana" w:eastAsia="Calibri" w:hAnsi="Verdana"/>
          <w:sz w:val="20"/>
          <w:lang w:val="en-GB"/>
        </w:rPr>
        <w:object w:dxaOrig="1350" w:dyaOrig="705" w14:anchorId="535344B0">
          <v:shape id="_x0000_i1028" type="#_x0000_t75" style="width:67.8pt;height:35.4pt" o:ole="" filled="t">
            <v:fill color2="black"/>
            <v:imagedata r:id="rId15" o:title=""/>
          </v:shape>
          <o:OLEObject Type="Embed" ProgID="Equation.3" ShapeID="_x0000_i1028" DrawAspect="Content" ObjectID="_1813590883" r:id="rId16"/>
        </w:object>
      </w:r>
      <w:r w:rsidRPr="00112C7D">
        <w:rPr>
          <w:rFonts w:ascii="Verdana" w:eastAsia="Calibri" w:hAnsi="Verdana"/>
          <w:sz w:val="20"/>
          <w:lang w:val="en-GB"/>
        </w:rPr>
        <w:t>.</w:t>
      </w:r>
    </w:p>
    <w:p w14:paraId="654ED382" w14:textId="77777777" w:rsidR="001F7317" w:rsidRPr="00112C7D" w:rsidRDefault="001F7317" w:rsidP="001F7317">
      <w:pPr>
        <w:shd w:val="clear" w:color="auto" w:fill="FFFFFF"/>
        <w:tabs>
          <w:tab w:val="left" w:pos="1418"/>
        </w:tabs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  <w:lang w:val="en-GB"/>
        </w:rPr>
      </w:pPr>
    </w:p>
    <w:p w14:paraId="495AAA08" w14:textId="0DFC9A91" w:rsidR="00DB78DA" w:rsidRPr="00112C7D" w:rsidRDefault="00DB78DA" w:rsidP="00A00525">
      <w:pPr>
        <w:shd w:val="clear" w:color="auto" w:fill="FFFFFF"/>
        <w:tabs>
          <w:tab w:val="left" w:pos="1418"/>
        </w:tabs>
        <w:suppressAutoHyphens/>
        <w:spacing w:after="200" w:line="276" w:lineRule="auto"/>
        <w:ind w:firstLine="567"/>
        <w:contextualSpacing/>
        <w:jc w:val="both"/>
        <w:rPr>
          <w:rFonts w:ascii="Verdana" w:eastAsia="Calibri" w:hAnsi="Verdana"/>
          <w:color w:val="000000"/>
          <w:sz w:val="20"/>
          <w:lang w:val="en-GB" w:eastAsia="ar-SA"/>
        </w:rPr>
      </w:pPr>
      <w:r w:rsidRPr="00112C7D">
        <w:rPr>
          <w:rFonts w:ascii="Verdana" w:eastAsia="Calibri" w:hAnsi="Verdana"/>
          <w:color w:val="000000"/>
          <w:sz w:val="20"/>
          <w:lang w:val="en-GB" w:eastAsia="ar-SA"/>
        </w:rPr>
        <w:t>R</w:t>
      </w:r>
      <w:r w:rsidRPr="00112C7D">
        <w:rPr>
          <w:rFonts w:ascii="Verdana" w:eastAsia="Calibri" w:hAnsi="Verdana"/>
          <w:color w:val="000000"/>
          <w:sz w:val="20"/>
          <w:vertAlign w:val="subscript"/>
          <w:lang w:val="en-GB" w:eastAsia="ar-SA"/>
        </w:rPr>
        <w:t>p</w:t>
      </w:r>
      <w:r w:rsidRPr="00112C7D">
        <w:rPr>
          <w:rFonts w:ascii="Verdana" w:eastAsia="Calibri" w:hAnsi="Verdana"/>
          <w:color w:val="000000"/>
          <w:sz w:val="20"/>
          <w:lang w:val="en-GB" w:eastAsia="ar-SA"/>
        </w:rPr>
        <w:t xml:space="preserve"> – the value of the parameter to be evaluated, consisting of the sum of the scores given to the parameter during the assessment, calculated in accordance with the procedure specified in </w:t>
      </w:r>
      <w:r w:rsidR="007C77CA" w:rsidRPr="00112C7D">
        <w:rPr>
          <w:rFonts w:ascii="Verdana" w:eastAsia="Calibri" w:hAnsi="Verdana"/>
          <w:color w:val="000000"/>
          <w:sz w:val="20"/>
          <w:lang w:val="en-GB" w:eastAsia="ar-SA"/>
        </w:rPr>
        <w:t xml:space="preserve">clause </w:t>
      </w:r>
      <w:r w:rsidRPr="00112C7D">
        <w:rPr>
          <w:rFonts w:ascii="Verdana" w:eastAsia="Calibri" w:hAnsi="Verdana"/>
          <w:color w:val="000000"/>
          <w:sz w:val="20"/>
          <w:lang w:val="en-GB" w:eastAsia="ar-SA"/>
        </w:rPr>
        <w:t xml:space="preserve">12 of this </w:t>
      </w:r>
      <w:proofErr w:type="gramStart"/>
      <w:r w:rsidRPr="00112C7D">
        <w:rPr>
          <w:rFonts w:ascii="Verdana" w:eastAsia="Calibri" w:hAnsi="Verdana"/>
          <w:color w:val="000000"/>
          <w:sz w:val="20"/>
          <w:lang w:val="en-GB" w:eastAsia="ar-SA"/>
        </w:rPr>
        <w:t>Annex;</w:t>
      </w:r>
      <w:proofErr w:type="gramEnd"/>
    </w:p>
    <w:p w14:paraId="5CED7A9C" w14:textId="2881386F" w:rsidR="001F7317" w:rsidRPr="00112C7D" w:rsidRDefault="00DB78DA" w:rsidP="001F7317">
      <w:pPr>
        <w:tabs>
          <w:tab w:val="left" w:pos="567"/>
        </w:tabs>
        <w:ind w:firstLine="567"/>
        <w:jc w:val="both"/>
        <w:rPr>
          <w:rFonts w:ascii="Verdana" w:hAnsi="Verdana"/>
          <w:sz w:val="20"/>
          <w:lang w:val="en-GB"/>
        </w:rPr>
      </w:pPr>
      <w:proofErr w:type="spellStart"/>
      <w:r w:rsidRPr="00112C7D">
        <w:rPr>
          <w:rFonts w:ascii="Verdana" w:eastAsia="Calibri" w:hAnsi="Verdana"/>
          <w:color w:val="000000"/>
          <w:sz w:val="20"/>
          <w:lang w:val="en-GB" w:eastAsia="ar-SA"/>
        </w:rPr>
        <w:t>R</w:t>
      </w:r>
      <w:r w:rsidRPr="00112C7D">
        <w:rPr>
          <w:rFonts w:ascii="Verdana" w:eastAsia="Calibri" w:hAnsi="Verdana"/>
          <w:color w:val="000000"/>
          <w:sz w:val="20"/>
          <w:vertAlign w:val="subscript"/>
          <w:lang w:val="en-GB" w:eastAsia="ar-SA"/>
        </w:rPr>
        <w:t>max</w:t>
      </w:r>
      <w:proofErr w:type="spellEnd"/>
      <w:r w:rsidRPr="00112C7D">
        <w:rPr>
          <w:rFonts w:ascii="Verdana" w:eastAsia="Calibri" w:hAnsi="Verdana"/>
          <w:color w:val="000000"/>
          <w:sz w:val="20"/>
          <w:vertAlign w:val="subscript"/>
          <w:lang w:val="en-GB" w:eastAsia="ar-SA"/>
        </w:rPr>
        <w:t xml:space="preserve"> </w:t>
      </w:r>
      <w:r w:rsidRPr="00112C7D">
        <w:rPr>
          <w:rFonts w:ascii="Verdana" w:eastAsia="Calibri" w:hAnsi="Verdana"/>
          <w:color w:val="000000"/>
          <w:sz w:val="20"/>
          <w:lang w:val="en-GB" w:eastAsia="ar-SA"/>
        </w:rPr>
        <w:t>– maximum possible value for the parameter.</w:t>
      </w:r>
    </w:p>
    <w:p w14:paraId="28B4F649" w14:textId="757EC0D7" w:rsidR="00CB3277" w:rsidRPr="00112C7D" w:rsidRDefault="00CB3277" w:rsidP="002F1659">
      <w:pPr>
        <w:pStyle w:val="ListParagraph"/>
        <w:numPr>
          <w:ilvl w:val="0"/>
          <w:numId w:val="16"/>
        </w:numPr>
        <w:tabs>
          <w:tab w:val="left" w:pos="567"/>
        </w:tabs>
        <w:jc w:val="both"/>
        <w:rPr>
          <w:rFonts w:ascii="Verdana" w:hAnsi="Verdana"/>
          <w:sz w:val="20"/>
          <w:lang w:val="en-GB" w:eastAsia="ar-SA"/>
        </w:rPr>
      </w:pPr>
      <w:r w:rsidRPr="00112C7D">
        <w:rPr>
          <w:rFonts w:ascii="Verdana" w:hAnsi="Verdana"/>
          <w:sz w:val="20"/>
          <w:lang w:val="en-GB" w:eastAsia="ar-SA"/>
        </w:rPr>
        <w:t xml:space="preserve">Evaluation methodology. </w:t>
      </w:r>
      <w:r w:rsidR="00F76E0A" w:rsidRPr="00112C7D">
        <w:rPr>
          <w:rFonts w:ascii="Verdana" w:hAnsi="Verdana"/>
          <w:sz w:val="20"/>
        </w:rPr>
        <w:t xml:space="preserve"> </w:t>
      </w:r>
      <w:r w:rsidR="00F76E0A" w:rsidRPr="00112C7D">
        <w:rPr>
          <w:rFonts w:ascii="Verdana" w:hAnsi="Verdana"/>
          <w:sz w:val="20"/>
          <w:lang w:val="en-GB" w:eastAsia="ar-SA"/>
        </w:rPr>
        <w:t xml:space="preserve">The Commission shall implement the evaluation in accordance with the procedure set out in </w:t>
      </w:r>
      <w:r w:rsidR="007C77CA" w:rsidRPr="00112C7D">
        <w:rPr>
          <w:rFonts w:ascii="Verdana" w:hAnsi="Verdana"/>
          <w:sz w:val="20"/>
          <w:lang w:val="en-GB" w:eastAsia="ar-SA"/>
        </w:rPr>
        <w:t xml:space="preserve">clauses </w:t>
      </w:r>
      <w:r w:rsidR="00F76E0A" w:rsidRPr="00112C7D">
        <w:rPr>
          <w:rFonts w:ascii="Verdana" w:hAnsi="Verdana"/>
          <w:sz w:val="20"/>
          <w:lang w:val="en-GB" w:eastAsia="ar-SA"/>
        </w:rPr>
        <w:t xml:space="preserve">5 to 10 and </w:t>
      </w:r>
      <w:r w:rsidR="007C77CA" w:rsidRPr="00112C7D">
        <w:rPr>
          <w:rFonts w:ascii="Verdana" w:hAnsi="Verdana"/>
          <w:sz w:val="20"/>
          <w:lang w:val="en-GB" w:eastAsia="ar-SA"/>
        </w:rPr>
        <w:t xml:space="preserve">clause </w:t>
      </w:r>
      <w:r w:rsidR="00F76E0A" w:rsidRPr="00112C7D">
        <w:rPr>
          <w:rFonts w:ascii="Verdana" w:hAnsi="Verdana"/>
          <w:sz w:val="20"/>
          <w:lang w:val="en-GB" w:eastAsia="ar-SA"/>
        </w:rPr>
        <w:t>12 of this Annex</w:t>
      </w:r>
      <w:r w:rsidR="00051372" w:rsidRPr="00112C7D">
        <w:rPr>
          <w:rFonts w:ascii="Verdana" w:hAnsi="Verdana"/>
          <w:sz w:val="20"/>
          <w:lang w:val="en-GB" w:eastAsia="ar-SA"/>
        </w:rPr>
        <w:t>.</w:t>
      </w:r>
    </w:p>
    <w:p w14:paraId="697D1A36" w14:textId="09FFDDDD" w:rsidR="001F7317" w:rsidRPr="00112C7D" w:rsidRDefault="002B4B0F" w:rsidP="002F1659">
      <w:pPr>
        <w:pStyle w:val="Heading2mystyle"/>
        <w:numPr>
          <w:ilvl w:val="0"/>
          <w:numId w:val="16"/>
        </w:numPr>
        <w:tabs>
          <w:tab w:val="left" w:pos="720"/>
        </w:tabs>
        <w:rPr>
          <w:rFonts w:ascii="Verdana" w:eastAsia="Times New Roman" w:hAnsi="Verdana"/>
          <w:b w:val="0"/>
          <w:iCs w:val="0"/>
          <w:sz w:val="20"/>
          <w:szCs w:val="20"/>
          <w:lang w:val="en-GB" w:eastAsia="ar-SA"/>
        </w:rPr>
      </w:pPr>
      <w:r w:rsidRPr="00112C7D">
        <w:rPr>
          <w:rFonts w:ascii="Verdana" w:eastAsia="Times New Roman" w:hAnsi="Verdana"/>
          <w:b w:val="0"/>
          <w:iCs w:val="0"/>
          <w:sz w:val="20"/>
          <w:szCs w:val="20"/>
          <w:lang w:val="en-GB" w:eastAsia="ar-SA"/>
        </w:rPr>
        <w:t>Description of parameter evaluations</w:t>
      </w:r>
      <w:r w:rsidR="001F7317" w:rsidRPr="00112C7D">
        <w:rPr>
          <w:rFonts w:ascii="Verdana" w:eastAsia="Times New Roman" w:hAnsi="Verdana"/>
          <w:b w:val="0"/>
          <w:iCs w:val="0"/>
          <w:sz w:val="20"/>
          <w:szCs w:val="20"/>
          <w:lang w:val="en-GB" w:eastAsia="ar-SA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2"/>
      </w:tblGrid>
      <w:tr w:rsidR="001F7317" w:rsidRPr="00112C7D" w14:paraId="53B67E2A" w14:textId="77777777" w:rsidTr="000207DC">
        <w:trPr>
          <w:trHeight w:val="268"/>
          <w:jc w:val="center"/>
        </w:trPr>
        <w:tc>
          <w:tcPr>
            <w:tcW w:w="9952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FA3456" w14:textId="1935F254" w:rsidR="001F7317" w:rsidRPr="00112C7D" w:rsidRDefault="003D5569" w:rsidP="006424F2">
            <w:pPr>
              <w:suppressAutoHyphens/>
              <w:ind w:right="109"/>
              <w:jc w:val="both"/>
              <w:rPr>
                <w:rFonts w:ascii="Verdana" w:hAnsi="Verdana"/>
                <w:sz w:val="20"/>
                <w:lang w:val="en-GB" w:eastAsia="ar-SA"/>
              </w:rPr>
            </w:pPr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SECOND CRITERIA – Media content management system functionality (T</w:t>
            </w:r>
            <w:r w:rsidRPr="00112C7D">
              <w:rPr>
                <w:rFonts w:ascii="Verdana" w:hAnsi="Verdana"/>
                <w:b/>
                <w:bCs/>
                <w:sz w:val="20"/>
                <w:vertAlign w:val="subscript"/>
                <w:lang w:val="en-GB"/>
              </w:rPr>
              <w:t>1</w:t>
            </w:r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)</w:t>
            </w:r>
          </w:p>
        </w:tc>
      </w:tr>
      <w:tr w:rsidR="001F7317" w:rsidRPr="00112C7D" w14:paraId="40A3DD51" w14:textId="77777777" w:rsidTr="000207DC">
        <w:trPr>
          <w:trHeight w:val="864"/>
          <w:jc w:val="center"/>
        </w:trPr>
        <w:tc>
          <w:tcPr>
            <w:tcW w:w="995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09959A" w14:textId="346370B9" w:rsidR="001F7317" w:rsidRPr="00112C7D" w:rsidRDefault="000207DC" w:rsidP="006424F2">
            <w:pPr>
              <w:suppressAutoHyphens/>
              <w:ind w:right="109"/>
              <w:jc w:val="both"/>
              <w:rPr>
                <w:rFonts w:ascii="Verdana" w:hAnsi="Verdana"/>
                <w:b/>
                <w:bCs/>
                <w:i/>
                <w:iCs/>
                <w:sz w:val="20"/>
                <w:lang w:val="en-GB" w:eastAsia="ar-SA"/>
              </w:rPr>
            </w:pPr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The way media content is managed, the number of API functions to automate processes, and the way content is managed using a browser interface</w:t>
            </w:r>
            <w:r w:rsidR="00CD248E" w:rsidRPr="00112C7D">
              <w:rPr>
                <w:rFonts w:ascii="Verdana" w:hAnsi="Verdana"/>
                <w:b/>
                <w:bCs/>
                <w:i/>
                <w:sz w:val="20"/>
                <w:lang w:val="en-GB"/>
              </w:rPr>
              <w:t>.</w:t>
            </w:r>
            <w:r w:rsidR="00CD248E" w:rsidRPr="00112C7D">
              <w:rPr>
                <w:rFonts w:ascii="Verdana" w:hAnsi="Verdana"/>
                <w:b/>
                <w:i/>
                <w:sz w:val="20"/>
                <w:lang w:val="en-GB" w:eastAsia="ar-SA"/>
              </w:rPr>
              <w:t xml:space="preserve"> </w:t>
            </w:r>
            <w:r w:rsidR="001F7317" w:rsidRPr="00112C7D">
              <w:rPr>
                <w:rFonts w:ascii="Verdana" w:hAnsi="Verdana"/>
                <w:b/>
                <w:i/>
                <w:sz w:val="20"/>
                <w:lang w:val="en-GB" w:eastAsia="ar-SA"/>
              </w:rPr>
              <w:t>(P</w:t>
            </w:r>
            <w:r w:rsidR="001F7317" w:rsidRPr="00112C7D">
              <w:rPr>
                <w:rFonts w:ascii="Verdana" w:hAnsi="Verdana"/>
                <w:b/>
                <w:i/>
                <w:sz w:val="20"/>
                <w:vertAlign w:val="subscript"/>
                <w:lang w:val="en-GB" w:eastAsia="ar-SA"/>
              </w:rPr>
              <w:t>1</w:t>
            </w:r>
            <w:r w:rsidR="001F7317" w:rsidRPr="00112C7D">
              <w:rPr>
                <w:rFonts w:ascii="Verdana" w:hAnsi="Verdana"/>
                <w:b/>
                <w:i/>
                <w:sz w:val="20"/>
                <w:lang w:val="en-GB" w:eastAsia="ar-SA"/>
              </w:rPr>
              <w:t>)</w:t>
            </w:r>
          </w:p>
          <w:p w14:paraId="1B12F092" w14:textId="527529EC" w:rsidR="001F7317" w:rsidRPr="00112C7D" w:rsidRDefault="002F7893" w:rsidP="006424F2">
            <w:pPr>
              <w:suppressAutoHyphens/>
              <w:ind w:right="109"/>
              <w:jc w:val="both"/>
              <w:rPr>
                <w:rFonts w:ascii="Verdana" w:hAnsi="Verdana"/>
                <w:sz w:val="20"/>
                <w:lang w:val="en-GB" w:eastAsia="ar-SA"/>
              </w:rPr>
            </w:pPr>
            <w:r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 xml:space="preserve">The scores will be evaluated </w:t>
            </w:r>
            <w:proofErr w:type="gramStart"/>
            <w:r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>on the basis of</w:t>
            </w:r>
            <w:proofErr w:type="gramEnd"/>
            <w:r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 xml:space="preserve"> the answers marked in the Technical Specification in clauses 4.2.1.1 to 4.2.</w:t>
            </w:r>
            <w:r w:rsidR="00E73F22"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>1.</w:t>
            </w:r>
            <w:r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>1</w:t>
            </w:r>
            <w:r w:rsidR="00250EBF"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>5</w:t>
            </w:r>
            <w:r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 xml:space="preserve"> and 4.2.2.2.1 to 4.2.2.2.2.2. Each box in the column 'Ability to control functionality via API' marked 'yes' shall be awarded 1 point, 'will be' shall be awarded 0,25 points and 'no' shall be awarded 0 points.</w:t>
            </w:r>
          </w:p>
        </w:tc>
      </w:tr>
      <w:tr w:rsidR="00CD248E" w:rsidRPr="00112C7D" w14:paraId="2F0D4D2B" w14:textId="77777777" w:rsidTr="000207DC">
        <w:trPr>
          <w:trHeight w:val="254"/>
          <w:jc w:val="center"/>
        </w:trPr>
        <w:tc>
          <w:tcPr>
            <w:tcW w:w="995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767903" w14:textId="6E223541" w:rsidR="00CD248E" w:rsidRPr="00112C7D" w:rsidRDefault="003D5569" w:rsidP="00CD248E">
            <w:pPr>
              <w:suppressAutoHyphens/>
              <w:rPr>
                <w:rFonts w:ascii="Verdana" w:eastAsia="Calibri" w:hAnsi="Verdana"/>
                <w:color w:val="000000"/>
                <w:sz w:val="20"/>
                <w:lang w:val="en-GB" w:eastAsia="ar-SA"/>
              </w:rPr>
            </w:pPr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THIRD CRITERIA – Media content hosting system functionality (T</w:t>
            </w:r>
            <w:r w:rsidRPr="00112C7D">
              <w:rPr>
                <w:rFonts w:ascii="Verdana" w:hAnsi="Verdana"/>
                <w:b/>
                <w:bCs/>
                <w:sz w:val="20"/>
                <w:vertAlign w:val="subscript"/>
                <w:lang w:val="en-GB"/>
              </w:rPr>
              <w:t>2</w:t>
            </w:r>
            <w:r w:rsidRPr="00112C7D">
              <w:rPr>
                <w:rFonts w:ascii="Verdana" w:hAnsi="Verdana"/>
                <w:b/>
                <w:bCs/>
                <w:sz w:val="20"/>
                <w:lang w:val="en-GB"/>
              </w:rPr>
              <w:t>)</w:t>
            </w:r>
          </w:p>
        </w:tc>
      </w:tr>
      <w:tr w:rsidR="00CD248E" w:rsidRPr="00112C7D" w14:paraId="04C0F237" w14:textId="77777777" w:rsidTr="000207DC">
        <w:trPr>
          <w:trHeight w:val="254"/>
          <w:jc w:val="center"/>
        </w:trPr>
        <w:tc>
          <w:tcPr>
            <w:tcW w:w="995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5BAEEF" w14:textId="0B1812FA" w:rsidR="00CD248E" w:rsidRPr="00112C7D" w:rsidRDefault="00235518" w:rsidP="00CD248E">
            <w:pPr>
              <w:spacing w:line="40" w:lineRule="atLeast"/>
              <w:jc w:val="both"/>
              <w:rPr>
                <w:rFonts w:ascii="Verdana" w:hAnsi="Verdana"/>
                <w:b/>
                <w:bCs/>
                <w:i/>
                <w:iCs/>
                <w:sz w:val="20"/>
                <w:lang w:val="en-GB"/>
              </w:rPr>
            </w:pPr>
            <w:r w:rsidRPr="00112C7D">
              <w:rPr>
                <w:rFonts w:ascii="Verdana" w:hAnsi="Verdana"/>
                <w:b/>
                <w:bCs/>
                <w:i/>
                <w:iCs/>
                <w:sz w:val="20"/>
                <w:lang w:val="en-GB"/>
              </w:rPr>
              <w:t>VOD media hosting and access functionality is assessed</w:t>
            </w:r>
            <w:r w:rsidRPr="00112C7D">
              <w:rPr>
                <w:rFonts w:ascii="Verdana" w:hAnsi="Verdana"/>
                <w:b/>
                <w:i/>
                <w:sz w:val="20"/>
                <w:lang w:val="en-GB"/>
              </w:rPr>
              <w:t xml:space="preserve"> </w:t>
            </w:r>
            <w:r w:rsidR="00CD248E" w:rsidRPr="00112C7D">
              <w:rPr>
                <w:rFonts w:ascii="Verdana" w:hAnsi="Verdana"/>
                <w:b/>
                <w:i/>
                <w:sz w:val="20"/>
                <w:lang w:val="en-GB"/>
              </w:rPr>
              <w:t>(P</w:t>
            </w:r>
            <w:r w:rsidR="00CD248E" w:rsidRPr="00112C7D">
              <w:rPr>
                <w:rFonts w:ascii="Verdana" w:hAnsi="Verdana"/>
                <w:b/>
                <w:i/>
                <w:sz w:val="20"/>
                <w:vertAlign w:val="subscript"/>
                <w:lang w:val="en-GB"/>
              </w:rPr>
              <w:t>2</w:t>
            </w:r>
            <w:r w:rsidR="00CD248E" w:rsidRPr="00112C7D">
              <w:rPr>
                <w:rFonts w:ascii="Verdana" w:hAnsi="Verdana"/>
                <w:b/>
                <w:i/>
                <w:sz w:val="20"/>
                <w:lang w:val="en-GB"/>
              </w:rPr>
              <w:t>)</w:t>
            </w:r>
          </w:p>
          <w:p w14:paraId="2C5645CF" w14:textId="1147156A" w:rsidR="00CD248E" w:rsidRPr="00112C7D" w:rsidRDefault="007F3753" w:rsidP="00CD248E">
            <w:pPr>
              <w:spacing w:line="40" w:lineRule="atLeast"/>
              <w:jc w:val="both"/>
              <w:rPr>
                <w:rFonts w:ascii="Verdana" w:eastAsia="Calibri" w:hAnsi="Verdana"/>
                <w:bCs/>
                <w:i/>
                <w:iCs/>
                <w:color w:val="000000"/>
                <w:sz w:val="20"/>
                <w:lang w:val="en-GB" w:eastAsia="ar-SA"/>
              </w:rPr>
            </w:pPr>
            <w:r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 xml:space="preserve">It will be evaluated </w:t>
            </w:r>
            <w:proofErr w:type="gramStart"/>
            <w:r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>on the basis of</w:t>
            </w:r>
            <w:proofErr w:type="gramEnd"/>
            <w:r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 xml:space="preserve"> the answer marked in point 4.2.1.1</w:t>
            </w:r>
            <w:r w:rsidR="00250EBF"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>6</w:t>
            </w:r>
            <w:r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 xml:space="preserve"> of the Technical Specification. A box marked 'yes' gives 1 point, 'no' gives 0 points</w:t>
            </w:r>
            <w:r w:rsidR="00F51717"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>.</w:t>
            </w:r>
          </w:p>
        </w:tc>
      </w:tr>
      <w:tr w:rsidR="00CD248E" w:rsidRPr="00112C7D" w14:paraId="32B6B8AA" w14:textId="77777777" w:rsidTr="000207DC">
        <w:trPr>
          <w:trHeight w:val="254"/>
          <w:jc w:val="center"/>
        </w:trPr>
        <w:tc>
          <w:tcPr>
            <w:tcW w:w="995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F1A2CC" w14:textId="0E6D9E6C" w:rsidR="00D65491" w:rsidRPr="00112C7D" w:rsidRDefault="00235518" w:rsidP="00D65491">
            <w:pPr>
              <w:spacing w:line="40" w:lineRule="atLeast"/>
              <w:jc w:val="both"/>
              <w:rPr>
                <w:rFonts w:ascii="Verdana" w:hAnsi="Verdana"/>
                <w:b/>
                <w:bCs/>
                <w:i/>
                <w:iCs/>
                <w:sz w:val="20"/>
                <w:lang w:val="en-GB"/>
              </w:rPr>
            </w:pPr>
            <w:r w:rsidRPr="00112C7D">
              <w:rPr>
                <w:rFonts w:ascii="Verdana" w:hAnsi="Verdana"/>
                <w:b/>
                <w:bCs/>
                <w:i/>
                <w:iCs/>
                <w:sz w:val="20"/>
                <w:lang w:val="en-GB"/>
              </w:rPr>
              <w:t xml:space="preserve">LRT's live streaming publishing and access functionality is evaluated </w:t>
            </w:r>
            <w:r w:rsidR="003D43DF" w:rsidRPr="00112C7D">
              <w:rPr>
                <w:rFonts w:ascii="Verdana" w:hAnsi="Verdana"/>
                <w:b/>
                <w:bCs/>
                <w:i/>
                <w:iCs/>
                <w:sz w:val="20"/>
                <w:lang w:val="en-GB"/>
              </w:rPr>
              <w:t>(P</w:t>
            </w:r>
            <w:r w:rsidR="003D43DF" w:rsidRPr="00112C7D">
              <w:rPr>
                <w:rFonts w:ascii="Verdana" w:hAnsi="Verdana"/>
                <w:b/>
                <w:bCs/>
                <w:i/>
                <w:iCs/>
                <w:sz w:val="20"/>
                <w:vertAlign w:val="subscript"/>
                <w:lang w:val="en-GB"/>
              </w:rPr>
              <w:t>3</w:t>
            </w:r>
            <w:r w:rsidR="003D43DF" w:rsidRPr="00112C7D">
              <w:rPr>
                <w:rFonts w:ascii="Verdana" w:hAnsi="Verdana"/>
                <w:b/>
                <w:bCs/>
                <w:i/>
                <w:iCs/>
                <w:sz w:val="20"/>
                <w:lang w:val="en-GB"/>
              </w:rPr>
              <w:t>)</w:t>
            </w:r>
          </w:p>
          <w:p w14:paraId="74DF39BB" w14:textId="6982C488" w:rsidR="00CD248E" w:rsidRPr="00112C7D" w:rsidRDefault="00235518" w:rsidP="00CD248E">
            <w:pPr>
              <w:spacing w:line="40" w:lineRule="atLeast"/>
              <w:jc w:val="both"/>
              <w:rPr>
                <w:rFonts w:ascii="Verdana" w:eastAsia="Calibri" w:hAnsi="Verdana"/>
                <w:bCs/>
                <w:i/>
                <w:iCs/>
                <w:color w:val="000000"/>
                <w:sz w:val="20"/>
                <w:lang w:val="en-GB" w:eastAsia="ar-SA"/>
              </w:rPr>
            </w:pPr>
            <w:r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 xml:space="preserve">It will be evaluated </w:t>
            </w:r>
            <w:proofErr w:type="gramStart"/>
            <w:r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>on the basis of</w:t>
            </w:r>
            <w:proofErr w:type="gramEnd"/>
            <w:r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 xml:space="preserve"> the answer marked in point 4.2.2.1 of the Technical Specification. A box marked 'yes' gives 1 point, 'no' gives 0 points</w:t>
            </w:r>
            <w:r w:rsidR="00D65491" w:rsidRPr="00112C7D">
              <w:rPr>
                <w:rFonts w:ascii="Verdana" w:hAnsi="Verdana"/>
                <w:i/>
                <w:iCs/>
                <w:sz w:val="20"/>
                <w:lang w:val="en-GB" w:eastAsia="ar-SA"/>
              </w:rPr>
              <w:t>.</w:t>
            </w:r>
          </w:p>
        </w:tc>
      </w:tr>
    </w:tbl>
    <w:p w14:paraId="5BD7F016" w14:textId="77777777" w:rsidR="002E062F" w:rsidRPr="00112C7D" w:rsidRDefault="002E062F" w:rsidP="00F240CA">
      <w:pPr>
        <w:rPr>
          <w:rFonts w:ascii="Verdana" w:hAnsi="Verdana"/>
          <w:sz w:val="20"/>
          <w:lang w:val="en-GB"/>
        </w:rPr>
      </w:pPr>
    </w:p>
    <w:sectPr w:rsidR="002E062F" w:rsidRPr="00112C7D" w:rsidSect="00F240C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847"/>
    <w:multiLevelType w:val="hybridMultilevel"/>
    <w:tmpl w:val="11846B2C"/>
    <w:lvl w:ilvl="0" w:tplc="67DA7A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E84C58"/>
    <w:multiLevelType w:val="multilevel"/>
    <w:tmpl w:val="314452C0"/>
    <w:lvl w:ilvl="0">
      <w:start w:val="5"/>
      <w:numFmt w:val="decimal"/>
      <w:lvlText w:val="%1."/>
      <w:lvlJc w:val="left"/>
      <w:pPr>
        <w:ind w:left="360" w:hanging="360"/>
      </w:pPr>
      <w:rPr>
        <w:rFonts w:eastAsia="Franklin Gothic Book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Franklin Gothic Book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Franklin Gothic Book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Franklin Gothic Book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Franklin Gothic Book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Franklin Gothic Book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Franklin Gothic Book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Franklin Gothic Book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Franklin Gothic Book" w:hint="default"/>
        <w:u w:val="none"/>
      </w:rPr>
    </w:lvl>
  </w:abstractNum>
  <w:abstractNum w:abstractNumId="2" w15:restartNumberingAfterBreak="0">
    <w:nsid w:val="2BA33493"/>
    <w:multiLevelType w:val="multilevel"/>
    <w:tmpl w:val="9458832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" w15:restartNumberingAfterBreak="0">
    <w:nsid w:val="2D7D61A9"/>
    <w:multiLevelType w:val="multilevel"/>
    <w:tmpl w:val="9458832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4" w15:restartNumberingAfterBreak="0">
    <w:nsid w:val="4A067EA2"/>
    <w:multiLevelType w:val="multilevel"/>
    <w:tmpl w:val="9458832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5" w15:restartNumberingAfterBreak="0">
    <w:nsid w:val="5DAE1F6D"/>
    <w:multiLevelType w:val="multilevel"/>
    <w:tmpl w:val="9458832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6" w15:restartNumberingAfterBreak="0">
    <w:nsid w:val="5DBB06B3"/>
    <w:multiLevelType w:val="multilevel"/>
    <w:tmpl w:val="AF0291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ascii="Times New Roman" w:eastAsia="MS Mincho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83218FC"/>
    <w:multiLevelType w:val="hybridMultilevel"/>
    <w:tmpl w:val="840C482A"/>
    <w:lvl w:ilvl="0" w:tplc="077A3C2C">
      <w:start w:val="1"/>
      <w:numFmt w:val="decimal"/>
      <w:pStyle w:val="Heading2mystyle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 w:tplc="04270003">
      <w:start w:val="1"/>
      <w:numFmt w:val="decimal"/>
      <w:lvlText w:val="7.%2."/>
      <w:lvlJc w:val="left"/>
      <w:pPr>
        <w:tabs>
          <w:tab w:val="num" w:pos="0"/>
        </w:tabs>
        <w:ind w:left="1440" w:hanging="360"/>
      </w:pPr>
      <w:rPr>
        <w:b/>
        <w:i w:val="0"/>
        <w:sz w:val="24"/>
        <w:szCs w:val="24"/>
      </w:rPr>
    </w:lvl>
    <w:lvl w:ilvl="2" w:tplc="04270005">
      <w:start w:val="1"/>
      <w:numFmt w:val="lowerRoman"/>
      <w:lvlText w:val="%3."/>
      <w:lvlJc w:val="right"/>
      <w:pPr>
        <w:ind w:left="2160" w:hanging="180"/>
      </w:pPr>
    </w:lvl>
    <w:lvl w:ilvl="3" w:tplc="04270001">
      <w:start w:val="1"/>
      <w:numFmt w:val="decimal"/>
      <w:lvlText w:val="%4."/>
      <w:lvlJc w:val="left"/>
      <w:pPr>
        <w:ind w:left="2880" w:hanging="360"/>
      </w:pPr>
    </w:lvl>
    <w:lvl w:ilvl="4" w:tplc="04270003">
      <w:start w:val="1"/>
      <w:numFmt w:val="lowerLetter"/>
      <w:lvlText w:val="%5."/>
      <w:lvlJc w:val="left"/>
      <w:pPr>
        <w:ind w:left="3600" w:hanging="360"/>
      </w:pPr>
    </w:lvl>
    <w:lvl w:ilvl="5" w:tplc="04270005">
      <w:start w:val="1"/>
      <w:numFmt w:val="lowerRoman"/>
      <w:lvlText w:val="%6."/>
      <w:lvlJc w:val="right"/>
      <w:pPr>
        <w:ind w:left="4320" w:hanging="180"/>
      </w:pPr>
    </w:lvl>
    <w:lvl w:ilvl="6" w:tplc="04270001">
      <w:start w:val="1"/>
      <w:numFmt w:val="decimal"/>
      <w:lvlText w:val="%7."/>
      <w:lvlJc w:val="left"/>
      <w:pPr>
        <w:ind w:left="5040" w:hanging="360"/>
      </w:pPr>
    </w:lvl>
    <w:lvl w:ilvl="7" w:tplc="04270003">
      <w:start w:val="1"/>
      <w:numFmt w:val="lowerLetter"/>
      <w:lvlText w:val="%8."/>
      <w:lvlJc w:val="left"/>
      <w:pPr>
        <w:ind w:left="5760" w:hanging="360"/>
      </w:pPr>
    </w:lvl>
    <w:lvl w:ilvl="8" w:tplc="04270005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A0568"/>
    <w:multiLevelType w:val="multilevel"/>
    <w:tmpl w:val="9458832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9" w15:restartNumberingAfterBreak="0">
    <w:nsid w:val="7138441C"/>
    <w:multiLevelType w:val="multilevel"/>
    <w:tmpl w:val="9458832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10" w15:restartNumberingAfterBreak="0">
    <w:nsid w:val="78924178"/>
    <w:multiLevelType w:val="multilevel"/>
    <w:tmpl w:val="DAF8190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31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1" w15:restartNumberingAfterBreak="0">
    <w:nsid w:val="7EEA1B57"/>
    <w:multiLevelType w:val="multilevel"/>
    <w:tmpl w:val="EBD8450C"/>
    <w:lvl w:ilvl="0">
      <w:start w:val="10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ascii="Times New Roman" w:eastAsia="MS Mincho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9171358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588023">
    <w:abstractNumId w:val="4"/>
  </w:num>
  <w:num w:numId="3" w16cid:durableId="307636674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412824">
    <w:abstractNumId w:val="11"/>
  </w:num>
  <w:num w:numId="5" w16cid:durableId="613562060">
    <w:abstractNumId w:val="1"/>
  </w:num>
  <w:num w:numId="6" w16cid:durableId="1672953570">
    <w:abstractNumId w:val="9"/>
  </w:num>
  <w:num w:numId="7" w16cid:durableId="853501022">
    <w:abstractNumId w:val="7"/>
  </w:num>
  <w:num w:numId="8" w16cid:durableId="727456482">
    <w:abstractNumId w:val="4"/>
  </w:num>
  <w:num w:numId="9" w16cid:durableId="1422599458">
    <w:abstractNumId w:val="6"/>
  </w:num>
  <w:num w:numId="10" w16cid:durableId="1045252351">
    <w:abstractNumId w:val="2"/>
  </w:num>
  <w:num w:numId="11" w16cid:durableId="679115946">
    <w:abstractNumId w:val="3"/>
  </w:num>
  <w:num w:numId="12" w16cid:durableId="1909413070">
    <w:abstractNumId w:val="8"/>
  </w:num>
  <w:num w:numId="13" w16cid:durableId="860776274">
    <w:abstractNumId w:val="9"/>
  </w:num>
  <w:num w:numId="14" w16cid:durableId="1849102364">
    <w:abstractNumId w:val="10"/>
  </w:num>
  <w:num w:numId="15" w16cid:durableId="215046506">
    <w:abstractNumId w:val="0"/>
  </w:num>
  <w:num w:numId="16" w16cid:durableId="1615482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17"/>
    <w:rsid w:val="000207DC"/>
    <w:rsid w:val="000267AA"/>
    <w:rsid w:val="00051372"/>
    <w:rsid w:val="0005306A"/>
    <w:rsid w:val="000959C6"/>
    <w:rsid w:val="000A26E7"/>
    <w:rsid w:val="000E4703"/>
    <w:rsid w:val="000F6602"/>
    <w:rsid w:val="00112C7D"/>
    <w:rsid w:val="001A0FFE"/>
    <w:rsid w:val="001A3C78"/>
    <w:rsid w:val="001F7317"/>
    <w:rsid w:val="00205865"/>
    <w:rsid w:val="00235518"/>
    <w:rsid w:val="00250EBF"/>
    <w:rsid w:val="00270E29"/>
    <w:rsid w:val="002B4B0F"/>
    <w:rsid w:val="002C3424"/>
    <w:rsid w:val="002D49BF"/>
    <w:rsid w:val="002E062F"/>
    <w:rsid w:val="002F1659"/>
    <w:rsid w:val="002F19A0"/>
    <w:rsid w:val="002F7893"/>
    <w:rsid w:val="00366976"/>
    <w:rsid w:val="003A5013"/>
    <w:rsid w:val="003C1337"/>
    <w:rsid w:val="003C24E8"/>
    <w:rsid w:val="003C40CC"/>
    <w:rsid w:val="003D43DF"/>
    <w:rsid w:val="003D5569"/>
    <w:rsid w:val="00422E6E"/>
    <w:rsid w:val="004611C1"/>
    <w:rsid w:val="004A4B9F"/>
    <w:rsid w:val="004D1389"/>
    <w:rsid w:val="005201C9"/>
    <w:rsid w:val="00562AB2"/>
    <w:rsid w:val="00591369"/>
    <w:rsid w:val="006138B1"/>
    <w:rsid w:val="006241EC"/>
    <w:rsid w:val="006244AB"/>
    <w:rsid w:val="00642E06"/>
    <w:rsid w:val="00657DF3"/>
    <w:rsid w:val="00661BF8"/>
    <w:rsid w:val="0066290F"/>
    <w:rsid w:val="00714C90"/>
    <w:rsid w:val="007210D7"/>
    <w:rsid w:val="00724B5C"/>
    <w:rsid w:val="007766E0"/>
    <w:rsid w:val="00780CDE"/>
    <w:rsid w:val="007C77CA"/>
    <w:rsid w:val="007D369B"/>
    <w:rsid w:val="007E5B16"/>
    <w:rsid w:val="007F3753"/>
    <w:rsid w:val="00810EE6"/>
    <w:rsid w:val="0081477F"/>
    <w:rsid w:val="00886E3D"/>
    <w:rsid w:val="008B52DB"/>
    <w:rsid w:val="008B5727"/>
    <w:rsid w:val="008D69DA"/>
    <w:rsid w:val="008F60FD"/>
    <w:rsid w:val="008F6C5B"/>
    <w:rsid w:val="0091033A"/>
    <w:rsid w:val="00971A83"/>
    <w:rsid w:val="0098454E"/>
    <w:rsid w:val="00A00525"/>
    <w:rsid w:val="00A164E8"/>
    <w:rsid w:val="00A259A8"/>
    <w:rsid w:val="00A27DAE"/>
    <w:rsid w:val="00A32AE2"/>
    <w:rsid w:val="00A75213"/>
    <w:rsid w:val="00A82CFE"/>
    <w:rsid w:val="00AB42BE"/>
    <w:rsid w:val="00B06644"/>
    <w:rsid w:val="00B5423E"/>
    <w:rsid w:val="00B76D87"/>
    <w:rsid w:val="00BB35CC"/>
    <w:rsid w:val="00BC77DA"/>
    <w:rsid w:val="00C374FF"/>
    <w:rsid w:val="00C43B63"/>
    <w:rsid w:val="00C54E93"/>
    <w:rsid w:val="00CB3277"/>
    <w:rsid w:val="00CD13CE"/>
    <w:rsid w:val="00CD248E"/>
    <w:rsid w:val="00CD3E61"/>
    <w:rsid w:val="00D179D3"/>
    <w:rsid w:val="00D37C2B"/>
    <w:rsid w:val="00D65491"/>
    <w:rsid w:val="00D73C21"/>
    <w:rsid w:val="00D77C3E"/>
    <w:rsid w:val="00D84322"/>
    <w:rsid w:val="00DB78DA"/>
    <w:rsid w:val="00DE3DBB"/>
    <w:rsid w:val="00E16B2F"/>
    <w:rsid w:val="00E54E30"/>
    <w:rsid w:val="00E64276"/>
    <w:rsid w:val="00E73F22"/>
    <w:rsid w:val="00EA1E9C"/>
    <w:rsid w:val="00EC6A6D"/>
    <w:rsid w:val="00EF69E2"/>
    <w:rsid w:val="00F23972"/>
    <w:rsid w:val="00F240CA"/>
    <w:rsid w:val="00F258F0"/>
    <w:rsid w:val="00F307D7"/>
    <w:rsid w:val="00F51717"/>
    <w:rsid w:val="00F7140E"/>
    <w:rsid w:val="00F76E0A"/>
    <w:rsid w:val="00FB4E05"/>
    <w:rsid w:val="00FD79A0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BC57051"/>
  <w15:chartTrackingRefBased/>
  <w15:docId w15:val="{BC0E2DC4-6B02-4E09-8264-9E82D5DF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317"/>
    <w:pPr>
      <w:spacing w:after="0" w:line="240" w:lineRule="auto"/>
    </w:pPr>
    <w:rPr>
      <w:rFonts w:eastAsia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3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aliases w:val="ERP Footer Char,ft Char"/>
    <w:basedOn w:val="DefaultParagraphFont"/>
    <w:link w:val="Footer"/>
    <w:uiPriority w:val="99"/>
    <w:semiHidden/>
    <w:locked/>
    <w:rsid w:val="001F7317"/>
    <w:rPr>
      <w:rFonts w:ascii="Calibri" w:eastAsia="Calibri" w:hAnsi="Calibri"/>
      <w:sz w:val="24"/>
    </w:rPr>
  </w:style>
  <w:style w:type="paragraph" w:styleId="Footer">
    <w:name w:val="footer"/>
    <w:aliases w:val="ERP Footer,ft"/>
    <w:basedOn w:val="Normal"/>
    <w:link w:val="FooterChar"/>
    <w:uiPriority w:val="99"/>
    <w:semiHidden/>
    <w:unhideWhenUsed/>
    <w:rsid w:val="001F7317"/>
    <w:pPr>
      <w:tabs>
        <w:tab w:val="center" w:pos="4819"/>
        <w:tab w:val="right" w:pos="9638"/>
      </w:tabs>
    </w:pPr>
    <w:rPr>
      <w:rFonts w:ascii="Calibri" w:eastAsia="Calibri" w:hAnsi="Calibri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1F7317"/>
    <w:rPr>
      <w:rFonts w:eastAsia="Times New Roman"/>
      <w:sz w:val="24"/>
      <w:szCs w:val="20"/>
    </w:rPr>
  </w:style>
  <w:style w:type="character" w:customStyle="1" w:styleId="Heading2mystyleChar">
    <w:name w:val="Heading2+mystyle Char"/>
    <w:link w:val="Heading2mystyle"/>
    <w:locked/>
    <w:rsid w:val="001F7317"/>
    <w:rPr>
      <w:b/>
      <w:iCs/>
      <w:sz w:val="26"/>
      <w:szCs w:val="26"/>
      <w:lang w:eastAsia="lt-LT"/>
    </w:rPr>
  </w:style>
  <w:style w:type="paragraph" w:customStyle="1" w:styleId="Heading2mystyle">
    <w:name w:val="Heading2+mystyle"/>
    <w:basedOn w:val="Heading2"/>
    <w:link w:val="Heading2mystyleChar"/>
    <w:qFormat/>
    <w:rsid w:val="001F7317"/>
    <w:pPr>
      <w:numPr>
        <w:numId w:val="1"/>
      </w:numPr>
      <w:spacing w:before="0"/>
    </w:pPr>
    <w:rPr>
      <w:rFonts w:ascii="Times New Roman" w:eastAsiaTheme="minorHAnsi" w:hAnsi="Times New Roman" w:cs="Times New Roman"/>
      <w:b/>
      <w:iCs/>
      <w:color w:val="auto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3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"/>
    <w:basedOn w:val="Normal"/>
    <w:link w:val="ListParagraphChar"/>
    <w:uiPriority w:val="34"/>
    <w:qFormat/>
    <w:rsid w:val="00A75213"/>
    <w:pPr>
      <w:ind w:left="720"/>
      <w:contextualSpacing/>
    </w:pPr>
    <w:rPr>
      <w:rFonts w:eastAsia="Calibri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A75213"/>
    <w:rPr>
      <w:rFonts w:eastAsia="Calibri"/>
      <w:sz w:val="24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F1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9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9A0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9A0"/>
    <w:rPr>
      <w:rFonts w:eastAsia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78DA"/>
    <w:pPr>
      <w:spacing w:after="0" w:line="240" w:lineRule="auto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594627F8355478E7A5EEF5CF0CC62" ma:contentTypeVersion="2" ma:contentTypeDescription="Create a new document." ma:contentTypeScope="" ma:versionID="4e95721e2539db8259d6b123c87c16d6">
  <xsd:schema xmlns:xsd="http://www.w3.org/2001/XMLSchema" xmlns:xs="http://www.w3.org/2001/XMLSchema" xmlns:p="http://schemas.microsoft.com/office/2006/metadata/properties" xmlns:ns2="16816f5f-8b75-49a7-a51a-7b107cc621dd" targetNamespace="http://schemas.microsoft.com/office/2006/metadata/properties" ma:root="true" ma:fieldsID="bc3a262dd5b7bee1b6ea1a831d340074" ns2:_="">
    <xsd:import namespace="16816f5f-8b75-49a7-a51a-7b107cc62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16f5f-8b75-49a7-a51a-7b107cc62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BE49-9214-42B4-996A-5909A0F47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16f5f-8b75-49a7-a51a-7b107cc62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B0EA3-57AD-4BF1-8F9C-AD66BB5FD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1156D-358E-4F03-95D3-48519E08C09F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16816f5f-8b75-49a7-a51a-7b107cc621d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4063172-202B-4B34-8C8B-72E6816AC9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2539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Baltutis</dc:creator>
  <cp:keywords/>
  <dc:description/>
  <cp:lastModifiedBy>Agnė Urbelionytė</cp:lastModifiedBy>
  <cp:revision>32</cp:revision>
  <dcterms:created xsi:type="dcterms:W3CDTF">2021-04-02T10:32:00Z</dcterms:created>
  <dcterms:modified xsi:type="dcterms:W3CDTF">2025-07-09T15:28:00Z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0x010100556594627F8355478E7A5EEF5CF0CC62</vt:lpwstr>
  </property>
</Properties>
</file>