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2B82" w14:textId="67DAEE7D" w:rsidR="00932FA6" w:rsidRPr="00BB2ACA" w:rsidRDefault="00BA18F4" w:rsidP="00BB2ACA">
      <w:pPr>
        <w:jc w:val="right"/>
        <w:rPr>
          <w:rFonts w:ascii="Times New Roman" w:eastAsia="Calibri" w:hAnsi="Times New Roman" w:cs="Times New Roman"/>
          <w:sz w:val="24"/>
          <w:szCs w:val="24"/>
          <w:lang w:val="en-US"/>
        </w:rPr>
      </w:pPr>
      <w:r w:rsidRPr="00BB2ACA">
        <w:rPr>
          <w:rFonts w:ascii="Times New Roman" w:hAnsi="Times New Roman" w:cs="Times New Roman"/>
          <w:sz w:val="24"/>
          <w:szCs w:val="24"/>
        </w:rPr>
        <w:t>Pirkimo sąlygų 6</w:t>
      </w:r>
      <w:r w:rsidRPr="00BB2ACA">
        <w:rPr>
          <w:rFonts w:ascii="Times New Roman" w:hAnsi="Times New Roman" w:cs="Times New Roman"/>
          <w:sz w:val="24"/>
          <w:szCs w:val="24"/>
          <w:lang w:val="en-US"/>
        </w:rPr>
        <w:t xml:space="preserve"> priedas</w:t>
      </w:r>
    </w:p>
    <w:p w14:paraId="5B434914" w14:textId="6A217F03" w:rsidR="00D3629F" w:rsidRPr="00BB2ACA" w:rsidRDefault="007F0D05" w:rsidP="00D3629F">
      <w:pPr>
        <w:ind w:left="360"/>
        <w:jc w:val="center"/>
        <w:rPr>
          <w:rFonts w:ascii="Times New Roman" w:hAnsi="Times New Roman" w:cs="Times New Roman"/>
          <w:b/>
          <w:color w:val="000000" w:themeColor="text1"/>
          <w:sz w:val="24"/>
          <w:szCs w:val="24"/>
        </w:rPr>
      </w:pPr>
      <w:r w:rsidRPr="00BB2ACA">
        <w:rPr>
          <w:rFonts w:ascii="Times New Roman" w:hAnsi="Times New Roman" w:cs="Times New Roman"/>
          <w:b/>
          <w:color w:val="000000" w:themeColor="text1"/>
          <w:sz w:val="24"/>
          <w:szCs w:val="24"/>
        </w:rPr>
        <w:t xml:space="preserve">EKONOMIŠKAI NAUDINGIAUSIO PASIŪLYMO IŠRINKIMO KRITERIJAI IR TVARKA </w:t>
      </w:r>
    </w:p>
    <w:p w14:paraId="3F576D64" w14:textId="77777777" w:rsidR="00D3629F" w:rsidRPr="00BB2ACA" w:rsidRDefault="00D3629F" w:rsidP="00D3629F">
      <w:pPr>
        <w:numPr>
          <w:ilvl w:val="0"/>
          <w:numId w:val="2"/>
        </w:numPr>
        <w:tabs>
          <w:tab w:val="left" w:pos="567"/>
        </w:tabs>
        <w:spacing w:after="0" w:line="240" w:lineRule="auto"/>
        <w:ind w:left="0" w:firstLine="567"/>
        <w:contextualSpacing/>
        <w:jc w:val="both"/>
        <w:rPr>
          <w:rFonts w:ascii="Times New Roman" w:eastAsia="Calibri" w:hAnsi="Times New Roman" w:cs="Times New Roman"/>
          <w:sz w:val="24"/>
          <w:szCs w:val="24"/>
        </w:rPr>
      </w:pPr>
      <w:r w:rsidRPr="00BB2ACA">
        <w:rPr>
          <w:rFonts w:ascii="Times New Roman" w:eastAsia="Calibri" w:hAnsi="Times New Roman" w:cs="Times New Roman"/>
          <w:sz w:val="24"/>
          <w:szCs w:val="24"/>
        </w:rPr>
        <w:t>Perkančioji organizacija ekonomiškai naudingiausią pasiūlymą išrenka pagal kainos ir kokybės santykį.</w:t>
      </w:r>
    </w:p>
    <w:p w14:paraId="180C691A" w14:textId="5184CEC2" w:rsidR="00D3629F" w:rsidRPr="00BB2ACA" w:rsidRDefault="00D3629F" w:rsidP="00D3629F">
      <w:pPr>
        <w:numPr>
          <w:ilvl w:val="0"/>
          <w:numId w:val="2"/>
        </w:numPr>
        <w:tabs>
          <w:tab w:val="left" w:pos="567"/>
          <w:tab w:val="left" w:pos="1276"/>
          <w:tab w:val="left" w:pos="1418"/>
        </w:tabs>
        <w:spacing w:after="0" w:line="240" w:lineRule="auto"/>
        <w:ind w:left="0" w:firstLine="567"/>
        <w:contextualSpacing/>
        <w:jc w:val="both"/>
        <w:rPr>
          <w:rFonts w:ascii="Times New Roman" w:eastAsia="Calibri" w:hAnsi="Times New Roman" w:cs="Times New Roman"/>
          <w:sz w:val="24"/>
          <w:szCs w:val="24"/>
        </w:rPr>
      </w:pPr>
      <w:r w:rsidRPr="00BB2ACA">
        <w:rPr>
          <w:rFonts w:ascii="Times New Roman" w:eastAsia="Calibri"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tiekėjo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2F28C0C5" w14:textId="77777777" w:rsidR="00D3629F" w:rsidRPr="00BB2ACA" w:rsidRDefault="00D3629F" w:rsidP="00D3629F">
      <w:pPr>
        <w:numPr>
          <w:ilvl w:val="0"/>
          <w:numId w:val="2"/>
        </w:numPr>
        <w:tabs>
          <w:tab w:val="left" w:pos="567"/>
        </w:tabs>
        <w:spacing w:after="0" w:line="240" w:lineRule="auto"/>
        <w:ind w:left="0" w:firstLine="567"/>
        <w:contextualSpacing/>
        <w:jc w:val="both"/>
        <w:rPr>
          <w:rFonts w:ascii="Times New Roman" w:eastAsia="Calibri" w:hAnsi="Times New Roman" w:cs="Times New Roman"/>
          <w:sz w:val="24"/>
          <w:szCs w:val="24"/>
        </w:rPr>
      </w:pPr>
      <w:r w:rsidRPr="00BB2ACA">
        <w:rPr>
          <w:rFonts w:ascii="Times New Roman" w:eastAsia="Times New Roman" w:hAnsi="Times New Roman" w:cs="Times New Roman"/>
          <w:sz w:val="24"/>
          <w:szCs w:val="24"/>
          <w:lang w:val="x-none" w:eastAsia="en-US"/>
        </w:rPr>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7"/>
        <w:gridCol w:w="2267"/>
      </w:tblGrid>
      <w:tr w:rsidR="00D3629F" w:rsidRPr="00BB2ACA" w14:paraId="54614864" w14:textId="77777777" w:rsidTr="00D3629F">
        <w:tc>
          <w:tcPr>
            <w:tcW w:w="570" w:type="dxa"/>
            <w:tcBorders>
              <w:top w:val="single" w:sz="4" w:space="0" w:color="auto"/>
              <w:left w:val="single" w:sz="4" w:space="0" w:color="auto"/>
              <w:bottom w:val="single" w:sz="4" w:space="0" w:color="auto"/>
              <w:right w:val="single" w:sz="4" w:space="0" w:color="auto"/>
            </w:tcBorders>
            <w:hideMark/>
          </w:tcPr>
          <w:p w14:paraId="4978137E" w14:textId="77777777" w:rsidR="00D3629F" w:rsidRPr="00BB2ACA" w:rsidRDefault="00D3629F">
            <w:pPr>
              <w:suppressAutoHyphens/>
              <w:spacing w:after="0" w:line="240" w:lineRule="auto"/>
              <w:jc w:val="center"/>
              <w:rPr>
                <w:rFonts w:ascii="Times New Roman" w:eastAsia="Calibri" w:hAnsi="Times New Roman" w:cs="Times New Roman"/>
                <w:b/>
                <w:sz w:val="24"/>
                <w:szCs w:val="24"/>
                <w:lang w:eastAsia="en-US"/>
              </w:rPr>
            </w:pPr>
            <w:r w:rsidRPr="00BB2ACA">
              <w:rPr>
                <w:rFonts w:ascii="Times New Roman" w:eastAsia="Calibri" w:hAnsi="Times New Roman" w:cs="Times New Roman"/>
                <w:b/>
                <w:sz w:val="24"/>
                <w:szCs w:val="24"/>
                <w:lang w:eastAsia="en-US"/>
              </w:rPr>
              <w:t>Eil. Nr.</w:t>
            </w:r>
          </w:p>
        </w:tc>
        <w:tc>
          <w:tcPr>
            <w:tcW w:w="6797" w:type="dxa"/>
            <w:tcBorders>
              <w:top w:val="single" w:sz="4" w:space="0" w:color="auto"/>
              <w:left w:val="single" w:sz="4" w:space="0" w:color="auto"/>
              <w:bottom w:val="single" w:sz="4" w:space="0" w:color="auto"/>
              <w:right w:val="single" w:sz="4" w:space="0" w:color="auto"/>
            </w:tcBorders>
            <w:vAlign w:val="center"/>
            <w:hideMark/>
          </w:tcPr>
          <w:p w14:paraId="1E909F05" w14:textId="77777777" w:rsidR="00D3629F" w:rsidRPr="00BB2ACA" w:rsidRDefault="00D3629F">
            <w:pPr>
              <w:suppressAutoHyphens/>
              <w:spacing w:after="0" w:line="240" w:lineRule="auto"/>
              <w:jc w:val="center"/>
              <w:rPr>
                <w:rFonts w:ascii="Times New Roman" w:eastAsia="Calibri" w:hAnsi="Times New Roman" w:cs="Times New Roman"/>
                <w:b/>
                <w:sz w:val="24"/>
                <w:szCs w:val="24"/>
                <w:lang w:eastAsia="en-US"/>
              </w:rPr>
            </w:pPr>
            <w:r w:rsidRPr="00BB2ACA">
              <w:rPr>
                <w:rFonts w:ascii="Times New Roman" w:eastAsia="Calibri" w:hAnsi="Times New Roman" w:cs="Times New Roman"/>
                <w:b/>
                <w:sz w:val="24"/>
                <w:szCs w:val="24"/>
                <w:lang w:eastAsia="en-US"/>
              </w:rPr>
              <w:t>Vertinimo kriterijai</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D3138EB" w14:textId="77777777" w:rsidR="00D3629F" w:rsidRPr="00BB2ACA" w:rsidRDefault="00D3629F">
            <w:pPr>
              <w:suppressAutoHyphens/>
              <w:spacing w:after="0" w:line="240" w:lineRule="auto"/>
              <w:ind w:firstLine="33"/>
              <w:jc w:val="center"/>
              <w:rPr>
                <w:rFonts w:ascii="Times New Roman" w:eastAsia="Calibri" w:hAnsi="Times New Roman" w:cs="Times New Roman"/>
                <w:b/>
                <w:sz w:val="24"/>
                <w:szCs w:val="24"/>
                <w:lang w:eastAsia="en-US"/>
              </w:rPr>
            </w:pPr>
            <w:r w:rsidRPr="00BB2ACA">
              <w:rPr>
                <w:rFonts w:ascii="Times New Roman" w:eastAsia="Calibri" w:hAnsi="Times New Roman" w:cs="Times New Roman"/>
                <w:b/>
                <w:sz w:val="24"/>
                <w:szCs w:val="24"/>
                <w:lang w:eastAsia="en-US"/>
              </w:rPr>
              <w:t>Kriterijaus lyginamasis svoris</w:t>
            </w:r>
          </w:p>
        </w:tc>
      </w:tr>
      <w:tr w:rsidR="00D3629F" w:rsidRPr="00BB2ACA" w14:paraId="2FBF722A" w14:textId="77777777" w:rsidTr="00D3629F">
        <w:tc>
          <w:tcPr>
            <w:tcW w:w="570" w:type="dxa"/>
            <w:tcBorders>
              <w:top w:val="single" w:sz="4" w:space="0" w:color="auto"/>
              <w:left w:val="single" w:sz="4" w:space="0" w:color="auto"/>
              <w:bottom w:val="single" w:sz="4" w:space="0" w:color="auto"/>
              <w:right w:val="single" w:sz="4" w:space="0" w:color="auto"/>
            </w:tcBorders>
            <w:hideMark/>
          </w:tcPr>
          <w:p w14:paraId="332306EF" w14:textId="77777777" w:rsidR="00D3629F" w:rsidRPr="00BB2ACA" w:rsidRDefault="00D3629F">
            <w:pPr>
              <w:suppressAutoHyphens/>
              <w:spacing w:after="0" w:line="240" w:lineRule="auto"/>
              <w:jc w:val="center"/>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1.</w:t>
            </w:r>
          </w:p>
        </w:tc>
        <w:tc>
          <w:tcPr>
            <w:tcW w:w="6797" w:type="dxa"/>
            <w:tcBorders>
              <w:top w:val="single" w:sz="4" w:space="0" w:color="auto"/>
              <w:left w:val="single" w:sz="4" w:space="0" w:color="auto"/>
              <w:bottom w:val="single" w:sz="4" w:space="0" w:color="auto"/>
              <w:right w:val="single" w:sz="4" w:space="0" w:color="auto"/>
            </w:tcBorders>
            <w:hideMark/>
          </w:tcPr>
          <w:p w14:paraId="61CDDA29" w14:textId="77777777" w:rsidR="00D3629F" w:rsidRPr="00BB2ACA" w:rsidRDefault="00D3629F">
            <w:pPr>
              <w:suppressAutoHyphens/>
              <w:spacing w:after="0"/>
              <w:ind w:firstLine="33"/>
              <w:jc w:val="both"/>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Kaina, C</w:t>
            </w:r>
          </w:p>
        </w:tc>
        <w:tc>
          <w:tcPr>
            <w:tcW w:w="2267" w:type="dxa"/>
            <w:tcBorders>
              <w:top w:val="single" w:sz="4" w:space="0" w:color="auto"/>
              <w:left w:val="single" w:sz="4" w:space="0" w:color="auto"/>
              <w:bottom w:val="single" w:sz="4" w:space="0" w:color="auto"/>
              <w:right w:val="single" w:sz="4" w:space="0" w:color="auto"/>
            </w:tcBorders>
            <w:hideMark/>
          </w:tcPr>
          <w:p w14:paraId="313740D8" w14:textId="77777777" w:rsidR="00D3629F" w:rsidRPr="00BB2ACA" w:rsidRDefault="00D3629F">
            <w:pPr>
              <w:suppressAutoHyphens/>
              <w:spacing w:after="0"/>
              <w:jc w:val="center"/>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X=90</w:t>
            </w:r>
          </w:p>
        </w:tc>
      </w:tr>
      <w:tr w:rsidR="00D3629F" w:rsidRPr="00BB2ACA" w14:paraId="1EE853F0" w14:textId="77777777" w:rsidTr="00D3629F">
        <w:tc>
          <w:tcPr>
            <w:tcW w:w="570" w:type="dxa"/>
            <w:tcBorders>
              <w:top w:val="single" w:sz="4" w:space="0" w:color="auto"/>
              <w:left w:val="single" w:sz="4" w:space="0" w:color="auto"/>
              <w:bottom w:val="single" w:sz="4" w:space="0" w:color="auto"/>
              <w:right w:val="single" w:sz="4" w:space="0" w:color="auto"/>
            </w:tcBorders>
            <w:hideMark/>
          </w:tcPr>
          <w:p w14:paraId="5E8B8AF9" w14:textId="77777777" w:rsidR="00D3629F" w:rsidRPr="00BB2ACA" w:rsidRDefault="00D3629F">
            <w:pPr>
              <w:suppressAutoHyphens/>
              <w:spacing w:after="0" w:line="240" w:lineRule="auto"/>
              <w:jc w:val="center"/>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2.</w:t>
            </w:r>
          </w:p>
        </w:tc>
        <w:tc>
          <w:tcPr>
            <w:tcW w:w="6797" w:type="dxa"/>
            <w:tcBorders>
              <w:top w:val="single" w:sz="4" w:space="0" w:color="auto"/>
              <w:left w:val="single" w:sz="4" w:space="0" w:color="auto"/>
              <w:bottom w:val="single" w:sz="4" w:space="0" w:color="auto"/>
              <w:right w:val="single" w:sz="4" w:space="0" w:color="auto"/>
            </w:tcBorders>
            <w:hideMark/>
          </w:tcPr>
          <w:p w14:paraId="2A5F6ADE" w14:textId="77777777" w:rsidR="00D3629F" w:rsidRPr="00BB2ACA" w:rsidRDefault="00D3629F">
            <w:pPr>
              <w:suppressAutoHyphens/>
              <w:spacing w:after="0"/>
              <w:ind w:firstLine="33"/>
              <w:jc w:val="both"/>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Papildoma statinio garantinio termino trukmė metais, Tg</w:t>
            </w:r>
          </w:p>
        </w:tc>
        <w:tc>
          <w:tcPr>
            <w:tcW w:w="2267" w:type="dxa"/>
            <w:tcBorders>
              <w:top w:val="single" w:sz="4" w:space="0" w:color="auto"/>
              <w:left w:val="single" w:sz="4" w:space="0" w:color="auto"/>
              <w:bottom w:val="single" w:sz="4" w:space="0" w:color="auto"/>
              <w:right w:val="single" w:sz="4" w:space="0" w:color="auto"/>
            </w:tcBorders>
            <w:hideMark/>
          </w:tcPr>
          <w:p w14:paraId="29939C85" w14:textId="77777777" w:rsidR="00D3629F" w:rsidRPr="00BB2ACA" w:rsidRDefault="00D3629F">
            <w:pPr>
              <w:suppressAutoHyphens/>
              <w:spacing w:after="0"/>
              <w:jc w:val="center"/>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Y=10</w:t>
            </w:r>
          </w:p>
        </w:tc>
      </w:tr>
    </w:tbl>
    <w:p w14:paraId="6FAB6B4B" w14:textId="77777777" w:rsidR="00D3629F" w:rsidRPr="00BB2ACA" w:rsidRDefault="00D3629F" w:rsidP="00D3629F">
      <w:pPr>
        <w:keepNext/>
        <w:numPr>
          <w:ilvl w:val="0"/>
          <w:numId w:val="2"/>
        </w:numPr>
        <w:tabs>
          <w:tab w:val="left" w:pos="851"/>
        </w:tabs>
        <w:suppressAutoHyphens/>
        <w:spacing w:after="0" w:line="240" w:lineRule="auto"/>
        <w:ind w:left="0" w:firstLine="567"/>
        <w:contextualSpacing/>
        <w:jc w:val="both"/>
        <w:outlineLvl w:val="1"/>
        <w:rPr>
          <w:rFonts w:ascii="Times New Roman" w:eastAsia="Times New Roman" w:hAnsi="Times New Roman" w:cs="Times New Roman"/>
          <w:sz w:val="24"/>
          <w:szCs w:val="24"/>
          <w:lang w:val="x-none" w:eastAsia="en-US"/>
        </w:rPr>
      </w:pPr>
      <w:r w:rsidRPr="00BB2ACA">
        <w:rPr>
          <w:rFonts w:ascii="Times New Roman" w:eastAsia="Times New Roman" w:hAnsi="Times New Roman" w:cs="Times New Roman"/>
          <w:sz w:val="24"/>
          <w:szCs w:val="24"/>
          <w:lang w:val="x-none" w:eastAsia="en-US"/>
        </w:rPr>
        <w:t>Ekonominis naudingumas (S) apskaičiuojamas sudedant tiekėjo pasiūlymo kainos C ir papildomos statinio garantinio termino trukmės kriterijaus Tg balus:</w:t>
      </w:r>
    </w:p>
    <w:p w14:paraId="1E400932" w14:textId="77777777" w:rsidR="00D3629F" w:rsidRPr="00BB2ACA" w:rsidRDefault="00D3629F" w:rsidP="00D3629F">
      <w:pPr>
        <w:tabs>
          <w:tab w:val="left" w:pos="1134"/>
        </w:tabs>
        <w:suppressAutoHyphens/>
        <w:spacing w:after="0" w:line="240" w:lineRule="auto"/>
        <w:ind w:firstLine="567"/>
        <w:jc w:val="both"/>
        <w:rPr>
          <w:rFonts w:ascii="Times New Roman" w:eastAsia="Times New Roman" w:hAnsi="Times New Roman" w:cs="Times New Roman"/>
          <w:sz w:val="24"/>
          <w:szCs w:val="24"/>
          <w:lang w:eastAsia="en-US"/>
        </w:rPr>
      </w:pPr>
    </w:p>
    <w:p w14:paraId="19AD7AD7" w14:textId="77777777" w:rsidR="00D3629F" w:rsidRPr="00BB2ACA" w:rsidRDefault="00D3629F" w:rsidP="00D3629F">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BB2ACA">
        <w:rPr>
          <w:rFonts w:ascii="Times New Roman" w:eastAsia="Times New Roman" w:hAnsi="Times New Roman" w:cs="Times New Roman"/>
          <w:sz w:val="24"/>
          <w:szCs w:val="24"/>
          <w:lang w:eastAsia="en-US"/>
        </w:rPr>
        <w:t>S = C + T</w:t>
      </w:r>
      <w:r w:rsidRPr="00BB2ACA">
        <w:rPr>
          <w:rFonts w:ascii="Times New Roman" w:eastAsia="Times New Roman" w:hAnsi="Times New Roman" w:cs="Times New Roman"/>
          <w:sz w:val="24"/>
          <w:szCs w:val="24"/>
          <w:vertAlign w:val="subscript"/>
          <w:lang w:eastAsia="en-US"/>
        </w:rPr>
        <w:t>g</w:t>
      </w:r>
    </w:p>
    <w:p w14:paraId="2F4E3C02" w14:textId="77777777" w:rsidR="00D3629F" w:rsidRPr="00BB2ACA" w:rsidRDefault="00D3629F" w:rsidP="00D3629F">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14:paraId="6760F184" w14:textId="77777777" w:rsidR="00D3629F" w:rsidRPr="00BB2ACA" w:rsidRDefault="00D3629F" w:rsidP="00D3629F">
      <w:pPr>
        <w:keepNext/>
        <w:numPr>
          <w:ilvl w:val="0"/>
          <w:numId w:val="2"/>
        </w:numPr>
        <w:tabs>
          <w:tab w:val="left" w:pos="851"/>
        </w:tabs>
        <w:suppressAutoHyphens/>
        <w:spacing w:after="0" w:line="240" w:lineRule="auto"/>
        <w:ind w:left="0" w:firstLine="567"/>
        <w:contextualSpacing/>
        <w:jc w:val="both"/>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Pasiūlymo kainos (C) balai apskaičiuojami mažiausios pasiūlytos kainos (C</w:t>
      </w:r>
      <w:r w:rsidRPr="00BB2ACA">
        <w:rPr>
          <w:rFonts w:ascii="Times New Roman" w:eastAsia="Times New Roman" w:hAnsi="Times New Roman" w:cs="Times New Roman"/>
          <w:sz w:val="24"/>
          <w:szCs w:val="24"/>
          <w:vertAlign w:val="subscript"/>
          <w:lang w:eastAsia="en-US"/>
        </w:rPr>
        <w:t>min</w:t>
      </w:r>
      <w:r w:rsidRPr="00BB2ACA">
        <w:rPr>
          <w:rFonts w:ascii="Times New Roman" w:eastAsia="Times New Roman" w:hAnsi="Times New Roman" w:cs="Times New Roman"/>
          <w:sz w:val="24"/>
          <w:szCs w:val="24"/>
          <w:lang w:eastAsia="en-US"/>
        </w:rPr>
        <w:t>) ir vertinamo pasiūlymo kainos (C</w:t>
      </w:r>
      <w:r w:rsidRPr="00BB2ACA">
        <w:rPr>
          <w:rFonts w:ascii="Times New Roman" w:eastAsia="Times New Roman" w:hAnsi="Times New Roman" w:cs="Times New Roman"/>
          <w:sz w:val="24"/>
          <w:szCs w:val="24"/>
          <w:vertAlign w:val="subscript"/>
          <w:lang w:eastAsia="en-US"/>
        </w:rPr>
        <w:t>p</w:t>
      </w:r>
      <w:r w:rsidRPr="00BB2ACA">
        <w:rPr>
          <w:rFonts w:ascii="Times New Roman" w:eastAsia="Times New Roman" w:hAnsi="Times New Roman" w:cs="Times New Roman"/>
          <w:sz w:val="24"/>
          <w:szCs w:val="24"/>
          <w:lang w:eastAsia="en-US"/>
        </w:rPr>
        <w:t>) santykį padauginant iš kainos lyginamojo svorio (X):</w:t>
      </w:r>
    </w:p>
    <w:p w14:paraId="0D1E3829" w14:textId="77777777" w:rsidR="00D3629F" w:rsidRPr="00BB2ACA" w:rsidRDefault="00D3629F" w:rsidP="00D3629F">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14:paraId="5B5D4340" w14:textId="2FC530C4" w:rsidR="00D3629F" w:rsidRPr="00BB2ACA" w:rsidRDefault="00D3629F" w:rsidP="00D3629F">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BB2ACA">
        <w:rPr>
          <w:rFonts w:ascii="Times New Roman" w:eastAsia="Times New Roman" w:hAnsi="Times New Roman" w:cs="Times New Roman"/>
          <w:b/>
          <w:noProof/>
          <w:position w:val="-32"/>
          <w:sz w:val="24"/>
          <w:szCs w:val="24"/>
        </w:rPr>
        <w:drawing>
          <wp:inline distT="0" distB="0" distL="0" distR="0" wp14:anchorId="63BA4562" wp14:editId="254DABD1">
            <wp:extent cx="853440" cy="464820"/>
            <wp:effectExtent l="0" t="0" r="0" b="0"/>
            <wp:docPr id="1576339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64820"/>
                    </a:xfrm>
                    <a:prstGeom prst="rect">
                      <a:avLst/>
                    </a:prstGeom>
                    <a:noFill/>
                    <a:ln>
                      <a:noFill/>
                    </a:ln>
                  </pic:spPr>
                </pic:pic>
              </a:graphicData>
            </a:graphic>
          </wp:inline>
        </w:drawing>
      </w:r>
    </w:p>
    <w:p w14:paraId="5DE6E6E9" w14:textId="77777777" w:rsidR="00D3629F" w:rsidRPr="00BB2ACA" w:rsidRDefault="00D3629F" w:rsidP="00D3629F">
      <w:pPr>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 xml:space="preserve">Tiekėjai savo pasiūlymuose turi nurodyti papildomą statinio garantinio termino trukmę metais, (Tg). Papildoma statinio garantinio termino trukmė metais – tiekėjo suteikiamas papildomas terminas, viršijantis minimalų teisės aktais nustatytą garantinį terminą (5 metai). </w:t>
      </w:r>
    </w:p>
    <w:p w14:paraId="7E35588D" w14:textId="77777777" w:rsidR="00D3629F" w:rsidRPr="00BB2ACA" w:rsidRDefault="00D3629F" w:rsidP="00D3629F">
      <w:pPr>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B2ACA">
        <w:rPr>
          <w:rFonts w:ascii="Times New Roman" w:eastAsia="Calibri" w:hAnsi="Times New Roman" w:cs="Times New Roman"/>
          <w:sz w:val="24"/>
          <w:szCs w:val="24"/>
          <w:lang w:eastAsia="en-US"/>
        </w:rPr>
        <w:t>Papildomos statinio garantinio termino trukmės kriterijaus, išreikšto metais (Tg),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D3629F" w:rsidRPr="00BB2ACA" w14:paraId="4D04F851" w14:textId="77777777" w:rsidTr="00D3629F">
        <w:trPr>
          <w:jc w:val="center"/>
        </w:trPr>
        <w:tc>
          <w:tcPr>
            <w:tcW w:w="5499" w:type="dxa"/>
            <w:tcBorders>
              <w:top w:val="single" w:sz="4" w:space="0" w:color="auto"/>
              <w:left w:val="single" w:sz="4" w:space="0" w:color="auto"/>
              <w:bottom w:val="single" w:sz="4" w:space="0" w:color="auto"/>
              <w:right w:val="single" w:sz="4" w:space="0" w:color="auto"/>
            </w:tcBorders>
            <w:hideMark/>
          </w:tcPr>
          <w:p w14:paraId="5F93063E"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BB2ACA">
              <w:rPr>
                <w:rFonts w:ascii="Times New Roman" w:eastAsia="Times New Roman" w:hAnsi="Times New Roman" w:cs="Times New Roman"/>
                <w:b/>
                <w:sz w:val="24"/>
                <w:szCs w:val="24"/>
                <w:lang w:eastAsia="en-US"/>
              </w:rPr>
              <w:t>Tiekėjo siūloma papildoma statinio garantinio termino trukmė metais, (Tg)</w:t>
            </w:r>
          </w:p>
        </w:tc>
        <w:tc>
          <w:tcPr>
            <w:tcW w:w="4129" w:type="dxa"/>
            <w:tcBorders>
              <w:top w:val="single" w:sz="4" w:space="0" w:color="auto"/>
              <w:left w:val="single" w:sz="4" w:space="0" w:color="auto"/>
              <w:bottom w:val="single" w:sz="4" w:space="0" w:color="auto"/>
              <w:right w:val="single" w:sz="4" w:space="0" w:color="auto"/>
            </w:tcBorders>
            <w:hideMark/>
          </w:tcPr>
          <w:p w14:paraId="26635D74"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BB2ACA">
              <w:rPr>
                <w:rFonts w:ascii="Times New Roman" w:eastAsia="Times New Roman" w:hAnsi="Times New Roman" w:cs="Times New Roman"/>
                <w:b/>
                <w:sz w:val="24"/>
                <w:szCs w:val="24"/>
                <w:lang w:eastAsia="en-US"/>
              </w:rPr>
              <w:t>Ekonominio naudingumo balai, kurie bus suteikti šiam kriterijui</w:t>
            </w:r>
          </w:p>
        </w:tc>
      </w:tr>
      <w:tr w:rsidR="00D3629F" w:rsidRPr="00BB2ACA" w14:paraId="74AA7A3B" w14:textId="77777777" w:rsidTr="00D3629F">
        <w:trPr>
          <w:jc w:val="center"/>
        </w:trPr>
        <w:tc>
          <w:tcPr>
            <w:tcW w:w="5499" w:type="dxa"/>
            <w:tcBorders>
              <w:top w:val="single" w:sz="4" w:space="0" w:color="auto"/>
              <w:left w:val="single" w:sz="4" w:space="0" w:color="auto"/>
              <w:bottom w:val="single" w:sz="4" w:space="0" w:color="auto"/>
              <w:right w:val="single" w:sz="4" w:space="0" w:color="auto"/>
            </w:tcBorders>
            <w:hideMark/>
          </w:tcPr>
          <w:p w14:paraId="52B718B6"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hideMark/>
          </w:tcPr>
          <w:p w14:paraId="553BDD6D"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bCs/>
                <w:sz w:val="24"/>
                <w:szCs w:val="24"/>
                <w:lang w:eastAsia="en-US"/>
              </w:rPr>
            </w:pPr>
            <w:r w:rsidRPr="00BB2ACA">
              <w:rPr>
                <w:rFonts w:ascii="Times New Roman" w:eastAsia="Times New Roman" w:hAnsi="Times New Roman" w:cs="Times New Roman"/>
                <w:bCs/>
                <w:sz w:val="24"/>
                <w:szCs w:val="24"/>
                <w:lang w:eastAsia="en-US"/>
              </w:rPr>
              <w:t>0</w:t>
            </w:r>
          </w:p>
        </w:tc>
      </w:tr>
      <w:tr w:rsidR="00D3629F" w:rsidRPr="00BB2ACA" w14:paraId="1F165A66" w14:textId="77777777" w:rsidTr="00D3629F">
        <w:trPr>
          <w:jc w:val="center"/>
        </w:trPr>
        <w:tc>
          <w:tcPr>
            <w:tcW w:w="5499" w:type="dxa"/>
            <w:tcBorders>
              <w:top w:val="single" w:sz="4" w:space="0" w:color="auto"/>
              <w:left w:val="single" w:sz="4" w:space="0" w:color="auto"/>
              <w:bottom w:val="single" w:sz="4" w:space="0" w:color="auto"/>
              <w:right w:val="single" w:sz="4" w:space="0" w:color="auto"/>
            </w:tcBorders>
            <w:hideMark/>
          </w:tcPr>
          <w:p w14:paraId="4B202F41"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hideMark/>
          </w:tcPr>
          <w:p w14:paraId="2CC1BA57"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2</w:t>
            </w:r>
          </w:p>
        </w:tc>
      </w:tr>
      <w:tr w:rsidR="00D3629F" w:rsidRPr="00BB2ACA" w14:paraId="7BB77DA0" w14:textId="77777777" w:rsidTr="00D3629F">
        <w:trPr>
          <w:jc w:val="center"/>
        </w:trPr>
        <w:tc>
          <w:tcPr>
            <w:tcW w:w="5499" w:type="dxa"/>
            <w:tcBorders>
              <w:top w:val="single" w:sz="4" w:space="0" w:color="auto"/>
              <w:left w:val="single" w:sz="4" w:space="0" w:color="auto"/>
              <w:bottom w:val="single" w:sz="4" w:space="0" w:color="auto"/>
              <w:right w:val="single" w:sz="4" w:space="0" w:color="auto"/>
            </w:tcBorders>
            <w:hideMark/>
          </w:tcPr>
          <w:p w14:paraId="3796B6C6"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hideMark/>
          </w:tcPr>
          <w:p w14:paraId="2BEE9ADB"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4</w:t>
            </w:r>
          </w:p>
        </w:tc>
      </w:tr>
      <w:tr w:rsidR="00D3629F" w:rsidRPr="00BB2ACA" w14:paraId="406DE85C" w14:textId="77777777" w:rsidTr="00D3629F">
        <w:trPr>
          <w:jc w:val="center"/>
        </w:trPr>
        <w:tc>
          <w:tcPr>
            <w:tcW w:w="5499" w:type="dxa"/>
            <w:tcBorders>
              <w:top w:val="single" w:sz="4" w:space="0" w:color="auto"/>
              <w:left w:val="single" w:sz="4" w:space="0" w:color="auto"/>
              <w:bottom w:val="single" w:sz="4" w:space="0" w:color="auto"/>
              <w:right w:val="single" w:sz="4" w:space="0" w:color="auto"/>
            </w:tcBorders>
            <w:hideMark/>
          </w:tcPr>
          <w:p w14:paraId="495B5A8F"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hideMark/>
          </w:tcPr>
          <w:p w14:paraId="50AE0E78"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6</w:t>
            </w:r>
          </w:p>
        </w:tc>
      </w:tr>
      <w:tr w:rsidR="00D3629F" w:rsidRPr="00BB2ACA" w14:paraId="3185B475" w14:textId="77777777" w:rsidTr="00D3629F">
        <w:trPr>
          <w:jc w:val="center"/>
        </w:trPr>
        <w:tc>
          <w:tcPr>
            <w:tcW w:w="5499" w:type="dxa"/>
            <w:tcBorders>
              <w:top w:val="single" w:sz="4" w:space="0" w:color="auto"/>
              <w:left w:val="single" w:sz="4" w:space="0" w:color="auto"/>
              <w:bottom w:val="single" w:sz="4" w:space="0" w:color="auto"/>
              <w:right w:val="single" w:sz="4" w:space="0" w:color="auto"/>
            </w:tcBorders>
            <w:hideMark/>
          </w:tcPr>
          <w:p w14:paraId="5377F84C"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hideMark/>
          </w:tcPr>
          <w:p w14:paraId="3C7D6482"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8</w:t>
            </w:r>
          </w:p>
        </w:tc>
      </w:tr>
      <w:tr w:rsidR="00D3629F" w:rsidRPr="00BB2ACA" w14:paraId="54316FD4" w14:textId="77777777" w:rsidTr="00D3629F">
        <w:trPr>
          <w:trHeight w:val="70"/>
          <w:jc w:val="center"/>
        </w:trPr>
        <w:tc>
          <w:tcPr>
            <w:tcW w:w="5499" w:type="dxa"/>
            <w:tcBorders>
              <w:top w:val="single" w:sz="4" w:space="0" w:color="auto"/>
              <w:left w:val="single" w:sz="4" w:space="0" w:color="auto"/>
              <w:bottom w:val="single" w:sz="4" w:space="0" w:color="auto"/>
              <w:right w:val="single" w:sz="4" w:space="0" w:color="auto"/>
            </w:tcBorders>
            <w:hideMark/>
          </w:tcPr>
          <w:p w14:paraId="7168AF30"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5 ir daugiau</w:t>
            </w:r>
          </w:p>
        </w:tc>
        <w:tc>
          <w:tcPr>
            <w:tcW w:w="4129" w:type="dxa"/>
            <w:tcBorders>
              <w:top w:val="single" w:sz="4" w:space="0" w:color="auto"/>
              <w:left w:val="single" w:sz="4" w:space="0" w:color="auto"/>
              <w:bottom w:val="single" w:sz="4" w:space="0" w:color="auto"/>
              <w:right w:val="single" w:sz="4" w:space="0" w:color="auto"/>
            </w:tcBorders>
            <w:hideMark/>
          </w:tcPr>
          <w:p w14:paraId="5815B79A" w14:textId="77777777" w:rsidR="00D3629F" w:rsidRPr="00BB2ACA" w:rsidRDefault="00D3629F">
            <w:pPr>
              <w:keepNext/>
              <w:suppressAutoHyphens/>
              <w:spacing w:after="0" w:line="240" w:lineRule="auto"/>
              <w:jc w:val="center"/>
              <w:outlineLvl w:val="1"/>
              <w:rPr>
                <w:rFonts w:ascii="Times New Roman" w:eastAsia="Times New Roman" w:hAnsi="Times New Roman" w:cs="Times New Roman"/>
                <w:sz w:val="24"/>
                <w:szCs w:val="24"/>
                <w:lang w:eastAsia="en-US"/>
              </w:rPr>
            </w:pPr>
            <w:r w:rsidRPr="00BB2ACA">
              <w:rPr>
                <w:rFonts w:ascii="Times New Roman" w:eastAsia="Times New Roman" w:hAnsi="Times New Roman" w:cs="Times New Roman"/>
                <w:sz w:val="24"/>
                <w:szCs w:val="24"/>
                <w:lang w:eastAsia="en-US"/>
              </w:rPr>
              <w:t>10</w:t>
            </w:r>
          </w:p>
        </w:tc>
      </w:tr>
    </w:tbl>
    <w:p w14:paraId="079BEC8A" w14:textId="77777777" w:rsidR="00D3629F" w:rsidRPr="00BB2ACA" w:rsidRDefault="00D3629F" w:rsidP="00D3629F">
      <w:pPr>
        <w:spacing w:line="240" w:lineRule="auto"/>
        <w:ind w:firstLine="567"/>
        <w:contextualSpacing/>
        <w:jc w:val="both"/>
        <w:rPr>
          <w:rFonts w:ascii="Times New Roman" w:eastAsia="Times New Roman" w:hAnsi="Times New Roman" w:cs="Times New Roman"/>
          <w:sz w:val="24"/>
          <w:szCs w:val="24"/>
          <w:lang w:eastAsia="en-US"/>
        </w:rPr>
      </w:pPr>
    </w:p>
    <w:p w14:paraId="03CE196B" w14:textId="77777777" w:rsidR="00D3629F" w:rsidRPr="00BB2ACA" w:rsidRDefault="00D3629F" w:rsidP="00D3629F">
      <w:pPr>
        <w:spacing w:line="240" w:lineRule="auto"/>
        <w:ind w:firstLine="567"/>
        <w:contextualSpacing/>
        <w:jc w:val="both"/>
        <w:rPr>
          <w:rFonts w:ascii="Times New Roman" w:eastAsia="Times New Roman" w:hAnsi="Times New Roman" w:cs="Times New Roman"/>
          <w:i/>
          <w:sz w:val="24"/>
          <w:szCs w:val="24"/>
          <w:lang w:eastAsia="en-US"/>
        </w:rPr>
      </w:pPr>
      <w:r w:rsidRPr="00BB2ACA">
        <w:rPr>
          <w:rFonts w:ascii="Times New Roman" w:eastAsia="Times New Roman" w:hAnsi="Times New Roman" w:cs="Times New Roman"/>
          <w:i/>
          <w:sz w:val="24"/>
          <w:szCs w:val="24"/>
          <w:lang w:eastAsia="en-US"/>
        </w:rPr>
        <w:t>*Pastaba: balai skiriami už papildomus, t.y. tik tuos metus, kurie pridedami prie pagal CK privalomų garantinio termino 5 metų, pvz.: 0 papildomų metų - 0 balų, 1 papildomi metai - 2 balai, 2 papildomi metai – 4 balai ir t.t.</w:t>
      </w:r>
    </w:p>
    <w:p w14:paraId="14B1C297" w14:textId="77777777" w:rsidR="00D3629F" w:rsidRPr="00BB2ACA" w:rsidRDefault="00D3629F" w:rsidP="00D3629F">
      <w:pPr>
        <w:spacing w:line="240" w:lineRule="auto"/>
        <w:ind w:firstLine="567"/>
        <w:contextualSpacing/>
        <w:jc w:val="both"/>
        <w:rPr>
          <w:rFonts w:ascii="Times New Roman" w:eastAsia="Times New Roman" w:hAnsi="Times New Roman" w:cs="Times New Roman"/>
          <w:sz w:val="24"/>
          <w:szCs w:val="24"/>
          <w:lang w:eastAsia="en-US"/>
        </w:rPr>
      </w:pPr>
    </w:p>
    <w:p w14:paraId="0282CE7C" w14:textId="77777777" w:rsidR="00D3629F" w:rsidRPr="00BB2ACA" w:rsidRDefault="00D3629F" w:rsidP="00D3629F">
      <w:pPr>
        <w:numPr>
          <w:ilvl w:val="0"/>
          <w:numId w:val="2"/>
        </w:numPr>
        <w:spacing w:after="0" w:line="240" w:lineRule="auto"/>
        <w:ind w:left="0" w:firstLine="567"/>
        <w:contextualSpacing/>
        <w:jc w:val="both"/>
        <w:rPr>
          <w:rFonts w:ascii="Times New Roman" w:eastAsia="Calibri" w:hAnsi="Times New Roman" w:cs="Times New Roman"/>
          <w:sz w:val="24"/>
          <w:szCs w:val="24"/>
          <w:lang w:eastAsia="en-US"/>
        </w:rPr>
      </w:pPr>
      <w:r w:rsidRPr="00BB2ACA">
        <w:rPr>
          <w:rFonts w:ascii="Times New Roman" w:eastAsia="Times New Roman" w:hAnsi="Times New Roman" w:cs="Times New Roman"/>
          <w:sz w:val="24"/>
          <w:szCs w:val="24"/>
          <w:lang w:eastAsia="en-US"/>
        </w:rPr>
        <w:t>Tiekėjas savo pasiūlyme turi nurodyti jo siūlomą papildomą statinio garantinio termino trukmę (galimi tik šeši papildomos statinio garantinio termino trukmės variantai, pateikti lentelėje) lyginiais skaičiais, išreikštą metais.</w:t>
      </w:r>
      <w:r w:rsidRPr="00BB2ACA">
        <w:rPr>
          <w:rFonts w:ascii="Times New Roman" w:eastAsia="Calibri" w:hAnsi="Times New Roman" w:cs="Times New Roman"/>
          <w:sz w:val="24"/>
          <w:szCs w:val="24"/>
          <w:lang w:eastAsia="en-US"/>
        </w:rPr>
        <w:t xml:space="preserve"> </w:t>
      </w:r>
      <w:r w:rsidRPr="00BB2ACA">
        <w:rPr>
          <w:rFonts w:ascii="Times New Roman" w:eastAsia="Times New Roman" w:hAnsi="Times New Roman" w:cs="Times New Roman"/>
          <w:sz w:val="24"/>
          <w:szCs w:val="24"/>
          <w:lang w:eastAsia="en-US"/>
        </w:rPr>
        <w:t>Pirkimo dokumentuose numatomi minimalūs garantiniai įsipareigojimai, o tiekėjai gali siūlyti papildomus garantinius terminus, kurie bus vertinami.</w:t>
      </w:r>
    </w:p>
    <w:p w14:paraId="6AFD5073" w14:textId="77777777" w:rsidR="001658C4" w:rsidRPr="00BB2ACA" w:rsidRDefault="001658C4" w:rsidP="007F0D05">
      <w:pPr>
        <w:ind w:left="360"/>
        <w:jc w:val="center"/>
        <w:rPr>
          <w:rFonts w:ascii="Times New Roman" w:eastAsia="Calibri" w:hAnsi="Times New Roman" w:cs="Times New Roman"/>
          <w:b/>
          <w:color w:val="000000" w:themeColor="text1"/>
          <w:sz w:val="24"/>
          <w:szCs w:val="24"/>
        </w:rPr>
      </w:pPr>
    </w:p>
    <w:sectPr w:rsidR="001658C4" w:rsidRPr="00BB2ACA" w:rsidSect="00932FA6">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706"/>
    <w:multiLevelType w:val="hybridMultilevel"/>
    <w:tmpl w:val="7A3A9BEC"/>
    <w:lvl w:ilvl="0" w:tplc="2ED0397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num w:numId="1" w16cid:durableId="1358310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18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73"/>
    <w:rsid w:val="000239E5"/>
    <w:rsid w:val="00115011"/>
    <w:rsid w:val="001258E4"/>
    <w:rsid w:val="001658C4"/>
    <w:rsid w:val="002E4A27"/>
    <w:rsid w:val="00737942"/>
    <w:rsid w:val="00753F6E"/>
    <w:rsid w:val="007E6B3E"/>
    <w:rsid w:val="007F0D05"/>
    <w:rsid w:val="00932FA6"/>
    <w:rsid w:val="00BA18F4"/>
    <w:rsid w:val="00BB2ACA"/>
    <w:rsid w:val="00BF2A8D"/>
    <w:rsid w:val="00C06A73"/>
    <w:rsid w:val="00D36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39C1"/>
  <w15:chartTrackingRefBased/>
  <w15:docId w15:val="{43B41C90-565A-43A8-862C-A263FFD2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A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0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6A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6A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6A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6A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6A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6A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6A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6A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6A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6A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6A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6A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6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6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6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6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6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6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6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6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6A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06A73"/>
    <w:pPr>
      <w:ind w:left="720"/>
      <w:contextualSpacing/>
    </w:pPr>
  </w:style>
  <w:style w:type="character" w:styleId="Rykuspabraukimas">
    <w:name w:val="Intense Emphasis"/>
    <w:basedOn w:val="Numatytasispastraiposriftas"/>
    <w:uiPriority w:val="21"/>
    <w:qFormat/>
    <w:rsid w:val="00C06A73"/>
    <w:rPr>
      <w:i/>
      <w:iCs/>
      <w:color w:val="0F4761" w:themeColor="accent1" w:themeShade="BF"/>
    </w:rPr>
  </w:style>
  <w:style w:type="paragraph" w:styleId="Iskirtacitata">
    <w:name w:val="Intense Quote"/>
    <w:basedOn w:val="prastasis"/>
    <w:next w:val="prastasis"/>
    <w:link w:val="IskirtacitataDiagrama"/>
    <w:uiPriority w:val="30"/>
    <w:qFormat/>
    <w:rsid w:val="00C0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6A73"/>
    <w:rPr>
      <w:i/>
      <w:iCs/>
      <w:color w:val="0F4761" w:themeColor="accent1" w:themeShade="BF"/>
    </w:rPr>
  </w:style>
  <w:style w:type="character" w:styleId="Rykinuoroda">
    <w:name w:val="Intense Reference"/>
    <w:basedOn w:val="Numatytasispastraiposriftas"/>
    <w:uiPriority w:val="32"/>
    <w:qFormat/>
    <w:rsid w:val="00C06A7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00323">
      <w:bodyDiv w:val="1"/>
      <w:marLeft w:val="0"/>
      <w:marRight w:val="0"/>
      <w:marTop w:val="0"/>
      <w:marBottom w:val="0"/>
      <w:divBdr>
        <w:top w:val="none" w:sz="0" w:space="0" w:color="auto"/>
        <w:left w:val="none" w:sz="0" w:space="0" w:color="auto"/>
        <w:bottom w:val="none" w:sz="0" w:space="0" w:color="auto"/>
        <w:right w:val="none" w:sz="0" w:space="0" w:color="auto"/>
      </w:divBdr>
    </w:div>
    <w:div w:id="1569339190">
      <w:bodyDiv w:val="1"/>
      <w:marLeft w:val="0"/>
      <w:marRight w:val="0"/>
      <w:marTop w:val="0"/>
      <w:marBottom w:val="0"/>
      <w:divBdr>
        <w:top w:val="none" w:sz="0" w:space="0" w:color="auto"/>
        <w:left w:val="none" w:sz="0" w:space="0" w:color="auto"/>
        <w:bottom w:val="none" w:sz="0" w:space="0" w:color="auto"/>
        <w:right w:val="none" w:sz="0" w:space="0" w:color="auto"/>
      </w:divBdr>
    </w:div>
    <w:div w:id="1774935665">
      <w:bodyDiv w:val="1"/>
      <w:marLeft w:val="0"/>
      <w:marRight w:val="0"/>
      <w:marTop w:val="0"/>
      <w:marBottom w:val="0"/>
      <w:divBdr>
        <w:top w:val="none" w:sz="0" w:space="0" w:color="auto"/>
        <w:left w:val="none" w:sz="0" w:space="0" w:color="auto"/>
        <w:bottom w:val="none" w:sz="0" w:space="0" w:color="auto"/>
        <w:right w:val="none" w:sz="0" w:space="0" w:color="auto"/>
      </w:divBdr>
    </w:div>
    <w:div w:id="17919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1680</Words>
  <Characters>959</Characters>
  <Application>Microsoft Office Word</Application>
  <DocSecurity>0</DocSecurity>
  <Lines>7</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15</cp:revision>
  <dcterms:created xsi:type="dcterms:W3CDTF">2025-06-24T15:05:00Z</dcterms:created>
  <dcterms:modified xsi:type="dcterms:W3CDTF">2025-07-09T06:55:00Z</dcterms:modified>
</cp:coreProperties>
</file>