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24" w:rsidRPr="0021756C" w:rsidRDefault="004A4B96" w:rsidP="00E417B7">
      <w:pPr>
        <w:spacing w:line="280" w:lineRule="atLeast"/>
        <w:rPr>
          <w:rFonts w:asciiTheme="minorHAnsi" w:hAnsiTheme="minorHAnsi" w:cstheme="minorHAnsi"/>
          <w:szCs w:val="24"/>
        </w:rPr>
      </w:pPr>
      <w:r>
        <w:rPr>
          <w:rFonts w:asciiTheme="minorHAnsi" w:hAnsiTheme="minorHAnsi" w:cstheme="minorHAnsi"/>
          <w:b/>
          <w:bCs/>
          <w:color w:val="333333"/>
          <w:szCs w:val="24"/>
          <w:shd w:val="clear" w:color="auto" w:fill="FFFFFF"/>
        </w:rPr>
        <w:t>2025-06-27 15</w:t>
      </w:r>
      <w:r w:rsidR="009E402C" w:rsidRPr="0021756C">
        <w:rPr>
          <w:rFonts w:asciiTheme="minorHAnsi" w:hAnsiTheme="minorHAnsi" w:cstheme="minorHAnsi"/>
          <w:b/>
          <w:bCs/>
          <w:color w:val="333333"/>
          <w:szCs w:val="24"/>
          <w:shd w:val="clear" w:color="auto" w:fill="FFFFFF"/>
        </w:rPr>
        <w:t xml:space="preserve"> val. </w:t>
      </w:r>
      <w:r w:rsidR="00C05324" w:rsidRPr="0021756C">
        <w:rPr>
          <w:rFonts w:asciiTheme="minorHAnsi" w:hAnsiTheme="minorHAnsi" w:cstheme="minorHAnsi"/>
          <w:szCs w:val="24"/>
        </w:rPr>
        <w:t xml:space="preserve">baigėsi pasiūlymų ir pastabų pateikimas išankstinei </w:t>
      </w:r>
      <w:r w:rsidR="00463DA7" w:rsidRPr="0021756C">
        <w:rPr>
          <w:rFonts w:asciiTheme="minorHAnsi" w:hAnsiTheme="minorHAnsi" w:cstheme="minorHAnsi"/>
          <w:b/>
          <w:bCs/>
          <w:color w:val="333333"/>
          <w:szCs w:val="24"/>
          <w:shd w:val="clear" w:color="auto" w:fill="FFFFFF"/>
        </w:rPr>
        <w:t>Praktinių mokymų ir juos papildančių veiklų „Fenomenais grįstas ugdymas“ organizavimo</w:t>
      </w:r>
      <w:r w:rsidR="009E402C" w:rsidRPr="0021756C">
        <w:rPr>
          <w:rFonts w:asciiTheme="minorHAnsi" w:hAnsiTheme="minorHAnsi" w:cstheme="minorHAnsi"/>
          <w:b/>
          <w:bCs/>
          <w:color w:val="333333"/>
          <w:szCs w:val="24"/>
          <w:shd w:val="clear" w:color="auto" w:fill="FFFFFF"/>
        </w:rPr>
        <w:t xml:space="preserve"> paslaugų pirkimo rinkos konsultacijai</w:t>
      </w:r>
      <w:r w:rsidR="00C05324" w:rsidRPr="0021756C">
        <w:rPr>
          <w:rFonts w:asciiTheme="minorHAnsi" w:hAnsiTheme="minorHAnsi" w:cstheme="minorHAnsi"/>
          <w:szCs w:val="24"/>
        </w:rPr>
        <w:t>.</w:t>
      </w:r>
    </w:p>
    <w:p w:rsidR="0078153E" w:rsidRPr="0021756C" w:rsidRDefault="0078153E" w:rsidP="00E417B7">
      <w:pPr>
        <w:spacing w:line="280" w:lineRule="atLeast"/>
        <w:rPr>
          <w:rFonts w:cs="Times New Roman"/>
          <w:szCs w:val="24"/>
        </w:rPr>
      </w:pPr>
    </w:p>
    <w:p w:rsidR="009E402C" w:rsidRPr="0021756C" w:rsidRDefault="0078153E" w:rsidP="00E417B7">
      <w:pPr>
        <w:spacing w:line="280" w:lineRule="atLeast"/>
        <w:rPr>
          <w:rFonts w:asciiTheme="minorHAnsi" w:hAnsiTheme="minorHAnsi" w:cstheme="minorHAnsi"/>
          <w:b/>
          <w:szCs w:val="24"/>
        </w:rPr>
      </w:pPr>
      <w:r w:rsidRPr="0021756C">
        <w:rPr>
          <w:rFonts w:asciiTheme="minorHAnsi" w:hAnsiTheme="minorHAnsi" w:cstheme="minorHAnsi"/>
          <w:b/>
          <w:szCs w:val="24"/>
        </w:rPr>
        <w:t>Rinkos konsultacijoje dalyvavusių tiekėjų klausimai/pastabos/pasiūlymai:</w:t>
      </w:r>
    </w:p>
    <w:p w:rsidR="00463DA7" w:rsidRPr="0021756C" w:rsidRDefault="00463DA7" w:rsidP="00E417B7">
      <w:pPr>
        <w:spacing w:line="280" w:lineRule="atLeast"/>
        <w:rPr>
          <w:rFonts w:asciiTheme="minorHAnsi" w:hAnsiTheme="minorHAnsi" w:cstheme="minorHAnsi"/>
          <w:b/>
          <w:szCs w:val="24"/>
        </w:rPr>
      </w:pPr>
    </w:p>
    <w:p w:rsidR="00463DA7" w:rsidRPr="00B31FE5" w:rsidRDefault="00463DA7" w:rsidP="00463DA7">
      <w:pPr>
        <w:rPr>
          <w:rFonts w:asciiTheme="minorHAnsi" w:hAnsiTheme="minorHAnsi" w:cstheme="minorHAnsi"/>
          <w:b/>
          <w:bCs/>
          <w:szCs w:val="24"/>
        </w:rPr>
      </w:pPr>
      <w:r w:rsidRPr="00B31FE5">
        <w:rPr>
          <w:rFonts w:asciiTheme="minorHAnsi" w:hAnsiTheme="minorHAnsi" w:cstheme="minorHAnsi"/>
          <w:b/>
          <w:bCs/>
          <w:szCs w:val="24"/>
        </w:rPr>
        <w:t>1. Klausimas/pastaba/pasiūlymas:</w:t>
      </w:r>
    </w:p>
    <w:p w:rsidR="004A4B96" w:rsidRPr="004A4B96" w:rsidRDefault="004A4B96" w:rsidP="004A4B96">
      <w:pPr>
        <w:rPr>
          <w:rFonts w:asciiTheme="minorHAnsi" w:hAnsiTheme="minorHAnsi" w:cstheme="minorHAnsi"/>
          <w:bCs/>
          <w:szCs w:val="24"/>
        </w:rPr>
      </w:pPr>
      <w:r w:rsidRPr="004A4B96">
        <w:rPr>
          <w:rFonts w:asciiTheme="minorHAnsi" w:hAnsiTheme="minorHAnsi" w:cstheme="minorHAnsi"/>
          <w:bCs/>
          <w:szCs w:val="24"/>
        </w:rPr>
        <w:t>Dėl terminų paslaugų suteikimui ir renginių skaičiaus. Rinkos konsultacijos vykdymo apraše (Aprašas) yra nurodyta, jog „Rinkos konsultacijos metu siekiama aptarti šiuos klausimus: &lt;...&gt; Ar terminai paslaugų suteikimui yra pakankami?“ Dabartinės Techninės specifikacijos 7 p. nurodyta, jog paslaugos turėtų būti pradėtos teikti ne vėliau kaip per 10 darbo dienų nuo Sutarties įsigaliojimo dienos, ir turi būti suteiktos iki 2026 m. kovo 31 d. Tai reiškia, jog paslaugoms įgyvendinti (vertinant, kad Pirkimo procedūros pernelyg neužsitęs) liks apie 6 mėnesius. Pagal Pirkimo dokumentuose nurodytą Pirkimo objekto apimtį, tokios paslaugos turėtų būti teikiamos ir visos veiklos turėtų būti įgyvendinamos per dvejus metus, o dabar visa tai turės būti padaryta vos per šešis mėnesius. Tai ne tik ženkliai didina paslaugų kainą (nes sumažėjus paslaugų teikimo laikotarpiui padidėja paslaugų teikimo intensyvumas ir, atitinkamai, paslaugoms suteikti reikės daugiau specialistų), bet ir dalis Pirkimo objekto tampa neracionali. Konkrečiai, pagal Techninės specifikacijos 13.3 p. turi būti suorganizuoti 3 baigiamieji renginiai: „du refleksiniai baigiamieji renginiai, skirti ketvirčio rezultatų apžvalgai, įgyvendinant fenomenais grįstus projektus. Renginių metu apžvelgiami programos įgyvendinimo etapai ir jų rezultatai: sėkmės istorijos, iššūkiai ir galimybės, pristatomi fenomenų projektai ir vienas baigiamasis renginys, į kurį kviečiami Lietuvos fenomenų tyrinėjimo ekspertai, atstovai iš Suomijos priimančiųjų organizacijų (skaičius turi būti derinamas projekto įgyvendinimo eigoje)“.</w:t>
      </w:r>
    </w:p>
    <w:p w:rsidR="004A4B96" w:rsidRPr="004A4B96" w:rsidRDefault="004A4B96" w:rsidP="004A4B96">
      <w:pPr>
        <w:rPr>
          <w:rFonts w:asciiTheme="minorHAnsi" w:hAnsiTheme="minorHAnsi" w:cstheme="minorHAnsi"/>
          <w:bCs/>
          <w:szCs w:val="24"/>
        </w:rPr>
      </w:pPr>
      <w:r w:rsidRPr="004A4B96">
        <w:rPr>
          <w:rFonts w:asciiTheme="minorHAnsi" w:hAnsiTheme="minorHAnsi" w:cstheme="minorHAnsi"/>
          <w:bCs/>
          <w:szCs w:val="24"/>
        </w:rPr>
        <w:t>Kaip matyti, renginiai yra refleksiniai. Pirmieji du renginiai, kaip nurodyta, yra skirti ketvirčio rezultatų apžvalgai. Po jų turi sekti vienas baigiamasis renginys. Nurodant tokius reikalavimus (paliekant tą patį renginių skaičių iš analogiško nutraukto pirkimo sąlygų), nebuvo atsižvelgta į tai, kad Pirkimo sutarčiai įgyvendinti bus likę vos 6 mėnesiai – į juos telpa tik du ketvirčiai. Tai reiškia, kad yra nelogiška ir neracionalu organizuoti net tris renginius. Pagal dabartines sąlygas antras ir trečias renginys turėtų vykti iš karto vienas po kito. Be to, per tokį trumpą laiką vos pradėjus dirbti bus per mažai turinio reflektavimui net 5 akad. val. renginyje, kaip reikalaujama pagal dabartines sąlygas. Trys renginiai būtų logiški per dviejų metų laikotarpį, o ne per šešių mėnesių laikotarpį.</w:t>
      </w:r>
    </w:p>
    <w:p w:rsidR="004A4B96" w:rsidRPr="004A4B96" w:rsidRDefault="004A4B96" w:rsidP="004A4B96">
      <w:pPr>
        <w:rPr>
          <w:rFonts w:asciiTheme="minorHAnsi" w:hAnsiTheme="minorHAnsi" w:cstheme="minorHAnsi"/>
          <w:bCs/>
          <w:szCs w:val="24"/>
        </w:rPr>
      </w:pPr>
      <w:r w:rsidRPr="004A4B96">
        <w:rPr>
          <w:rFonts w:asciiTheme="minorHAnsi" w:hAnsiTheme="minorHAnsi" w:cstheme="minorHAnsi"/>
          <w:bCs/>
          <w:szCs w:val="24"/>
        </w:rPr>
        <w:t>Tiekėjo įsitikinimu, renginių skaičius turi būti mažinamas – vietoj 3 renginių turi būti organizuojamas 1 renginys arba daugiausiai 2 renginiai. Tai užtikrintų realią turinio refleksiją ir atitinkamą kokybės užtikrinimą.</w:t>
      </w:r>
    </w:p>
    <w:p w:rsidR="00463DA7" w:rsidRPr="004A4B96" w:rsidRDefault="004A4B96" w:rsidP="00463DA7">
      <w:pPr>
        <w:rPr>
          <w:rFonts w:asciiTheme="minorHAnsi" w:hAnsiTheme="minorHAnsi" w:cstheme="minorHAnsi"/>
          <w:bCs/>
          <w:szCs w:val="24"/>
          <w:highlight w:val="yellow"/>
        </w:rPr>
      </w:pPr>
      <w:r w:rsidRPr="004A4B96">
        <w:rPr>
          <w:rFonts w:asciiTheme="minorHAnsi" w:hAnsiTheme="minorHAnsi" w:cstheme="minorHAnsi"/>
          <w:bCs/>
          <w:szCs w:val="24"/>
        </w:rPr>
        <w:t>Sumažinant renginių skaičių Tiekėjas siūlo refleksijas perkelti į vaizdo filmuką, kurio trukmė vietoj dabar numatytų 4–5 min. galėtų pailgėti iki 10-15 min.</w:t>
      </w:r>
    </w:p>
    <w:p w:rsidR="00B31FE5" w:rsidRDefault="00C0440A" w:rsidP="00B31FE5">
      <w:pPr>
        <w:autoSpaceDE w:val="0"/>
        <w:autoSpaceDN w:val="0"/>
        <w:adjustRightInd w:val="0"/>
        <w:rPr>
          <w:rFonts w:asciiTheme="minorHAnsi" w:hAnsiTheme="minorHAnsi" w:cstheme="minorHAnsi"/>
          <w:bCs/>
          <w:szCs w:val="24"/>
        </w:rPr>
      </w:pPr>
      <w:r w:rsidRPr="00B31FE5">
        <w:rPr>
          <w:rFonts w:asciiTheme="minorHAnsi" w:hAnsiTheme="minorHAnsi" w:cstheme="minorHAnsi"/>
          <w:b/>
          <w:bCs/>
          <w:szCs w:val="24"/>
        </w:rPr>
        <w:t xml:space="preserve">Atsakymas. </w:t>
      </w:r>
      <w:r w:rsidR="004A4B96" w:rsidRPr="00B31FE5">
        <w:rPr>
          <w:rFonts w:asciiTheme="minorHAnsi" w:hAnsiTheme="minorHAnsi" w:cstheme="minorHAnsi"/>
          <w:bCs/>
        </w:rPr>
        <w:t>Trijų renginių organizavimas laikytinas privaloma paslaugų įgyvendinimo sudėtine dalimi, būtina siekiant užtikrinti visų paslaugų etapų – tarpinių rezultatų analizės ir galutinio rezultatų apibendrinimo – kokybišką įvykdymą.</w:t>
      </w:r>
      <w:r w:rsidR="00B31FE5" w:rsidRPr="00B31FE5">
        <w:rPr>
          <w:rFonts w:asciiTheme="minorHAnsi" w:hAnsiTheme="minorHAnsi" w:cstheme="minorHAnsi"/>
          <w:b/>
          <w:bCs/>
          <w:szCs w:val="24"/>
        </w:rPr>
        <w:t xml:space="preserve"> </w:t>
      </w:r>
      <w:r w:rsidR="00B91252" w:rsidRPr="00B31FE5">
        <w:rPr>
          <w:rFonts w:asciiTheme="minorHAnsi" w:hAnsiTheme="minorHAnsi" w:cstheme="minorHAnsi"/>
          <w:bCs/>
          <w:szCs w:val="24"/>
        </w:rPr>
        <w:t>Perkančioji organizacija negali keisti numatytų veiklų struktūros</w:t>
      </w:r>
      <w:r w:rsidR="004A4B96" w:rsidRPr="00B31FE5">
        <w:rPr>
          <w:rFonts w:asciiTheme="minorHAnsi" w:hAnsiTheme="minorHAnsi" w:cstheme="minorHAnsi"/>
          <w:bCs/>
          <w:szCs w:val="24"/>
        </w:rPr>
        <w:t xml:space="preserve"> (pavyzdžiui, renginių keitimas vaizdo įra</w:t>
      </w:r>
      <w:r w:rsidR="00B91252" w:rsidRPr="00B31FE5">
        <w:rPr>
          <w:rFonts w:asciiTheme="minorHAnsi" w:hAnsiTheme="minorHAnsi" w:cstheme="minorHAnsi"/>
          <w:bCs/>
          <w:szCs w:val="24"/>
        </w:rPr>
        <w:t xml:space="preserve">šais ar kitomis alternatyvomis), nes tai </w:t>
      </w:r>
      <w:r w:rsidR="004A4B96" w:rsidRPr="00B31FE5">
        <w:rPr>
          <w:rFonts w:asciiTheme="minorHAnsi" w:hAnsiTheme="minorHAnsi" w:cstheme="minorHAnsi"/>
          <w:bCs/>
          <w:szCs w:val="24"/>
        </w:rPr>
        <w:t>nesuderinam</w:t>
      </w:r>
      <w:r w:rsidR="00B91252" w:rsidRPr="00B31FE5">
        <w:rPr>
          <w:rFonts w:asciiTheme="minorHAnsi" w:hAnsiTheme="minorHAnsi" w:cstheme="minorHAnsi"/>
          <w:bCs/>
          <w:szCs w:val="24"/>
        </w:rPr>
        <w:t>a</w:t>
      </w:r>
      <w:r w:rsidR="004A4B96" w:rsidRPr="00B31FE5">
        <w:rPr>
          <w:rFonts w:asciiTheme="minorHAnsi" w:hAnsiTheme="minorHAnsi" w:cstheme="minorHAnsi"/>
          <w:bCs/>
          <w:szCs w:val="24"/>
        </w:rPr>
        <w:t xml:space="preserve"> su </w:t>
      </w:r>
      <w:r w:rsidR="00B91252" w:rsidRPr="00B31FE5">
        <w:rPr>
          <w:rFonts w:asciiTheme="minorHAnsi" w:hAnsiTheme="minorHAnsi" w:cstheme="minorHAnsi"/>
          <w:bCs/>
          <w:szCs w:val="24"/>
        </w:rPr>
        <w:t>p</w:t>
      </w:r>
      <w:r w:rsidR="004A4B96" w:rsidRPr="00B31FE5">
        <w:rPr>
          <w:rFonts w:asciiTheme="minorHAnsi" w:hAnsiTheme="minorHAnsi" w:cstheme="minorHAnsi"/>
          <w:bCs/>
          <w:szCs w:val="24"/>
        </w:rPr>
        <w:t>irkimo objekto esmine paskirtimi bei neatitinka jo turinio reikalavimų.</w:t>
      </w:r>
      <w:r w:rsidR="00437ECD" w:rsidRPr="00B31FE5">
        <w:rPr>
          <w:rFonts w:asciiTheme="minorHAnsi" w:hAnsiTheme="minorHAnsi" w:cstheme="minorHAnsi"/>
          <w:bCs/>
          <w:szCs w:val="24"/>
        </w:rPr>
        <w:t xml:space="preserve"> Sutartyje</w:t>
      </w:r>
      <w:r w:rsidR="00B91252" w:rsidRPr="00B31FE5">
        <w:rPr>
          <w:rFonts w:asciiTheme="minorHAnsi" w:hAnsiTheme="minorHAnsi" w:cstheme="minorHAnsi"/>
          <w:bCs/>
          <w:szCs w:val="24"/>
        </w:rPr>
        <w:t xml:space="preserve"> ir te</w:t>
      </w:r>
      <w:r w:rsidR="00437ECD" w:rsidRPr="00B31FE5">
        <w:rPr>
          <w:rFonts w:asciiTheme="minorHAnsi" w:hAnsiTheme="minorHAnsi" w:cstheme="minorHAnsi"/>
          <w:bCs/>
          <w:szCs w:val="24"/>
        </w:rPr>
        <w:t>chninėje specifikacijoje atsiras naujas punktas dėl paslaugų teikimo</w:t>
      </w:r>
      <w:r w:rsidR="00B31FE5" w:rsidRPr="00B31FE5">
        <w:rPr>
          <w:rFonts w:asciiTheme="minorHAnsi" w:hAnsiTheme="minorHAnsi" w:cstheme="minorHAnsi"/>
          <w:bCs/>
          <w:szCs w:val="24"/>
        </w:rPr>
        <w:t xml:space="preserve"> termino pratęsimo, </w:t>
      </w:r>
      <w:r w:rsidR="0012621C">
        <w:rPr>
          <w:rFonts w:asciiTheme="minorHAnsi" w:hAnsiTheme="minorHAnsi" w:cstheme="minorHAnsi"/>
          <w:bCs/>
          <w:szCs w:val="24"/>
        </w:rPr>
        <w:t xml:space="preserve">tuo </w:t>
      </w:r>
      <w:r w:rsidR="0012621C">
        <w:rPr>
          <w:rFonts w:asciiTheme="minorHAnsi" w:hAnsiTheme="minorHAnsi" w:cstheme="minorHAnsi"/>
          <w:bCs/>
          <w:szCs w:val="24"/>
        </w:rPr>
        <w:lastRenderedPageBreak/>
        <w:t xml:space="preserve">atveju </w:t>
      </w:r>
      <w:r w:rsidR="00B31FE5" w:rsidRPr="00B31FE5">
        <w:rPr>
          <w:rFonts w:asciiTheme="minorHAnsi" w:hAnsiTheme="minorHAnsi" w:cstheme="minorHAnsi"/>
          <w:bCs/>
          <w:szCs w:val="24"/>
        </w:rPr>
        <w:t>jeigu projekto „Tūkstantmečio mokyklos II“ finansavimo administravimo sutartyje nustatytas veiklų įgyvendinimo terminas bus pratęstas ilgesniam terminui.</w:t>
      </w:r>
    </w:p>
    <w:p w:rsidR="00B31FE5" w:rsidRDefault="00B31FE5" w:rsidP="00B31FE5">
      <w:pPr>
        <w:rPr>
          <w:rFonts w:asciiTheme="minorHAnsi" w:hAnsiTheme="minorHAnsi" w:cstheme="minorHAnsi"/>
          <w:b/>
          <w:bCs/>
          <w:szCs w:val="24"/>
        </w:rPr>
      </w:pPr>
      <w:r>
        <w:rPr>
          <w:rFonts w:asciiTheme="minorHAnsi" w:hAnsiTheme="minorHAnsi" w:cstheme="minorHAnsi"/>
          <w:b/>
          <w:bCs/>
          <w:szCs w:val="24"/>
        </w:rPr>
        <w:t>2</w:t>
      </w:r>
      <w:r w:rsidRPr="00B31FE5">
        <w:rPr>
          <w:rFonts w:asciiTheme="minorHAnsi" w:hAnsiTheme="minorHAnsi" w:cstheme="minorHAnsi"/>
          <w:b/>
          <w:bCs/>
          <w:szCs w:val="24"/>
        </w:rPr>
        <w:t>. Klausimas/pastaba/pasiūlymas:</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Cs/>
          <w:szCs w:val="24"/>
        </w:rPr>
        <w:t>Dėl lektoriaus ir „lygiavertiškumo“</w:t>
      </w:r>
      <w:r w:rsidRPr="00B31FE5">
        <w:rPr>
          <w:rFonts w:asciiTheme="minorHAnsi" w:hAnsiTheme="minorHAnsi" w:cstheme="minorHAnsi"/>
          <w:bCs/>
          <w:szCs w:val="24"/>
        </w:rPr>
        <w:t>.</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Cs/>
          <w:szCs w:val="24"/>
        </w:rPr>
        <w:t>Dabartinių Pirkimo sąlygų 2.5.2.3.2. p. nurodyta, kad Tiekėjas turi turėti paslaugoms teikti „ne mažiau kaip 1 (vieną) lektorių, įgijusį aukštąjį universitetinį arba jam prilygintą išsilavinimą ir vedusį ne mažiau kaip 40 akad. val. mokymus fenomenais grįsto ugdymo (ar jam lygiaverčio) tema“.</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Cs/>
          <w:szCs w:val="24"/>
        </w:rPr>
        <w:t>Tiekėjo įsitikinimu, dabartinio reikalavimo dalis – frazė „ar jam lygiaverčio“ neužtikrina, jog paslaugas teiks tinkamas lektorius. Tiekėjas pažymi, jog fenomenais grįstas ugdymas yra labai specifinis, reikalaujantis ypatingų žinių ir patirties. Pagal dabartines sąlygas gali būti siūlomas iš esmės bet koks lektorius, kuris būtų visiškai nesusijęs su fenomenais grįstu ugdymu.</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Cs/>
          <w:szCs w:val="24"/>
        </w:rPr>
        <w:t>Tam, kad Perkančioji organizacija įsigyti tinkamas paslaugas, atitinkančias Pirkimo objektą, siūlome apibrėžti (kuo mažiau ribojant konkurenciją), kas gali būti laikomas „lygiaverčiu“, nurodant, kad:</w:t>
      </w:r>
    </w:p>
    <w:p w:rsidR="00B31FE5" w:rsidRDefault="00B31FE5" w:rsidP="00B31FE5">
      <w:pPr>
        <w:rPr>
          <w:rFonts w:asciiTheme="minorHAnsi" w:hAnsiTheme="minorHAnsi" w:cstheme="minorHAnsi"/>
          <w:bCs/>
          <w:szCs w:val="24"/>
        </w:rPr>
      </w:pPr>
      <w:r w:rsidRPr="00B31FE5">
        <w:rPr>
          <w:rFonts w:asciiTheme="minorHAnsi" w:hAnsiTheme="minorHAnsi" w:cstheme="minorHAnsi"/>
          <w:bCs/>
          <w:szCs w:val="24"/>
        </w:rPr>
        <w:t xml:space="preserve">Lygiaverčiu metodas laikomas tada, kai jo ugdyme taikomi keturi principai: </w:t>
      </w:r>
    </w:p>
    <w:p w:rsidR="00B31FE5" w:rsidRDefault="00B31FE5" w:rsidP="00B31FE5">
      <w:pPr>
        <w:rPr>
          <w:rFonts w:asciiTheme="minorHAnsi" w:hAnsiTheme="minorHAnsi" w:cstheme="minorHAnsi"/>
          <w:bCs/>
          <w:szCs w:val="24"/>
        </w:rPr>
      </w:pPr>
      <w:r w:rsidRPr="00B31FE5">
        <w:rPr>
          <w:rFonts w:asciiTheme="minorHAnsi" w:hAnsiTheme="minorHAnsi" w:cstheme="minorHAnsi"/>
          <w:bCs/>
          <w:szCs w:val="24"/>
        </w:rPr>
        <w:t xml:space="preserve">a) mokinių įgalinimas ir grupinio darbo strategijos, </w:t>
      </w:r>
    </w:p>
    <w:p w:rsidR="00B31FE5" w:rsidRDefault="00B31FE5" w:rsidP="00B31FE5">
      <w:pPr>
        <w:rPr>
          <w:rFonts w:asciiTheme="minorHAnsi" w:hAnsiTheme="minorHAnsi" w:cstheme="minorHAnsi"/>
          <w:bCs/>
          <w:szCs w:val="24"/>
        </w:rPr>
      </w:pPr>
      <w:r w:rsidRPr="00B31FE5">
        <w:rPr>
          <w:rFonts w:asciiTheme="minorHAnsi" w:hAnsiTheme="minorHAnsi" w:cstheme="minorHAnsi"/>
          <w:bCs/>
          <w:szCs w:val="24"/>
        </w:rPr>
        <w:t>b</w:t>
      </w:r>
      <w:r>
        <w:rPr>
          <w:rFonts w:asciiTheme="minorHAnsi" w:hAnsiTheme="minorHAnsi" w:cstheme="minorHAnsi"/>
          <w:bCs/>
          <w:szCs w:val="24"/>
        </w:rPr>
        <w:t xml:space="preserve">) daugiadiscipliniškumas (trijų </w:t>
      </w:r>
      <w:r w:rsidRPr="00B31FE5">
        <w:rPr>
          <w:rFonts w:asciiTheme="minorHAnsi" w:hAnsiTheme="minorHAnsi" w:cstheme="minorHAnsi"/>
          <w:bCs/>
          <w:szCs w:val="24"/>
        </w:rPr>
        <w:t xml:space="preserve">ar daugiau disciplinų derinimas), </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Cs/>
          <w:szCs w:val="24"/>
        </w:rPr>
        <w:t>c) realaus pasaulio reiškinių tyrimas, d) probleminių klausimų kėlimo ir jų sprendimo būdai.</w:t>
      </w:r>
    </w:p>
    <w:p w:rsidR="00B31FE5" w:rsidRDefault="00B31FE5" w:rsidP="00B31FE5">
      <w:pPr>
        <w:rPr>
          <w:rFonts w:asciiTheme="minorHAnsi" w:hAnsiTheme="minorHAnsi" w:cstheme="minorHAnsi"/>
          <w:bCs/>
          <w:szCs w:val="24"/>
        </w:rPr>
      </w:pPr>
      <w:r w:rsidRPr="00B31FE5">
        <w:rPr>
          <w:rFonts w:asciiTheme="minorHAnsi" w:hAnsiTheme="minorHAnsi" w:cstheme="minorHAnsi"/>
          <w:bCs/>
          <w:szCs w:val="24"/>
        </w:rPr>
        <w:t>Atitinkamai, tokį patį paaiškinimą siūlome pateikti ir Pirkimo sąlygų 6.17.4. p., kuriame aprašyta balų skyrimo tvarka už tiekėjo siūlomo lektoriaus didesnę patirtį.</w:t>
      </w:r>
    </w:p>
    <w:p w:rsidR="00B31FE5" w:rsidRPr="00B31FE5" w:rsidRDefault="00B31FE5" w:rsidP="00B31FE5">
      <w:pPr>
        <w:rPr>
          <w:rFonts w:asciiTheme="minorHAnsi" w:hAnsiTheme="minorHAnsi" w:cstheme="minorHAnsi"/>
          <w:bCs/>
          <w:szCs w:val="24"/>
        </w:rPr>
      </w:pPr>
      <w:r w:rsidRPr="00B31FE5">
        <w:rPr>
          <w:rFonts w:asciiTheme="minorHAnsi" w:hAnsiTheme="minorHAnsi" w:cstheme="minorHAnsi"/>
          <w:b/>
          <w:bCs/>
          <w:szCs w:val="24"/>
        </w:rPr>
        <w:t>Atsakymas.</w:t>
      </w:r>
      <w:r>
        <w:rPr>
          <w:rFonts w:asciiTheme="minorHAnsi" w:hAnsiTheme="minorHAnsi" w:cstheme="minorHAnsi"/>
          <w:b/>
          <w:bCs/>
          <w:szCs w:val="24"/>
        </w:rPr>
        <w:t xml:space="preserve"> </w:t>
      </w:r>
      <w:r w:rsidR="00B81F43" w:rsidRPr="00B31FE5">
        <w:rPr>
          <w:rFonts w:asciiTheme="minorHAnsi" w:hAnsiTheme="minorHAnsi" w:cstheme="minorHAnsi"/>
          <w:bCs/>
          <w:szCs w:val="24"/>
        </w:rPr>
        <w:t>Kvalifikacijos</w:t>
      </w:r>
      <w:r w:rsidRPr="00B31FE5">
        <w:rPr>
          <w:rFonts w:asciiTheme="minorHAnsi" w:hAnsiTheme="minorHAnsi" w:cstheme="minorHAnsi"/>
          <w:bCs/>
          <w:szCs w:val="24"/>
        </w:rPr>
        <w:t xml:space="preserve"> </w:t>
      </w:r>
      <w:r w:rsidR="00B81F43">
        <w:rPr>
          <w:rFonts w:asciiTheme="minorHAnsi" w:hAnsiTheme="minorHAnsi" w:cstheme="minorHAnsi"/>
          <w:bCs/>
          <w:szCs w:val="24"/>
        </w:rPr>
        <w:t>reikalavimas</w:t>
      </w:r>
      <w:r w:rsidR="0012621C">
        <w:rPr>
          <w:rFonts w:asciiTheme="minorHAnsi" w:hAnsiTheme="minorHAnsi" w:cstheme="minorHAnsi"/>
          <w:bCs/>
          <w:szCs w:val="24"/>
        </w:rPr>
        <w:t xml:space="preserve"> nebus keičiamas</w:t>
      </w:r>
      <w:r w:rsidR="00B81F43">
        <w:rPr>
          <w:rFonts w:asciiTheme="minorHAnsi" w:hAnsiTheme="minorHAnsi" w:cstheme="minorHAnsi"/>
          <w:bCs/>
          <w:szCs w:val="24"/>
        </w:rPr>
        <w:t xml:space="preserve">. </w:t>
      </w:r>
      <w:r w:rsidRPr="00B31FE5">
        <w:rPr>
          <w:rFonts w:asciiTheme="minorHAnsi" w:hAnsiTheme="minorHAnsi" w:cstheme="minorHAnsi"/>
          <w:bCs/>
          <w:szCs w:val="24"/>
        </w:rPr>
        <w:t xml:space="preserve"> </w:t>
      </w:r>
      <w:r w:rsidR="00B81F43" w:rsidRPr="00B81F43">
        <w:rPr>
          <w:rFonts w:asciiTheme="minorHAnsi" w:hAnsiTheme="minorHAnsi" w:cstheme="minorHAnsi"/>
          <w:bCs/>
          <w:szCs w:val="24"/>
        </w:rPr>
        <w:t xml:space="preserve">Reikalavimas „fenomenais grįstas ugdymas ar jam lygiavertis“ yra išlaikytas tikslingai – jis leidžia užtikrinti pakankamą konkurenciją tarp tiekėjų, o tuo pačiu </w:t>
      </w:r>
      <w:r w:rsidR="00B81F43">
        <w:rPr>
          <w:rFonts w:asciiTheme="minorHAnsi" w:hAnsiTheme="minorHAnsi" w:cstheme="minorHAnsi"/>
          <w:bCs/>
          <w:szCs w:val="24"/>
        </w:rPr>
        <w:t xml:space="preserve">apima reikalingą kompetencijų spektrą. </w:t>
      </w:r>
      <w:r w:rsidR="00B81F43" w:rsidRPr="00B81F43">
        <w:rPr>
          <w:rFonts w:asciiTheme="minorHAnsi" w:hAnsiTheme="minorHAnsi" w:cstheme="minorHAnsi"/>
          <w:bCs/>
          <w:szCs w:val="24"/>
        </w:rPr>
        <w:t xml:space="preserve">Pasiūlymas papildomai detalizuoti, kas laikytina „lygiaverčiu“ fenomenu grįstam ugdymui, remiantis keturiais išskirtais principais, buvo įvertintas kaip perteklinis. Tokio pobūdžio ribojimas ne tik nebūtų proporcingas, bet ir galimai nepagrįstai susiaurintų potencialių </w:t>
      </w:r>
      <w:r w:rsidR="0012621C">
        <w:rPr>
          <w:rFonts w:asciiTheme="minorHAnsi" w:hAnsiTheme="minorHAnsi" w:cstheme="minorHAnsi"/>
          <w:bCs/>
          <w:szCs w:val="24"/>
        </w:rPr>
        <w:t>tiekėjų</w:t>
      </w:r>
      <w:r w:rsidR="00B81F43" w:rsidRPr="00B81F43">
        <w:rPr>
          <w:rFonts w:asciiTheme="minorHAnsi" w:hAnsiTheme="minorHAnsi" w:cstheme="minorHAnsi"/>
          <w:bCs/>
          <w:szCs w:val="24"/>
        </w:rPr>
        <w:t xml:space="preserve"> ratą, taip mažinant konkurenciją. Šiuo metu galiojanti nuostata leidžia pakankamai aiškiai įvertinti tiekėjų siūlomų metodikų atitikimą reikalavimams, kartu išlaikant reikalingą lankstumą.</w:t>
      </w:r>
    </w:p>
    <w:p w:rsidR="004A4B96" w:rsidRDefault="00B81F43" w:rsidP="00B31FE5">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3</w:t>
      </w:r>
      <w:r w:rsidRPr="00B31FE5">
        <w:rPr>
          <w:rFonts w:asciiTheme="minorHAnsi" w:hAnsiTheme="minorHAnsi" w:cstheme="minorHAnsi"/>
          <w:b/>
          <w:bCs/>
          <w:szCs w:val="24"/>
        </w:rPr>
        <w:t>. Klausimas/pastaba/pasiūlymas:</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t xml:space="preserve">Į Pirkimo objektą patenka, be kita ko, leidinių rengimas ir vaizdo filmuko kūrimas (Techninės specifikacijos 13.3 p.). Akivaizdu, jog šioms veikloms yra reikalingi tokios patirties turintys specialistai. Dabar kvalifikacijos reikalavimai keliami tik dėl projekto vadovo ir lektoriaus, tačiau akivaizdu, jog šie specialistai vaizdo filmuko nesukurs.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t xml:space="preserve">Atsižvelgiant į tai, Tiekėjas siūlo papildyti kvalifikacijos reikalavimus Pirkimo sąlygų 2.5.2.3. p. nurodant, kad tiekėjas turi turėti paslaugoms teikti šiuos specialistus: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t xml:space="preserve">2.5.2.3.3. ne mažiau kaip 1 (vieną) prodiuserį, per paskutinius 3 metus (pasiūlymo pateikimo datai) turintį ne mažesnę kaip 1 metų profesinę patirtį edukacinio video turinio kūrimo srityje ir sukūrusį bent 5 edukacinius vaizdo filmukus.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t xml:space="preserve">2.5.2.3.4. ne mažiau kaip 1 (vieną) turinio specialistą/redaktorių, per paskutinius 3 metus (pasiūlymo pateikimo datai) turintį ne mažesnę kaip 1 metų profesinę patirtį rengiant edukacinį turinį ir sukūrusį bent 5 edukacinius leidinius.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t xml:space="preserve">Šiame kontekste Tiekėjas pažymi, jog pagal kitų perkančiųjų organizacijų gerąją praktiką tokie kvalifikacijos reikalavimai yra keliami. Pavyzdžiui, Švietimo, mokslo ir sporto ministerijos vykdytame viešajame pirkime Nr. 708912 buvo nustatyti tokie aktualūs kvalifikacijos reikalavimai: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szCs w:val="24"/>
        </w:rPr>
        <w:lastRenderedPageBreak/>
        <w:t>„</w:t>
      </w:r>
      <w:r w:rsidRPr="00B81F43">
        <w:rPr>
          <w:rFonts w:asciiTheme="minorHAnsi" w:hAnsiTheme="minorHAnsi" w:cstheme="minorHAnsi"/>
          <w:bCs/>
          <w:iCs/>
          <w:szCs w:val="24"/>
        </w:rPr>
        <w:t xml:space="preserve">Tiekėjas turi pasiūlyti (paskirs laimėjimo atveju) kvalifikuotus specialistus, turinčius būtinas žinias bei patirtį, reikalingą paslaugų tinkamam suteikimui, t.y. specialistas turi tenkinti šiuos žemiau nurodytus reikalavimus: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iCs/>
          <w:szCs w:val="24"/>
        </w:rPr>
        <w:t xml:space="preserve">Prodiuseris turi turėti: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iCs/>
          <w:szCs w:val="24"/>
        </w:rPr>
        <w:t xml:space="preserve">- per paskutinius 3 metus (pasiūlymo pateikimo datai) ne mažesnę kaip 1 metų profesinę patirtį edukacinio video turinio kūrimo srityje; </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iCs/>
          <w:szCs w:val="24"/>
        </w:rPr>
        <w:t xml:space="preserve">- per paskutinius 3 metus (pasiūlymo pateikimo datai) įgytą (ar papildytą) edukacinio turinio kūrimo patirtį, t.y. būtų atsakingas už sukūrimą ne mažiau kaip vieną nacionaliniu mastu transliuojamos televizijos eteryje ir / arba kitoje juridinio asmens užsakymu viešai prieinamoje medijoje (pvz. interneto naujienų portalai, socialiniai tinklai) rodytą (rodomą) edukacinio turinio programą. </w:t>
      </w:r>
    </w:p>
    <w:p w:rsidR="00B81F43" w:rsidRPr="00B81F43" w:rsidRDefault="00B81F43" w:rsidP="00B81F43">
      <w:pPr>
        <w:autoSpaceDE w:val="0"/>
        <w:autoSpaceDN w:val="0"/>
        <w:adjustRightInd w:val="0"/>
        <w:rPr>
          <w:rFonts w:asciiTheme="minorHAnsi" w:hAnsiTheme="minorHAnsi" w:cstheme="minorHAnsi"/>
          <w:bCs/>
          <w:iCs/>
          <w:szCs w:val="24"/>
        </w:rPr>
      </w:pPr>
      <w:r w:rsidRPr="00B81F43">
        <w:rPr>
          <w:rFonts w:asciiTheme="minorHAnsi" w:hAnsiTheme="minorHAnsi" w:cstheme="minorHAnsi"/>
          <w:bCs/>
          <w:iCs/>
          <w:szCs w:val="24"/>
        </w:rPr>
        <w:t>Turinio specialistas turi turėti:</w:t>
      </w:r>
    </w:p>
    <w:p w:rsidR="00B81F43" w:rsidRPr="00B81F43" w:rsidRDefault="00B81F43" w:rsidP="00B81F43">
      <w:pPr>
        <w:autoSpaceDE w:val="0"/>
        <w:autoSpaceDN w:val="0"/>
        <w:adjustRightInd w:val="0"/>
        <w:rPr>
          <w:rFonts w:asciiTheme="minorHAnsi" w:hAnsiTheme="minorHAnsi" w:cstheme="minorHAnsi"/>
          <w:bCs/>
          <w:szCs w:val="24"/>
        </w:rPr>
      </w:pPr>
      <w:r w:rsidRPr="00B81F43">
        <w:rPr>
          <w:rFonts w:asciiTheme="minorHAnsi" w:hAnsiTheme="minorHAnsi" w:cstheme="minorHAnsi"/>
          <w:bCs/>
          <w:iCs/>
          <w:szCs w:val="24"/>
        </w:rPr>
        <w:t>- per paskutinius 3 metus (pasiūlymo pateikimo datai) turi ne mažesnę kaip 1 metų profesinę patirtį parengiant bent vieną pedagogų kvalifikacijos tobulinimo programą kompetencijų ugdymo tema ir šios parengtos programos įgyvendinimu – su programa susiję mokymai, konsultavimai ar pan</w:t>
      </w:r>
      <w:r w:rsidRPr="00B81F43">
        <w:rPr>
          <w:rFonts w:asciiTheme="minorHAnsi" w:hAnsiTheme="minorHAnsi" w:cstheme="minorHAnsi"/>
          <w:bCs/>
          <w:szCs w:val="24"/>
        </w:rPr>
        <w:t>.“</w:t>
      </w:r>
    </w:p>
    <w:p w:rsidR="00B81F43" w:rsidRDefault="00B81F43" w:rsidP="00B31FE5">
      <w:pPr>
        <w:autoSpaceDE w:val="0"/>
        <w:autoSpaceDN w:val="0"/>
        <w:adjustRightInd w:val="0"/>
        <w:rPr>
          <w:rFonts w:asciiTheme="minorHAnsi" w:hAnsiTheme="minorHAnsi" w:cstheme="minorHAnsi"/>
          <w:bCs/>
          <w:szCs w:val="24"/>
        </w:rPr>
      </w:pPr>
      <w:r w:rsidRPr="00B31FE5">
        <w:rPr>
          <w:rFonts w:asciiTheme="minorHAnsi" w:hAnsiTheme="minorHAnsi" w:cstheme="minorHAnsi"/>
          <w:b/>
          <w:bCs/>
          <w:szCs w:val="24"/>
        </w:rPr>
        <w:t>Atsakymas.</w:t>
      </w:r>
      <w:r>
        <w:rPr>
          <w:rFonts w:asciiTheme="minorHAnsi" w:hAnsiTheme="minorHAnsi" w:cstheme="minorHAnsi"/>
          <w:b/>
          <w:bCs/>
          <w:szCs w:val="24"/>
        </w:rPr>
        <w:t xml:space="preserve"> </w:t>
      </w:r>
      <w:r w:rsidRPr="008E2677">
        <w:rPr>
          <w:rFonts w:asciiTheme="minorHAnsi" w:hAnsiTheme="minorHAnsi" w:cstheme="minorHAnsi"/>
          <w:bCs/>
          <w:szCs w:val="24"/>
        </w:rPr>
        <w:t>Leidinių ir vaizdo medžiagos (filmukų) rengimo veikloms nėra taikomas atskiras ar savarankiškas vertinimas, todėl nėra tikslinga nustatyti ir papildomų kvalifikacinių reikalavimų šias užduotis vykdantiems specialistams. Atsakomybė už šių veiklų įgyvendinimo kokybę tenka tiekėjui, kuris, įgyvendindamas sutartinius įsipareigojimus, privalo užtikrinti, kad jo pasitelkti specialistai turėtų reikiamą kompetenciją ir patirtį, leidžiančią pasiekti numatytus rezultatus. Tiekėjas laisvai pasirenka, kokius žmo</w:t>
      </w:r>
      <w:r w:rsidR="008E2677" w:rsidRPr="008E2677">
        <w:rPr>
          <w:rFonts w:asciiTheme="minorHAnsi" w:hAnsiTheme="minorHAnsi" w:cstheme="minorHAnsi"/>
          <w:bCs/>
          <w:szCs w:val="24"/>
        </w:rPr>
        <w:t>giškuosius išteklius pasitelkti šios veiklos įgyvendinti</w:t>
      </w:r>
      <w:r w:rsidRPr="008E2677">
        <w:rPr>
          <w:rFonts w:asciiTheme="minorHAnsi" w:hAnsiTheme="minorHAnsi" w:cstheme="minorHAnsi"/>
          <w:bCs/>
          <w:szCs w:val="24"/>
        </w:rPr>
        <w:t>. Dėl šios priežasties papildomas kvalifikacinių reikalavimų įtvirtinimas atskiroms pozicijoms nebūtų proporcingas ir galėtų nepagrįstai riboti konkurenciją.</w:t>
      </w:r>
    </w:p>
    <w:p w:rsidR="008E2677" w:rsidRDefault="008E2677" w:rsidP="008E2677">
      <w:pPr>
        <w:autoSpaceDE w:val="0"/>
        <w:autoSpaceDN w:val="0"/>
        <w:adjustRightInd w:val="0"/>
        <w:rPr>
          <w:rFonts w:asciiTheme="minorHAnsi" w:hAnsiTheme="minorHAnsi" w:cstheme="minorHAnsi"/>
          <w:b/>
          <w:bCs/>
          <w:szCs w:val="24"/>
        </w:rPr>
      </w:pPr>
      <w:r>
        <w:rPr>
          <w:rFonts w:asciiTheme="minorHAnsi" w:hAnsiTheme="minorHAnsi" w:cstheme="minorHAnsi"/>
          <w:b/>
          <w:bCs/>
          <w:szCs w:val="24"/>
        </w:rPr>
        <w:t>4</w:t>
      </w:r>
      <w:r w:rsidRPr="00B31FE5">
        <w:rPr>
          <w:rFonts w:asciiTheme="minorHAnsi" w:hAnsiTheme="minorHAnsi" w:cstheme="minorHAnsi"/>
          <w:b/>
          <w:bCs/>
          <w:szCs w:val="24"/>
        </w:rPr>
        <w:t>. Klausimas/pastaba/pasiūlymas:</w:t>
      </w:r>
    </w:p>
    <w:p w:rsidR="008E2677" w:rsidRPr="008E2677" w:rsidRDefault="008E2677" w:rsidP="008E2677">
      <w:pPr>
        <w:autoSpaceDE w:val="0"/>
        <w:autoSpaceDN w:val="0"/>
        <w:adjustRightInd w:val="0"/>
        <w:rPr>
          <w:rFonts w:asciiTheme="minorHAnsi" w:hAnsiTheme="minorHAnsi" w:cstheme="minorHAnsi"/>
          <w:bCs/>
          <w:szCs w:val="24"/>
        </w:rPr>
      </w:pPr>
      <w:r w:rsidRPr="008E2677">
        <w:rPr>
          <w:rFonts w:asciiTheme="minorHAnsi" w:hAnsiTheme="minorHAnsi" w:cstheme="minorHAnsi"/>
          <w:bCs/>
          <w:szCs w:val="24"/>
        </w:rPr>
        <w:t xml:space="preserve">Į Pirkimo objekto apimtį taip pat patenka stažuotės Suomijoje organizavimas, kuriam yra nustatyta daugybė reikalavimų Techninėje specifikacijoje – tiek pačios stažuotės organizavimui, tiek jos turiniui. Vis dėlto, pagal dabartines sąlygas Perkančioji organizacija visiškai nesiekia įsitikinti, ar tiekėjas bus pajėgus suorganizuoti visus reikalavimus atitinkančią stažuotę Suomijoje. </w:t>
      </w:r>
    </w:p>
    <w:p w:rsidR="008E2677" w:rsidRPr="008E2677" w:rsidRDefault="008E2677" w:rsidP="008E2677">
      <w:pPr>
        <w:autoSpaceDE w:val="0"/>
        <w:autoSpaceDN w:val="0"/>
        <w:adjustRightInd w:val="0"/>
        <w:rPr>
          <w:rFonts w:asciiTheme="minorHAnsi" w:hAnsiTheme="minorHAnsi" w:cstheme="minorHAnsi"/>
          <w:bCs/>
          <w:szCs w:val="24"/>
        </w:rPr>
      </w:pPr>
      <w:r w:rsidRPr="008E2677">
        <w:rPr>
          <w:rFonts w:asciiTheme="minorHAnsi" w:hAnsiTheme="minorHAnsi" w:cstheme="minorHAnsi"/>
          <w:bCs/>
          <w:szCs w:val="24"/>
        </w:rPr>
        <w:t>Tam, kad Perkančioji organizacija atsirinktų pajėgų tiekėją, Tiekėjas siūlo į kvalifikacijos reikalavimus įtraukti reikalavimą dėl patirties turėjimo organizuojant stažuotę Suomijoje fenomenais grįsto ugdymo tema. Tik tokiu būdu bus atrinktas reikiamą patirtį turintis tiekėjas.</w:t>
      </w:r>
    </w:p>
    <w:p w:rsidR="004A4B96" w:rsidRDefault="008E2677" w:rsidP="009A2EC2">
      <w:pPr>
        <w:autoSpaceDE w:val="0"/>
        <w:autoSpaceDN w:val="0"/>
        <w:adjustRightInd w:val="0"/>
        <w:rPr>
          <w:rFonts w:asciiTheme="minorHAnsi" w:hAnsiTheme="minorHAnsi" w:cstheme="minorHAnsi"/>
          <w:b/>
          <w:bCs/>
          <w:szCs w:val="24"/>
        </w:rPr>
      </w:pPr>
      <w:r w:rsidRPr="00B31FE5">
        <w:rPr>
          <w:rFonts w:asciiTheme="minorHAnsi" w:hAnsiTheme="minorHAnsi" w:cstheme="minorHAnsi"/>
          <w:b/>
          <w:bCs/>
          <w:szCs w:val="24"/>
        </w:rPr>
        <w:t>Atsakymas.</w:t>
      </w:r>
      <w:r>
        <w:rPr>
          <w:rFonts w:asciiTheme="minorHAnsi" w:hAnsiTheme="minorHAnsi" w:cstheme="minorHAnsi"/>
          <w:b/>
          <w:bCs/>
          <w:szCs w:val="24"/>
        </w:rPr>
        <w:t xml:space="preserve"> </w:t>
      </w:r>
    </w:p>
    <w:p w:rsidR="008E2677" w:rsidRDefault="0012621C" w:rsidP="008E2677">
      <w:pPr>
        <w:autoSpaceDE w:val="0"/>
        <w:autoSpaceDN w:val="0"/>
        <w:adjustRightInd w:val="0"/>
        <w:rPr>
          <w:rFonts w:asciiTheme="minorHAnsi" w:hAnsiTheme="minorHAnsi" w:cstheme="minorHAnsi"/>
          <w:bCs/>
          <w:szCs w:val="24"/>
        </w:rPr>
      </w:pPr>
      <w:r w:rsidRPr="0012621C">
        <w:rPr>
          <w:rFonts w:asciiTheme="minorHAnsi" w:hAnsiTheme="minorHAnsi" w:cstheme="minorHAnsi"/>
          <w:bCs/>
          <w:szCs w:val="24"/>
        </w:rPr>
        <w:t>Kvalifikacijos reikalavimai turi būti pagrįsti ir tiesiogiai susiję su pirkimo objektu, tačiau tuo pačiu negali ne</w:t>
      </w:r>
      <w:r w:rsidRPr="0012621C">
        <w:rPr>
          <w:rFonts w:asciiTheme="minorHAnsi" w:hAnsiTheme="minorHAnsi" w:cstheme="minorHAnsi"/>
          <w:bCs/>
          <w:szCs w:val="24"/>
        </w:rPr>
        <w:t>pagrįstai riboti konkurencijos.</w:t>
      </w:r>
      <w:r>
        <w:rPr>
          <w:rFonts w:asciiTheme="minorHAnsi" w:hAnsiTheme="minorHAnsi" w:cstheme="minorHAnsi"/>
          <w:bCs/>
          <w:szCs w:val="24"/>
        </w:rPr>
        <w:t xml:space="preserve"> </w:t>
      </w:r>
      <w:r w:rsidRPr="0012621C">
        <w:rPr>
          <w:rFonts w:asciiTheme="minorHAnsi" w:hAnsiTheme="minorHAnsi" w:cstheme="minorHAnsi"/>
          <w:bCs/>
          <w:szCs w:val="24"/>
        </w:rPr>
        <w:t>Atkreipiame dėmesį, kad Techninėje specifikacijoje išsamiai apibrėžti reikalavimai stažuotės turiniui ir organizavimui Suomijoje, todėl tiekėjai, teikdami pasiūlymus, įsipareigoja įgyvendinti visus šiuos reikalavimus.</w:t>
      </w:r>
      <w:r>
        <w:rPr>
          <w:rFonts w:asciiTheme="minorHAnsi" w:hAnsiTheme="minorHAnsi" w:cstheme="minorHAnsi"/>
          <w:bCs/>
          <w:szCs w:val="24"/>
        </w:rPr>
        <w:t xml:space="preserve"> </w:t>
      </w:r>
      <w:r w:rsidR="008E2677" w:rsidRPr="008E2677">
        <w:rPr>
          <w:rFonts w:asciiTheme="minorHAnsi" w:hAnsiTheme="minorHAnsi" w:cstheme="minorHAnsi"/>
          <w:bCs/>
          <w:szCs w:val="24"/>
        </w:rPr>
        <w:t>Reikalavimas turėti specifinę patirtį organizuojant stažuotes būtent Suomijoje, ir būtent fenomenais grįsto ugdymo tema, būtų pernelyg siauras ir reikšmingai apribotų tiekėjų ratą, taip sumažindamas konkurenciją. Toks reikalavimas būtų neproporcingas, nes neužtikrina, kad tik turėjęs identiškos patirties tiekėjas bus vienintelis pajėgus kokybiškai įgyvendinti veiklą. Be to, kvalifikaciniai reikalavimai turi būti pagrįsti objektyviu būtinumu – t. y. reikalavimas gali būti taikomas tik tuo atveju, jei be jo nebūtų įmanoma pasiekti pirkimo tikslų. Šiuo atveju toks siauras kriterijus nebūtų nei būtinas, nei proporcingas,</w:t>
      </w:r>
      <w:r w:rsidR="008E2677" w:rsidRPr="008E2677">
        <w:rPr>
          <w:rFonts w:asciiTheme="minorHAnsi" w:hAnsiTheme="minorHAnsi" w:cstheme="minorHAnsi"/>
          <w:bCs/>
          <w:szCs w:val="24"/>
        </w:rPr>
        <w:t xml:space="preserve"> t</w:t>
      </w:r>
      <w:r w:rsidR="008E2677" w:rsidRPr="008E2677">
        <w:rPr>
          <w:rFonts w:asciiTheme="minorHAnsi" w:hAnsiTheme="minorHAnsi" w:cstheme="minorHAnsi"/>
          <w:bCs/>
          <w:szCs w:val="24"/>
        </w:rPr>
        <w:t>odėl siūlomas papildomas kvalifikacinis reikalavimas nebus įtrauktas – pirkimo sąlygos ir taip sudaro pakankamą pagrindą tiekėjų pajėgumui vertinti, tuo pačiu užtikrinant tiek skaidrumą, tiek konkurenciją.</w:t>
      </w:r>
    </w:p>
    <w:p w:rsidR="008E2677" w:rsidRDefault="008E2677" w:rsidP="008E2677">
      <w:pPr>
        <w:autoSpaceDE w:val="0"/>
        <w:autoSpaceDN w:val="0"/>
        <w:adjustRightInd w:val="0"/>
        <w:rPr>
          <w:rFonts w:asciiTheme="minorHAnsi" w:hAnsiTheme="minorHAnsi" w:cstheme="minorHAnsi"/>
          <w:b/>
          <w:bCs/>
          <w:szCs w:val="24"/>
        </w:rPr>
      </w:pPr>
      <w:r>
        <w:rPr>
          <w:rFonts w:asciiTheme="minorHAnsi" w:hAnsiTheme="minorHAnsi" w:cstheme="minorHAnsi"/>
          <w:b/>
          <w:bCs/>
          <w:szCs w:val="24"/>
        </w:rPr>
        <w:lastRenderedPageBreak/>
        <w:t>5</w:t>
      </w:r>
      <w:r w:rsidRPr="00B31FE5">
        <w:rPr>
          <w:rFonts w:asciiTheme="minorHAnsi" w:hAnsiTheme="minorHAnsi" w:cstheme="minorHAnsi"/>
          <w:b/>
          <w:bCs/>
          <w:szCs w:val="24"/>
        </w:rPr>
        <w:t>. Klausimas/pastaba/pasiūlymas:</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Pagal dabartinių Pirkimo sąlygų 6.17.1. p. „</w:t>
      </w:r>
      <w:r w:rsidRPr="005F70D6">
        <w:rPr>
          <w:rFonts w:asciiTheme="minorHAnsi" w:hAnsiTheme="minorHAnsi" w:cstheme="minorHAnsi"/>
          <w:bCs/>
          <w:i/>
          <w:iCs/>
          <w:szCs w:val="24"/>
        </w:rPr>
        <w:t>Ekonominis naudingumas (S) apskaičiuojamas sudedant tiekėjo pasiūlymo kainos (C), tiekėjo siūlomo projekto vadovo aukštesnės projektų valdymo kvalifikacijos (K) ir tiekėjo siūlomo lektoriaus didesnės patirties (P) ir socialinio kriterijaus (B) balus</w:t>
      </w:r>
      <w:r w:rsidRPr="005F70D6">
        <w:rPr>
          <w:rFonts w:asciiTheme="minorHAnsi" w:hAnsiTheme="minorHAnsi" w:cstheme="minorHAnsi"/>
          <w:bCs/>
          <w:szCs w:val="24"/>
        </w:rPr>
        <w:t xml:space="preserve">“.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 xml:space="preserve">Dabartinių Pirkimo sąlygų 6.17.6. p. nurodyti tokie lyginamieji svoriai: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w:t>
      </w:r>
      <w:r w:rsidRPr="005F70D6">
        <w:rPr>
          <w:rFonts w:asciiTheme="minorHAnsi" w:hAnsiTheme="minorHAnsi" w:cstheme="minorHAnsi"/>
          <w:bCs/>
          <w:i/>
          <w:iCs/>
          <w:szCs w:val="24"/>
        </w:rPr>
        <w:t xml:space="preserve">Kainos (C) lyginamasis svoris (X) – 65;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i/>
          <w:iCs/>
          <w:szCs w:val="24"/>
        </w:rPr>
        <w:t xml:space="preserve">Projekto vadovo aukštesnės projektų valdymo kvalifikacijos (K) lyginamasis svoris – 10;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i/>
          <w:iCs/>
          <w:szCs w:val="24"/>
        </w:rPr>
        <w:t xml:space="preserve">Lektoriaus didesnės patirties (P) lyginamasis svoris – 20;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i/>
          <w:iCs/>
          <w:szCs w:val="24"/>
        </w:rPr>
        <w:t xml:space="preserve">Socialinio kriterijaus (B) lyginamasis svoris (Z) – 5.“ </w:t>
      </w:r>
    </w:p>
    <w:p w:rsidR="008E2677" w:rsidRPr="005F70D6" w:rsidRDefault="008E2677" w:rsidP="008E2677">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Tiekėjas siūlo mažinti kainos lyginamąjį svorį ir didinti kitų ekonominio naudingumo vertinimo kriterijų svorį bei įsivesti kelis ypač svarbius naujus kriterijus.</w:t>
      </w:r>
    </w:p>
    <w:p w:rsidR="005F70D6" w:rsidRP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Tam, kad ši rizika būtų suvaldyta, Tiekėjas siūlo Perkančiajai organizacijai mažinti kainos lyginamąjį svorį bei didinti šių kriterijų lyginamąjį svorį tokiu būdu:</w:t>
      </w:r>
    </w:p>
    <w:p w:rsidR="005F70D6" w:rsidRP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Projekto vadovo aukštesnės projektų valdymo kvalifikacijos (K) lyginamasis svoris – 20 (vietoj dabar numatytų 10);</w:t>
      </w:r>
    </w:p>
    <w:p w:rsidR="004A4B9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 xml:space="preserve">Lektoriaus didesnės patirties (P) lyginamasis svoris – 30 (vietoj dabar numatytų 20). </w:t>
      </w:r>
    </w:p>
    <w:p w:rsidR="005F70D6" w:rsidRP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Taip pat Tiekėjas siūlo įsivesti kelis naujus kriterijus ir tam svarbą paaiškina toliau.</w:t>
      </w:r>
    </w:p>
    <w:p w:rsid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Kaip minėta prieš tai, į Pirkimo objektą patenka, be kita ko, leidinių rengimas ir vaizdo filmuko kūrimas (Techninės specifikacijos 13.3 p.). Kadangi tam reikalingi savo srities specialistai, turintys patirtį (Tiekėjas jau pateikė siūlymą papildyti kvalifikacijos reikalavimus Pirkimo sąlygų 2.5.2.3. p. nurodant, kad tiekėjas turi turėti paslaugoms teikti prodiuserį ir turinio specialistą/redaktorių), Tiekėjas taip pat siūlo įvesti ekonominio naudingumo vertinimo kriterijus už didesnę šių specialistų – prodiuserio ir turinio specialisto/redaktoriaus – patirtį (pagal analogiją kaip nurodyti balai už lektoriaus didesnę patirtį). Už kiekvieno iš šių specialistų didesnę patirtį galėtų būti skiriama iki 10 balų, mažinant kainos lyginamąjį svorį.</w:t>
      </w:r>
    </w:p>
    <w:p w:rsidR="005F70D6" w:rsidRDefault="005F70D6" w:rsidP="005F70D6">
      <w:pPr>
        <w:autoSpaceDE w:val="0"/>
        <w:autoSpaceDN w:val="0"/>
        <w:adjustRightInd w:val="0"/>
        <w:rPr>
          <w:rFonts w:asciiTheme="minorHAnsi" w:hAnsiTheme="minorHAnsi" w:cstheme="minorHAnsi"/>
          <w:b/>
          <w:bCs/>
          <w:szCs w:val="24"/>
        </w:rPr>
      </w:pPr>
      <w:r w:rsidRPr="00B31FE5">
        <w:rPr>
          <w:rFonts w:asciiTheme="minorHAnsi" w:hAnsiTheme="minorHAnsi" w:cstheme="minorHAnsi"/>
          <w:b/>
          <w:bCs/>
          <w:szCs w:val="24"/>
        </w:rPr>
        <w:t>Atsakymas.</w:t>
      </w:r>
    </w:p>
    <w:p w:rsidR="005F70D6" w:rsidRP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Tiekėjo siūlymai keisti ekonominio naudingumo vertinimo modelį, sumažinant kainos lyginamąjį svorį ir įvedant papildomus vertinimo kriterijus (bei didinant esamų kriterijų svorį), nebus tenkinami.</w:t>
      </w:r>
    </w:p>
    <w:p w:rsidR="005F70D6" w:rsidRPr="005F70D6" w:rsidRDefault="005F70D6" w:rsidP="005F70D6">
      <w:pPr>
        <w:autoSpaceDE w:val="0"/>
        <w:autoSpaceDN w:val="0"/>
        <w:adjustRightInd w:val="0"/>
        <w:rPr>
          <w:rFonts w:asciiTheme="minorHAnsi" w:hAnsiTheme="minorHAnsi" w:cstheme="minorHAnsi"/>
          <w:bCs/>
          <w:szCs w:val="24"/>
        </w:rPr>
      </w:pPr>
      <w:r w:rsidRPr="005F70D6">
        <w:rPr>
          <w:rFonts w:asciiTheme="minorHAnsi" w:hAnsiTheme="minorHAnsi" w:cstheme="minorHAnsi"/>
          <w:bCs/>
          <w:szCs w:val="24"/>
        </w:rPr>
        <w:t xml:space="preserve">Ekonominio naudingumo vertinimo kriterijų struktūra, nustatyta Pirkimo sąlygose, yra parengta vadovaujantis </w:t>
      </w:r>
      <w:r>
        <w:rPr>
          <w:rFonts w:asciiTheme="minorHAnsi" w:hAnsiTheme="minorHAnsi" w:cstheme="minorHAnsi"/>
          <w:bCs/>
          <w:szCs w:val="24"/>
        </w:rPr>
        <w:t xml:space="preserve">viešųjų pirkimų </w:t>
      </w:r>
      <w:r w:rsidRPr="005F70D6">
        <w:rPr>
          <w:rFonts w:asciiTheme="minorHAnsi" w:hAnsiTheme="minorHAnsi" w:cstheme="minorHAnsi"/>
          <w:bCs/>
          <w:szCs w:val="24"/>
        </w:rPr>
        <w:t xml:space="preserve">principais, atsižvelgiant į pirkimo objekto specifiką, pagrindinius vertinimo prioritetus ir </w:t>
      </w:r>
      <w:r>
        <w:rPr>
          <w:rFonts w:asciiTheme="minorHAnsi" w:hAnsiTheme="minorHAnsi" w:cstheme="minorHAnsi"/>
          <w:bCs/>
          <w:szCs w:val="24"/>
        </w:rPr>
        <w:t>p</w:t>
      </w:r>
      <w:r w:rsidRPr="005F70D6">
        <w:rPr>
          <w:rFonts w:asciiTheme="minorHAnsi" w:hAnsiTheme="minorHAnsi" w:cstheme="minorHAnsi"/>
          <w:bCs/>
          <w:szCs w:val="24"/>
        </w:rPr>
        <w:t>irkimo tikslą.</w:t>
      </w:r>
      <w:r>
        <w:rPr>
          <w:rFonts w:asciiTheme="minorHAnsi" w:hAnsiTheme="minorHAnsi" w:cstheme="minorHAnsi"/>
          <w:bCs/>
          <w:szCs w:val="24"/>
        </w:rPr>
        <w:t xml:space="preserve"> </w:t>
      </w:r>
      <w:r w:rsidRPr="005F70D6">
        <w:rPr>
          <w:rFonts w:asciiTheme="minorHAnsi" w:hAnsiTheme="minorHAnsi" w:cstheme="minorHAnsi"/>
          <w:bCs/>
          <w:szCs w:val="24"/>
        </w:rPr>
        <w:t xml:space="preserve">Kainos lyginamasis svoris (65 proc.) išlaikytas kaip svarbiausias vertinimo kriterijus, nes tai atitinka viešųjų pirkimų tikslą – racionalų lėšų panaudojimą. </w:t>
      </w:r>
      <w:r>
        <w:rPr>
          <w:rFonts w:asciiTheme="minorHAnsi" w:hAnsiTheme="minorHAnsi" w:cstheme="minorHAnsi"/>
          <w:bCs/>
          <w:szCs w:val="24"/>
        </w:rPr>
        <w:t>P</w:t>
      </w:r>
      <w:r w:rsidRPr="005F70D6">
        <w:rPr>
          <w:rFonts w:asciiTheme="minorHAnsi" w:hAnsiTheme="minorHAnsi" w:cstheme="minorHAnsi"/>
          <w:bCs/>
          <w:szCs w:val="24"/>
        </w:rPr>
        <w:t>apildomi kokybiniai vertinimo kriterijai (projekto vadovo kvalifikacija, lektoriaus patirtis, socialinis kriterijus) jau dabar sudaro 35 proc. viso vertinimo svorio, kas užtikrina pakankamą balansą tarp kainos ir kokybės vertinimo.</w:t>
      </w:r>
      <w:r>
        <w:rPr>
          <w:rFonts w:asciiTheme="minorHAnsi" w:hAnsiTheme="minorHAnsi" w:cstheme="minorHAnsi"/>
          <w:bCs/>
          <w:szCs w:val="24"/>
        </w:rPr>
        <w:t xml:space="preserve"> </w:t>
      </w:r>
      <w:r w:rsidR="00094E65">
        <w:rPr>
          <w:rFonts w:asciiTheme="minorHAnsi" w:hAnsiTheme="minorHAnsi" w:cstheme="minorHAnsi"/>
          <w:bCs/>
          <w:szCs w:val="24"/>
        </w:rPr>
        <w:t>P</w:t>
      </w:r>
      <w:r w:rsidRPr="005F70D6">
        <w:rPr>
          <w:rFonts w:asciiTheme="minorHAnsi" w:hAnsiTheme="minorHAnsi" w:cstheme="minorHAnsi"/>
          <w:bCs/>
          <w:szCs w:val="24"/>
        </w:rPr>
        <w:t>apildomų vertinimo kriterijų įtraukimas reikštų, kad pirmenybė būtų teikiama ne tik pagrindinių paslaugų vykdytojams, bet ir pagalbinių funkcijų vy</w:t>
      </w:r>
      <w:r>
        <w:rPr>
          <w:rFonts w:asciiTheme="minorHAnsi" w:hAnsiTheme="minorHAnsi" w:cstheme="minorHAnsi"/>
          <w:bCs/>
          <w:szCs w:val="24"/>
        </w:rPr>
        <w:t>kdytojų individualiai patirčiai</w:t>
      </w:r>
      <w:r w:rsidRPr="005F70D6">
        <w:rPr>
          <w:rFonts w:asciiTheme="minorHAnsi" w:hAnsiTheme="minorHAnsi" w:cstheme="minorHAnsi"/>
          <w:bCs/>
          <w:szCs w:val="24"/>
        </w:rPr>
        <w:t>.</w:t>
      </w:r>
      <w:r>
        <w:rPr>
          <w:rFonts w:asciiTheme="minorHAnsi" w:hAnsiTheme="minorHAnsi" w:cstheme="minorHAnsi"/>
          <w:bCs/>
          <w:szCs w:val="24"/>
        </w:rPr>
        <w:t xml:space="preserve"> </w:t>
      </w:r>
      <w:r w:rsidRPr="005F70D6">
        <w:rPr>
          <w:rFonts w:asciiTheme="minorHAnsi" w:hAnsiTheme="minorHAnsi" w:cstheme="minorHAnsi"/>
          <w:bCs/>
          <w:szCs w:val="24"/>
        </w:rPr>
        <w:t xml:space="preserve">Be to, pirkimo objektas nėra orientuotas vien į leidybą ar audiovizualinę produkciją – šios veiklos sudaro </w:t>
      </w:r>
      <w:r w:rsidR="0012621C">
        <w:rPr>
          <w:rFonts w:asciiTheme="minorHAnsi" w:hAnsiTheme="minorHAnsi" w:cstheme="minorHAnsi"/>
          <w:bCs/>
          <w:szCs w:val="24"/>
        </w:rPr>
        <w:t>tik dalį viso paslaugų paketo</w:t>
      </w:r>
      <w:r w:rsidR="00094E65">
        <w:rPr>
          <w:rFonts w:asciiTheme="minorHAnsi" w:hAnsiTheme="minorHAnsi" w:cstheme="minorHAnsi"/>
          <w:bCs/>
          <w:szCs w:val="24"/>
        </w:rPr>
        <w:t>, t</w:t>
      </w:r>
      <w:r w:rsidRPr="005F70D6">
        <w:rPr>
          <w:rFonts w:asciiTheme="minorHAnsi" w:hAnsiTheme="minorHAnsi" w:cstheme="minorHAnsi"/>
          <w:bCs/>
          <w:szCs w:val="24"/>
        </w:rPr>
        <w:t xml:space="preserve">odėl vertinti tiekėjus </w:t>
      </w:r>
      <w:r>
        <w:rPr>
          <w:rFonts w:asciiTheme="minorHAnsi" w:hAnsiTheme="minorHAnsi" w:cstheme="minorHAnsi"/>
          <w:bCs/>
          <w:szCs w:val="24"/>
        </w:rPr>
        <w:t>pagal</w:t>
      </w:r>
      <w:r w:rsidRPr="005F70D6">
        <w:rPr>
          <w:rFonts w:asciiTheme="minorHAnsi" w:hAnsiTheme="minorHAnsi" w:cstheme="minorHAnsi"/>
          <w:bCs/>
          <w:szCs w:val="24"/>
        </w:rPr>
        <w:t xml:space="preserve"> prodiuserio ar turinio redaktoriaus patirtį būtų neproporcinga ir neadekvatu visam pirkimo tikslui. Reikalingų specialistų pasitelkimas yra</w:t>
      </w:r>
      <w:r>
        <w:rPr>
          <w:rFonts w:asciiTheme="minorHAnsi" w:hAnsiTheme="minorHAnsi" w:cstheme="minorHAnsi"/>
          <w:bCs/>
          <w:szCs w:val="24"/>
        </w:rPr>
        <w:t xml:space="preserve"> tiekėjo atsakomybės klausimas. </w:t>
      </w:r>
    </w:p>
    <w:p w:rsidR="009E402C" w:rsidRPr="00094E65" w:rsidRDefault="009E402C" w:rsidP="0012621C">
      <w:pPr>
        <w:spacing w:line="240" w:lineRule="auto"/>
        <w:rPr>
          <w:rFonts w:asciiTheme="minorHAnsi" w:hAnsiTheme="minorHAnsi" w:cs="Times New Roman"/>
          <w:b/>
          <w:color w:val="FF0000"/>
          <w:szCs w:val="24"/>
        </w:rPr>
      </w:pPr>
      <w:bookmarkStart w:id="0" w:name="_GoBack"/>
      <w:r w:rsidRPr="00094E65">
        <w:rPr>
          <w:rFonts w:asciiTheme="minorHAnsi" w:hAnsiTheme="minorHAnsi" w:cs="Times New Roman"/>
          <w:b/>
          <w:i/>
          <w:color w:val="FF0000"/>
          <w:szCs w:val="24"/>
        </w:rPr>
        <w:t>Atkreipiame dėmesį, kad rinkos konsultacijoje paskelbti pirkimo dokumentai nėra galutiniai, todėl paskelbus pirkimą prašome atidžiai perskaityti pirkimo dokumentus.</w:t>
      </w:r>
    </w:p>
    <w:p w:rsidR="00CE4639" w:rsidRPr="00D630E0" w:rsidRDefault="003C5A62" w:rsidP="0012621C">
      <w:pPr>
        <w:spacing w:line="240" w:lineRule="auto"/>
        <w:rPr>
          <w:rFonts w:eastAsia="Calibri" w:cs="Times New Roman"/>
          <w:szCs w:val="24"/>
        </w:rPr>
      </w:pPr>
      <w:r w:rsidRPr="00094E65">
        <w:rPr>
          <w:rFonts w:asciiTheme="minorHAnsi" w:hAnsiTheme="minorHAnsi" w:cs="Times New Roman"/>
          <w:b/>
          <w:szCs w:val="24"/>
        </w:rPr>
        <w:t>Dėkojame T</w:t>
      </w:r>
      <w:r w:rsidR="009E402C" w:rsidRPr="00094E65">
        <w:rPr>
          <w:rFonts w:asciiTheme="minorHAnsi" w:hAnsiTheme="minorHAnsi" w:cs="Times New Roman"/>
          <w:b/>
          <w:szCs w:val="24"/>
        </w:rPr>
        <w:t>iekėjams dalyva</w:t>
      </w:r>
      <w:r w:rsidR="0078153E" w:rsidRPr="00094E65">
        <w:rPr>
          <w:rFonts w:asciiTheme="minorHAnsi" w:hAnsiTheme="minorHAnsi" w:cs="Times New Roman"/>
          <w:b/>
          <w:szCs w:val="24"/>
        </w:rPr>
        <w:t>vusiems ir pateikusiems klausimus/</w:t>
      </w:r>
      <w:r w:rsidR="009E402C" w:rsidRPr="00094E65">
        <w:rPr>
          <w:rFonts w:asciiTheme="minorHAnsi" w:hAnsiTheme="minorHAnsi" w:cs="Times New Roman"/>
          <w:b/>
          <w:szCs w:val="24"/>
        </w:rPr>
        <w:t>pastabas/pasiūlymus!</w:t>
      </w:r>
      <w:bookmarkEnd w:id="0"/>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2621C">
          <w:rPr>
            <w:noProof/>
            <w:sz w:val="20"/>
            <w:szCs w:val="20"/>
          </w:rPr>
          <w:t>4</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BC652B0"/>
    <w:multiLevelType w:val="multilevel"/>
    <w:tmpl w:val="DF80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19384C"/>
    <w:multiLevelType w:val="hybridMultilevel"/>
    <w:tmpl w:val="D6D2E3C6"/>
    <w:lvl w:ilvl="0" w:tplc="CE3EB02A">
      <w:start w:val="1"/>
      <w:numFmt w:val="bullet"/>
      <w:lvlText w:val=""/>
      <w:lvlJc w:val="left"/>
      <w:pPr>
        <w:ind w:left="720" w:hanging="360"/>
      </w:pPr>
      <w:rPr>
        <w:rFonts w:ascii="Symbol" w:hAnsi="Symbol" w:hint="default"/>
      </w:rPr>
    </w:lvl>
    <w:lvl w:ilvl="1" w:tplc="E3C0B872">
      <w:start w:val="1"/>
      <w:numFmt w:val="bullet"/>
      <w:lvlText w:val="o"/>
      <w:lvlJc w:val="left"/>
      <w:pPr>
        <w:ind w:left="1440" w:hanging="360"/>
      </w:pPr>
      <w:rPr>
        <w:rFonts w:ascii="Courier New" w:hAnsi="Courier New" w:hint="default"/>
      </w:rPr>
    </w:lvl>
    <w:lvl w:ilvl="2" w:tplc="7BA6FC32">
      <w:start w:val="1"/>
      <w:numFmt w:val="bullet"/>
      <w:lvlText w:val=""/>
      <w:lvlJc w:val="left"/>
      <w:pPr>
        <w:ind w:left="2160" w:hanging="360"/>
      </w:pPr>
      <w:rPr>
        <w:rFonts w:ascii="Wingdings" w:hAnsi="Wingdings" w:hint="default"/>
      </w:rPr>
    </w:lvl>
    <w:lvl w:ilvl="3" w:tplc="9A90336E">
      <w:start w:val="1"/>
      <w:numFmt w:val="bullet"/>
      <w:lvlText w:val=""/>
      <w:lvlJc w:val="left"/>
      <w:pPr>
        <w:ind w:left="2880" w:hanging="360"/>
      </w:pPr>
      <w:rPr>
        <w:rFonts w:ascii="Symbol" w:hAnsi="Symbol" w:hint="default"/>
      </w:rPr>
    </w:lvl>
    <w:lvl w:ilvl="4" w:tplc="565C9510">
      <w:start w:val="1"/>
      <w:numFmt w:val="bullet"/>
      <w:lvlText w:val="o"/>
      <w:lvlJc w:val="left"/>
      <w:pPr>
        <w:ind w:left="3600" w:hanging="360"/>
      </w:pPr>
      <w:rPr>
        <w:rFonts w:ascii="Courier New" w:hAnsi="Courier New" w:hint="default"/>
      </w:rPr>
    </w:lvl>
    <w:lvl w:ilvl="5" w:tplc="F9386DB4">
      <w:start w:val="1"/>
      <w:numFmt w:val="bullet"/>
      <w:lvlText w:val=""/>
      <w:lvlJc w:val="left"/>
      <w:pPr>
        <w:ind w:left="4320" w:hanging="360"/>
      </w:pPr>
      <w:rPr>
        <w:rFonts w:ascii="Wingdings" w:hAnsi="Wingdings" w:hint="default"/>
      </w:rPr>
    </w:lvl>
    <w:lvl w:ilvl="6" w:tplc="0E46E8F8">
      <w:start w:val="1"/>
      <w:numFmt w:val="bullet"/>
      <w:lvlText w:val=""/>
      <w:lvlJc w:val="left"/>
      <w:pPr>
        <w:ind w:left="5040" w:hanging="360"/>
      </w:pPr>
      <w:rPr>
        <w:rFonts w:ascii="Symbol" w:hAnsi="Symbol" w:hint="default"/>
      </w:rPr>
    </w:lvl>
    <w:lvl w:ilvl="7" w:tplc="0D1C4C6E">
      <w:start w:val="1"/>
      <w:numFmt w:val="bullet"/>
      <w:lvlText w:val="o"/>
      <w:lvlJc w:val="left"/>
      <w:pPr>
        <w:ind w:left="5760" w:hanging="360"/>
      </w:pPr>
      <w:rPr>
        <w:rFonts w:ascii="Courier New" w:hAnsi="Courier New" w:hint="default"/>
      </w:rPr>
    </w:lvl>
    <w:lvl w:ilvl="8" w:tplc="84960394">
      <w:start w:val="1"/>
      <w:numFmt w:val="bullet"/>
      <w:lvlText w:val=""/>
      <w:lvlJc w:val="left"/>
      <w:pPr>
        <w:ind w:left="6480"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1103C3A"/>
    <w:multiLevelType w:val="hybridMultilevel"/>
    <w:tmpl w:val="EBAE004E"/>
    <w:lvl w:ilvl="0" w:tplc="07C8DE68">
      <w:start w:val="1"/>
      <w:numFmt w:val="bullet"/>
      <w:lvlText w:val=""/>
      <w:lvlJc w:val="left"/>
      <w:pPr>
        <w:ind w:left="720" w:hanging="360"/>
      </w:pPr>
      <w:rPr>
        <w:rFonts w:ascii="Symbol" w:hAnsi="Symbol" w:hint="default"/>
      </w:rPr>
    </w:lvl>
    <w:lvl w:ilvl="1" w:tplc="D108C9CE">
      <w:start w:val="1"/>
      <w:numFmt w:val="bullet"/>
      <w:lvlText w:val="o"/>
      <w:lvlJc w:val="left"/>
      <w:pPr>
        <w:ind w:left="1440" w:hanging="360"/>
      </w:pPr>
      <w:rPr>
        <w:rFonts w:ascii="Courier New" w:hAnsi="Courier New" w:hint="default"/>
      </w:rPr>
    </w:lvl>
    <w:lvl w:ilvl="2" w:tplc="7F5A2C66">
      <w:start w:val="1"/>
      <w:numFmt w:val="bullet"/>
      <w:lvlText w:val=""/>
      <w:lvlJc w:val="left"/>
      <w:pPr>
        <w:ind w:left="2160" w:hanging="360"/>
      </w:pPr>
      <w:rPr>
        <w:rFonts w:ascii="Wingdings" w:hAnsi="Wingdings" w:hint="default"/>
      </w:rPr>
    </w:lvl>
    <w:lvl w:ilvl="3" w:tplc="AC98CD22">
      <w:start w:val="1"/>
      <w:numFmt w:val="bullet"/>
      <w:lvlText w:val=""/>
      <w:lvlJc w:val="left"/>
      <w:pPr>
        <w:ind w:left="2880" w:hanging="360"/>
      </w:pPr>
      <w:rPr>
        <w:rFonts w:ascii="Symbol" w:hAnsi="Symbol" w:hint="default"/>
      </w:rPr>
    </w:lvl>
    <w:lvl w:ilvl="4" w:tplc="3AD6833A">
      <w:start w:val="1"/>
      <w:numFmt w:val="bullet"/>
      <w:lvlText w:val="o"/>
      <w:lvlJc w:val="left"/>
      <w:pPr>
        <w:ind w:left="3600" w:hanging="360"/>
      </w:pPr>
      <w:rPr>
        <w:rFonts w:ascii="Courier New" w:hAnsi="Courier New" w:hint="default"/>
      </w:rPr>
    </w:lvl>
    <w:lvl w:ilvl="5" w:tplc="D12E4CBA">
      <w:start w:val="1"/>
      <w:numFmt w:val="bullet"/>
      <w:lvlText w:val=""/>
      <w:lvlJc w:val="left"/>
      <w:pPr>
        <w:ind w:left="4320" w:hanging="360"/>
      </w:pPr>
      <w:rPr>
        <w:rFonts w:ascii="Wingdings" w:hAnsi="Wingdings" w:hint="default"/>
      </w:rPr>
    </w:lvl>
    <w:lvl w:ilvl="6" w:tplc="EA3A7602">
      <w:start w:val="1"/>
      <w:numFmt w:val="bullet"/>
      <w:lvlText w:val=""/>
      <w:lvlJc w:val="left"/>
      <w:pPr>
        <w:ind w:left="5040" w:hanging="360"/>
      </w:pPr>
      <w:rPr>
        <w:rFonts w:ascii="Symbol" w:hAnsi="Symbol" w:hint="default"/>
      </w:rPr>
    </w:lvl>
    <w:lvl w:ilvl="7" w:tplc="B468A04C">
      <w:start w:val="1"/>
      <w:numFmt w:val="bullet"/>
      <w:lvlText w:val="o"/>
      <w:lvlJc w:val="left"/>
      <w:pPr>
        <w:ind w:left="5760" w:hanging="360"/>
      </w:pPr>
      <w:rPr>
        <w:rFonts w:ascii="Courier New" w:hAnsi="Courier New" w:hint="default"/>
      </w:rPr>
    </w:lvl>
    <w:lvl w:ilvl="8" w:tplc="10DE7EF6">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94E65"/>
    <w:rsid w:val="000B4E41"/>
    <w:rsid w:val="0012621C"/>
    <w:rsid w:val="001357E9"/>
    <w:rsid w:val="001373E2"/>
    <w:rsid w:val="00155DBD"/>
    <w:rsid w:val="00157379"/>
    <w:rsid w:val="0017087F"/>
    <w:rsid w:val="00183C48"/>
    <w:rsid w:val="001A5407"/>
    <w:rsid w:val="001B646A"/>
    <w:rsid w:val="001F29B7"/>
    <w:rsid w:val="00216AD5"/>
    <w:rsid w:val="0021756C"/>
    <w:rsid w:val="00253348"/>
    <w:rsid w:val="002A084A"/>
    <w:rsid w:val="002A1B77"/>
    <w:rsid w:val="002B498B"/>
    <w:rsid w:val="002B7641"/>
    <w:rsid w:val="002C3EEB"/>
    <w:rsid w:val="002C5C78"/>
    <w:rsid w:val="002D0A7F"/>
    <w:rsid w:val="002D37CF"/>
    <w:rsid w:val="002F07D8"/>
    <w:rsid w:val="00323B0E"/>
    <w:rsid w:val="00340BC8"/>
    <w:rsid w:val="00361C9F"/>
    <w:rsid w:val="003701F9"/>
    <w:rsid w:val="00385044"/>
    <w:rsid w:val="00386618"/>
    <w:rsid w:val="00386978"/>
    <w:rsid w:val="003C5A62"/>
    <w:rsid w:val="003D6ED8"/>
    <w:rsid w:val="003E2A55"/>
    <w:rsid w:val="003F7443"/>
    <w:rsid w:val="00437ECD"/>
    <w:rsid w:val="00463C04"/>
    <w:rsid w:val="00463DA7"/>
    <w:rsid w:val="004724B7"/>
    <w:rsid w:val="00474535"/>
    <w:rsid w:val="00475992"/>
    <w:rsid w:val="004A4B96"/>
    <w:rsid w:val="004B66E7"/>
    <w:rsid w:val="004C089D"/>
    <w:rsid w:val="004C17DC"/>
    <w:rsid w:val="004C282F"/>
    <w:rsid w:val="004C773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5F70D6"/>
    <w:rsid w:val="0061183E"/>
    <w:rsid w:val="00631345"/>
    <w:rsid w:val="0065072C"/>
    <w:rsid w:val="006718ED"/>
    <w:rsid w:val="00671C8B"/>
    <w:rsid w:val="00671E98"/>
    <w:rsid w:val="0068103F"/>
    <w:rsid w:val="00685C9A"/>
    <w:rsid w:val="00686870"/>
    <w:rsid w:val="006C0FC3"/>
    <w:rsid w:val="006D1E41"/>
    <w:rsid w:val="006E47F5"/>
    <w:rsid w:val="00700E63"/>
    <w:rsid w:val="0070131E"/>
    <w:rsid w:val="00711E17"/>
    <w:rsid w:val="00724905"/>
    <w:rsid w:val="00733FF1"/>
    <w:rsid w:val="00740FD7"/>
    <w:rsid w:val="007645A7"/>
    <w:rsid w:val="0078153E"/>
    <w:rsid w:val="007A4E1C"/>
    <w:rsid w:val="00807C45"/>
    <w:rsid w:val="00843C73"/>
    <w:rsid w:val="00851886"/>
    <w:rsid w:val="0085192A"/>
    <w:rsid w:val="00861927"/>
    <w:rsid w:val="0088653F"/>
    <w:rsid w:val="008B29DA"/>
    <w:rsid w:val="008C0D46"/>
    <w:rsid w:val="008D02FB"/>
    <w:rsid w:val="008E2677"/>
    <w:rsid w:val="008E76CF"/>
    <w:rsid w:val="008F652B"/>
    <w:rsid w:val="0091100A"/>
    <w:rsid w:val="00977648"/>
    <w:rsid w:val="00980616"/>
    <w:rsid w:val="00981FBE"/>
    <w:rsid w:val="009A2EC2"/>
    <w:rsid w:val="009B0BC4"/>
    <w:rsid w:val="009B3AE5"/>
    <w:rsid w:val="009E402C"/>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31FE5"/>
    <w:rsid w:val="00B53B4A"/>
    <w:rsid w:val="00B769D4"/>
    <w:rsid w:val="00B81F43"/>
    <w:rsid w:val="00B91252"/>
    <w:rsid w:val="00BC7930"/>
    <w:rsid w:val="00C0440A"/>
    <w:rsid w:val="00C05324"/>
    <w:rsid w:val="00C108E8"/>
    <w:rsid w:val="00C14F81"/>
    <w:rsid w:val="00C419F8"/>
    <w:rsid w:val="00C954D7"/>
    <w:rsid w:val="00CE4639"/>
    <w:rsid w:val="00D15C4A"/>
    <w:rsid w:val="00D36754"/>
    <w:rsid w:val="00D43F00"/>
    <w:rsid w:val="00D71A6C"/>
    <w:rsid w:val="00D7617E"/>
    <w:rsid w:val="00D862AE"/>
    <w:rsid w:val="00DD1240"/>
    <w:rsid w:val="00DF3C14"/>
    <w:rsid w:val="00E02924"/>
    <w:rsid w:val="00E417B7"/>
    <w:rsid w:val="00E60CA9"/>
    <w:rsid w:val="00E92D0A"/>
    <w:rsid w:val="00E94DD2"/>
    <w:rsid w:val="00EA75D6"/>
    <w:rsid w:val="00EB3269"/>
    <w:rsid w:val="00EB53F7"/>
    <w:rsid w:val="00EF6205"/>
    <w:rsid w:val="00F12721"/>
    <w:rsid w:val="00F23F96"/>
    <w:rsid w:val="00F25165"/>
    <w:rsid w:val="00F340F6"/>
    <w:rsid w:val="00F43751"/>
    <w:rsid w:val="00F52557"/>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799"/>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rastasiniatinklio">
    <w:name w:val="Normal (Web)"/>
    <w:basedOn w:val="prastasis"/>
    <w:uiPriority w:val="99"/>
    <w:semiHidden/>
    <w:unhideWhenUsed/>
    <w:rsid w:val="00463D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2842">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162694485">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694F-B352-4DFD-9217-09152D15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9307</Words>
  <Characters>5306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Dovilė Lebedinskienė</cp:lastModifiedBy>
  <cp:revision>3</cp:revision>
  <dcterms:created xsi:type="dcterms:W3CDTF">2025-07-08T14:08:00Z</dcterms:created>
  <dcterms:modified xsi:type="dcterms:W3CDTF">2025-07-10T08:04:00Z</dcterms:modified>
</cp:coreProperties>
</file>