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653B3132" w:rsidR="00753252" w:rsidRPr="006B7CE3" w:rsidRDefault="00B76A10">
            <w:pPr>
              <w:jc w:val="both"/>
              <w:rPr>
                <w:rFonts w:ascii="Cambria" w:hAnsi="Cambria"/>
                <w:b/>
                <w:kern w:val="2"/>
                <w:sz w:val="22"/>
                <w:szCs w:val="22"/>
              </w:rPr>
            </w:pPr>
            <w:r w:rsidRPr="00B76A10">
              <w:rPr>
                <w:rFonts w:ascii="Cambria" w:hAnsi="Cambria"/>
                <w:b/>
                <w:kern w:val="2"/>
                <w:sz w:val="22"/>
                <w:szCs w:val="22"/>
              </w:rPr>
              <w:t xml:space="preserve">Reagentai ir papildomos priemonės decentralizuotų kapiliarinės </w:t>
            </w:r>
            <w:proofErr w:type="spellStart"/>
            <w:r w:rsidRPr="00B76A10">
              <w:rPr>
                <w:rFonts w:ascii="Cambria" w:hAnsi="Cambria"/>
                <w:b/>
                <w:kern w:val="2"/>
                <w:sz w:val="22"/>
                <w:szCs w:val="22"/>
              </w:rPr>
              <w:t>glikemijos</w:t>
            </w:r>
            <w:proofErr w:type="spellEnd"/>
            <w:r w:rsidRPr="00B76A10">
              <w:rPr>
                <w:rFonts w:ascii="Cambria" w:hAnsi="Cambria"/>
                <w:b/>
                <w:kern w:val="2"/>
                <w:sz w:val="22"/>
                <w:szCs w:val="22"/>
              </w:rPr>
              <w:t xml:space="preserve"> tyrimų atlikimui kartu su įrangos įsigijimu panaudos būdu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55C9DC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B76A10">
              <w:rPr>
                <w:rFonts w:ascii="Cambria" w:hAnsi="Cambria"/>
                <w:b/>
                <w:kern w:val="2"/>
                <w:sz w:val="22"/>
                <w:szCs w:val="22"/>
              </w:rPr>
              <w:t>r</w:t>
            </w:r>
            <w:r w:rsidR="00B76A10" w:rsidRPr="00B76A10">
              <w:rPr>
                <w:rFonts w:ascii="Cambria" w:hAnsi="Cambria"/>
                <w:b/>
                <w:kern w:val="2"/>
                <w:sz w:val="22"/>
                <w:szCs w:val="22"/>
              </w:rPr>
              <w:t>eagent</w:t>
            </w:r>
            <w:r w:rsidR="00B76A10">
              <w:rPr>
                <w:rFonts w:ascii="Cambria" w:hAnsi="Cambria"/>
                <w:b/>
                <w:kern w:val="2"/>
                <w:sz w:val="22"/>
                <w:szCs w:val="22"/>
              </w:rPr>
              <w:t>us</w:t>
            </w:r>
            <w:r w:rsidR="00B76A10" w:rsidRPr="00B76A10">
              <w:rPr>
                <w:rFonts w:ascii="Cambria" w:hAnsi="Cambria"/>
                <w:b/>
                <w:kern w:val="2"/>
                <w:sz w:val="22"/>
                <w:szCs w:val="22"/>
              </w:rPr>
              <w:t xml:space="preserve"> ir papildom</w:t>
            </w:r>
            <w:r w:rsidR="00B76A10">
              <w:rPr>
                <w:rFonts w:ascii="Cambria" w:hAnsi="Cambria"/>
                <w:b/>
                <w:kern w:val="2"/>
                <w:sz w:val="22"/>
                <w:szCs w:val="22"/>
              </w:rPr>
              <w:t>a</w:t>
            </w:r>
            <w:r w:rsidR="00B76A10" w:rsidRPr="00B76A10">
              <w:rPr>
                <w:rFonts w:ascii="Cambria" w:hAnsi="Cambria"/>
                <w:b/>
                <w:kern w:val="2"/>
                <w:sz w:val="22"/>
                <w:szCs w:val="22"/>
              </w:rPr>
              <w:t>s priemon</w:t>
            </w:r>
            <w:r w:rsidR="00B76A10">
              <w:rPr>
                <w:rFonts w:ascii="Cambria" w:hAnsi="Cambria"/>
                <w:b/>
                <w:kern w:val="2"/>
                <w:sz w:val="22"/>
                <w:szCs w:val="22"/>
              </w:rPr>
              <w:t>e</w:t>
            </w:r>
            <w:r w:rsidR="00B76A10" w:rsidRPr="00B76A10">
              <w:rPr>
                <w:rFonts w:ascii="Cambria" w:hAnsi="Cambria"/>
                <w:b/>
                <w:kern w:val="2"/>
                <w:sz w:val="22"/>
                <w:szCs w:val="22"/>
              </w:rPr>
              <w:t xml:space="preserve">s decentralizuotų kapiliarinės </w:t>
            </w:r>
            <w:proofErr w:type="spellStart"/>
            <w:r w:rsidR="00B76A10" w:rsidRPr="00B76A10">
              <w:rPr>
                <w:rFonts w:ascii="Cambria" w:hAnsi="Cambria"/>
                <w:b/>
                <w:kern w:val="2"/>
                <w:sz w:val="22"/>
                <w:szCs w:val="22"/>
              </w:rPr>
              <w:t>glikemijos</w:t>
            </w:r>
            <w:proofErr w:type="spellEnd"/>
            <w:r w:rsidR="00B76A10" w:rsidRPr="00B76A10">
              <w:rPr>
                <w:rFonts w:ascii="Cambria" w:hAnsi="Cambria"/>
                <w:b/>
                <w:kern w:val="2"/>
                <w:sz w:val="22"/>
                <w:szCs w:val="22"/>
              </w:rPr>
              <w:t xml:space="preserve"> tyrimų atlikimui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474AAC2" w:rsidR="00753252" w:rsidRPr="006B7CE3" w:rsidRDefault="00B76A10" w:rsidP="00775C8F">
            <w:pPr>
              <w:jc w:val="both"/>
              <w:rPr>
                <w:rFonts w:ascii="Cambria" w:hAnsi="Cambria"/>
                <w:i/>
                <w:kern w:val="2"/>
                <w:sz w:val="22"/>
                <w:szCs w:val="22"/>
              </w:rPr>
            </w:pPr>
            <w:r w:rsidRPr="00B76A10">
              <w:rPr>
                <w:rFonts w:ascii="Cambria" w:hAnsi="Cambria"/>
                <w:kern w:val="2"/>
                <w:sz w:val="22"/>
                <w:szCs w:val="22"/>
              </w:rPr>
              <w:t xml:space="preserve">Reagentai ir papildomos priemonės decentralizuotų kapiliarinės </w:t>
            </w:r>
            <w:proofErr w:type="spellStart"/>
            <w:r w:rsidRPr="00B76A10">
              <w:rPr>
                <w:rFonts w:ascii="Cambria" w:hAnsi="Cambria"/>
                <w:kern w:val="2"/>
                <w:sz w:val="22"/>
                <w:szCs w:val="22"/>
              </w:rPr>
              <w:t>glikemijos</w:t>
            </w:r>
            <w:proofErr w:type="spellEnd"/>
            <w:r w:rsidRPr="00B76A10">
              <w:rPr>
                <w:rFonts w:ascii="Cambria" w:hAnsi="Cambria"/>
                <w:kern w:val="2"/>
                <w:sz w:val="22"/>
                <w:szCs w:val="22"/>
              </w:rPr>
              <w:t xml:space="preserve"> tyrimų atlikimui kartu su įrangos įsigijimu panaudos būdu  </w:t>
            </w:r>
            <w:r w:rsidR="00AE60A7"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3E3798D5" w14:textId="7DF72667" w:rsidR="00B76A10" w:rsidRDefault="002A5AAF" w:rsidP="00775C8F">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3E6F88" w:rsidRPr="003E6F88">
              <w:rPr>
                <w:rFonts w:ascii="Cambria" w:hAnsi="Cambria"/>
                <w:kern w:val="2"/>
                <w:sz w:val="22"/>
                <w:szCs w:val="22"/>
              </w:rPr>
              <w:t>Naudojimo instrukcija (vartotojo vadovas)  kartu su kiekvienu analizatoriumi lietuvių ir anglų kalbomis spausdinta forma</w:t>
            </w:r>
            <w:r w:rsidR="003E6F88">
              <w:rPr>
                <w:rFonts w:ascii="Cambria" w:hAnsi="Cambria"/>
                <w:kern w:val="2"/>
                <w:sz w:val="22"/>
                <w:szCs w:val="22"/>
              </w:rPr>
              <w:t xml:space="preserve">, </w:t>
            </w:r>
            <w:r w:rsidR="003E6F88" w:rsidRPr="003E6F88">
              <w:rPr>
                <w:rFonts w:ascii="Cambria" w:hAnsi="Cambria"/>
                <w:kern w:val="2"/>
                <w:sz w:val="22"/>
                <w:szCs w:val="22"/>
              </w:rPr>
              <w:t>detal</w:t>
            </w:r>
            <w:r w:rsidR="003E6F88">
              <w:rPr>
                <w:rFonts w:ascii="Cambria" w:hAnsi="Cambria"/>
                <w:kern w:val="2"/>
                <w:sz w:val="22"/>
                <w:szCs w:val="22"/>
              </w:rPr>
              <w:t>us</w:t>
            </w:r>
            <w:r w:rsidR="003E6F88" w:rsidRPr="003E6F88">
              <w:rPr>
                <w:rFonts w:ascii="Cambria" w:hAnsi="Cambria"/>
                <w:kern w:val="2"/>
                <w:sz w:val="22"/>
                <w:szCs w:val="22"/>
              </w:rPr>
              <w:t xml:space="preserve"> Sistemos atliekamų tyrimų sąraš</w:t>
            </w:r>
            <w:r w:rsidR="003E6F88">
              <w:rPr>
                <w:rFonts w:ascii="Cambria" w:hAnsi="Cambria"/>
                <w:kern w:val="2"/>
                <w:sz w:val="22"/>
                <w:szCs w:val="22"/>
              </w:rPr>
              <w:t>as</w:t>
            </w:r>
            <w:r w:rsidR="003E6F88" w:rsidRPr="003E6F88">
              <w:rPr>
                <w:rFonts w:ascii="Cambria" w:hAnsi="Cambria"/>
                <w:kern w:val="2"/>
                <w:sz w:val="22"/>
                <w:szCs w:val="22"/>
              </w:rPr>
              <w:t xml:space="preserve"> su nurodytais tyrimų (jei tyrimai susideda iš daugiau nei vienos analitės, taip pat ir analičių) kodais, pavadinimais ir kitais duomenimis</w:t>
            </w:r>
            <w:r w:rsidR="003E6F88">
              <w:rPr>
                <w:rFonts w:ascii="Cambria" w:hAnsi="Cambria"/>
                <w:kern w:val="2"/>
                <w:sz w:val="22"/>
                <w:szCs w:val="22"/>
              </w:rPr>
              <w:t xml:space="preserve">, </w:t>
            </w:r>
            <w:r w:rsidR="003E6F88" w:rsidRPr="003E6F88">
              <w:rPr>
                <w:rFonts w:ascii="Cambria" w:hAnsi="Cambria"/>
                <w:kern w:val="2"/>
                <w:sz w:val="22"/>
                <w:szCs w:val="22"/>
              </w:rPr>
              <w:t>Tyrimo metodika, reagentų, kontrolinių medžiagų  aprašymai anglų ir lietuvių kalbomis spausdinta forma</w:t>
            </w:r>
            <w:r w:rsidR="003E6F88">
              <w:rPr>
                <w:rFonts w:ascii="Cambria" w:hAnsi="Cambria"/>
                <w:kern w:val="2"/>
                <w:sz w:val="22"/>
                <w:szCs w:val="22"/>
              </w:rPr>
              <w:t>.</w:t>
            </w:r>
          </w:p>
          <w:p w14:paraId="3BFF66E8" w14:textId="59F913B9" w:rsidR="00B8655F" w:rsidRDefault="00B8655F" w:rsidP="00775C8F">
            <w:pPr>
              <w:jc w:val="both"/>
              <w:rPr>
                <w:rFonts w:ascii="Cambria" w:hAnsi="Cambria"/>
                <w:kern w:val="2"/>
                <w:sz w:val="22"/>
                <w:szCs w:val="22"/>
              </w:rPr>
            </w:pPr>
            <w:r w:rsidRPr="00B8655F">
              <w:rPr>
                <w:rFonts w:ascii="Cambria" w:hAnsi="Cambria"/>
                <w:kern w:val="2"/>
                <w:sz w:val="22"/>
                <w:szCs w:val="22"/>
              </w:rPr>
              <w:t>Atskiru Pirkėjo pareikalavimu turi būti pateiktos galiojančių dokumentų, liudijančių sistemą sudarančių analizatorių ir reagentų CE sertifikavimą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 xml:space="preserve">jeigu Vartojimo </w:t>
            </w:r>
            <w:r w:rsidRPr="00BE6893">
              <w:rPr>
                <w:rFonts w:ascii="Cambria" w:hAnsi="Cambria"/>
                <w:sz w:val="22"/>
                <w:szCs w:val="22"/>
              </w:rPr>
              <w:lastRenderedPageBreak/>
              <w:t>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3E6F88"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xml:space="preserve">. Prašyme Šalis neturi teisės nurodyti </w:t>
            </w:r>
            <w:r w:rsidRPr="00BE6893">
              <w:rPr>
                <w:rFonts w:ascii="Cambria" w:hAnsi="Cambria"/>
                <w:color w:val="000000"/>
                <w:kern w:val="2"/>
                <w:sz w:val="22"/>
                <w:szCs w:val="22"/>
                <w:shd w:val="clear" w:color="auto" w:fill="FFFFFF"/>
              </w:rPr>
              <w:lastRenderedPageBreak/>
              <w:t>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visą panaudos sutarties galiojimo terminą.</w:t>
            </w:r>
            <w:r w:rsidRPr="003E6F88">
              <w:rPr>
                <w:rFonts w:ascii="Cambria" w:hAnsi="Cambria" w:cstheme="majorHAnsi"/>
                <w:kern w:val="2"/>
                <w:sz w:val="22"/>
                <w:szCs w:val="22"/>
              </w:rPr>
              <w:t xml:space="preserve"> </w:t>
            </w:r>
          </w:p>
          <w:p w14:paraId="1AD73BAD" w14:textId="77777777"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panaudos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69D35CF6"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įsipareigoja tiekti reagentus, kurių galiojimas būtų ne trumpesnis kaip </w:t>
            </w:r>
            <w:r w:rsidRPr="003E6F88">
              <w:rPr>
                <w:rFonts w:ascii="Cambria" w:hAnsi="Cambria" w:cstheme="majorHAnsi"/>
                <w:b/>
                <w:kern w:val="2"/>
                <w:sz w:val="22"/>
                <w:szCs w:val="22"/>
              </w:rPr>
              <w:t xml:space="preserve">6 (šeši)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AFB162" w14:textId="77777777" w:rsidR="003E6F88" w:rsidRPr="003E6F88" w:rsidRDefault="003E6F88" w:rsidP="003E6F88">
            <w:pPr>
              <w:jc w:val="both"/>
              <w:rPr>
                <w:rFonts w:ascii="Cambria" w:hAnsi="Cambria" w:cstheme="majorHAnsi"/>
                <w:color w:val="000000" w:themeColor="text1"/>
                <w:sz w:val="22"/>
                <w:szCs w:val="22"/>
              </w:rPr>
            </w:pPr>
            <w:r w:rsidRPr="003E6F88">
              <w:rPr>
                <w:rFonts w:ascii="Cambria" w:hAnsi="Cambria" w:cstheme="majorHAnsi"/>
                <w:color w:val="000000" w:themeColor="text1"/>
                <w:sz w:val="22"/>
                <w:szCs w:val="22"/>
              </w:rPr>
              <w:t xml:space="preserve">Tiekėjas savo sąskaita  turi užtikrinti sistemos įrangos (aparatūrinės ir programinės) nepertraukiamą techninį aptarnavimą  bei nenutrūkstamą veikimą ir tinkamą funkcionavimą sutarties galiojimo laikotarpiu.  </w:t>
            </w:r>
          </w:p>
          <w:p w14:paraId="0334BA59" w14:textId="77777777" w:rsidR="003E6F88" w:rsidRPr="003E6F88" w:rsidRDefault="003E6F88" w:rsidP="003E6F88">
            <w:pPr>
              <w:jc w:val="both"/>
              <w:rPr>
                <w:rFonts w:ascii="Cambria" w:hAnsi="Cambria" w:cstheme="majorHAnsi"/>
                <w:color w:val="000000" w:themeColor="text1"/>
                <w:sz w:val="22"/>
                <w:szCs w:val="22"/>
              </w:rPr>
            </w:pPr>
            <w:r w:rsidRPr="003E6F88">
              <w:rPr>
                <w:rFonts w:ascii="Cambria" w:hAnsi="Cambria" w:cstheme="majorHAnsi"/>
                <w:color w:val="000000" w:themeColor="text1"/>
                <w:sz w:val="22"/>
                <w:szCs w:val="22"/>
              </w:rPr>
              <w:t xml:space="preserve">Gavus pranešimą apie sistemos įrangos gedimą/veiklos sutrikimą, tiekėjas nedelsiant turi prisijungti prie sistemos ir pašalinti sutrikimus nuotoliniu būdu (reikalavimas netaikomas tuo atveju, jei Sistema neturi nuotolinio serviso priežiūros modulio). Nepavykus/nesant galimybės  pašalinti gedimo nuotoliniu būdu, į Kauno klinikas per 4 val. turi atvykti reikiamą kvalifikaciją turintis darbuotojas ir visiškai pašalinti gedimą arba kitaip užtikrinti sistemos darbą. Visiškai pašalinti sistemos gedimą turi per 24 valandas, o nesant galimybės pašalinti gedimą per 24 val. tiekėjas privalo sugedusią (netinkamai veikiančią) </w:t>
            </w:r>
            <w:r w:rsidRPr="003E6F88">
              <w:rPr>
                <w:rFonts w:ascii="Cambria" w:hAnsi="Cambria" w:cstheme="majorHAnsi"/>
                <w:color w:val="000000" w:themeColor="text1"/>
                <w:sz w:val="22"/>
                <w:szCs w:val="22"/>
              </w:rPr>
              <w:lastRenderedPageBreak/>
              <w:t xml:space="preserve">įrangą laikinai pakeisti lygiaverte arba kitokiu būdu sudaryti sąlygas kokybiškai ir </w:t>
            </w:r>
            <w:proofErr w:type="spellStart"/>
            <w:r w:rsidRPr="003E6F88">
              <w:rPr>
                <w:rFonts w:ascii="Cambria" w:hAnsi="Cambria" w:cstheme="majorHAnsi"/>
                <w:color w:val="000000" w:themeColor="text1"/>
                <w:sz w:val="22"/>
                <w:szCs w:val="22"/>
              </w:rPr>
              <w:t>savalaikiškai</w:t>
            </w:r>
            <w:proofErr w:type="spellEnd"/>
            <w:r w:rsidRPr="003E6F88">
              <w:rPr>
                <w:rFonts w:ascii="Cambria" w:hAnsi="Cambria" w:cstheme="majorHAnsi"/>
                <w:color w:val="000000" w:themeColor="text1"/>
                <w:sz w:val="22"/>
                <w:szCs w:val="22"/>
              </w:rPr>
              <w:t xml:space="preserve"> atlikti tyrimus.</w:t>
            </w:r>
          </w:p>
          <w:p w14:paraId="004934D1" w14:textId="440A71B2"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Visiškai pašalinti gedimą turi per 24 valandas, o nesant galimybės pašalinti gedimo per 24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w:t>
            </w:r>
            <w:r w:rsidRPr="006B7CE3">
              <w:rPr>
                <w:rFonts w:ascii="Cambria" w:hAnsi="Cambria"/>
                <w:b/>
                <w:bCs/>
                <w:kern w:val="2"/>
                <w:sz w:val="22"/>
                <w:szCs w:val="22"/>
              </w:rPr>
              <w:lastRenderedPageBreak/>
              <w:t xml:space="preserve">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59EFE1A"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Pr>
                <w:rFonts w:ascii="Cambria" w:hAnsi="Cambria"/>
                <w:color w:val="000000"/>
                <w:kern w:val="2"/>
                <w:sz w:val="22"/>
                <w:szCs w:val="22"/>
              </w:rPr>
              <w:t>3</w:t>
            </w:r>
            <w:r>
              <w:rPr>
                <w:rFonts w:ascii="Cambria" w:hAnsi="Cambria"/>
                <w:b/>
                <w:color w:val="000000"/>
                <w:kern w:val="2"/>
                <w:sz w:val="22"/>
                <w:szCs w:val="22"/>
              </w:rPr>
              <w:t>6</w:t>
            </w:r>
            <w:r w:rsidRPr="006B7CE3">
              <w:rPr>
                <w:rFonts w:ascii="Cambria" w:hAnsi="Cambria"/>
                <w:b/>
                <w:color w:val="000000"/>
                <w:kern w:val="2"/>
                <w:sz w:val="22"/>
                <w:szCs w:val="22"/>
              </w:rPr>
              <w:t xml:space="preserve"> (</w:t>
            </w:r>
            <w:r>
              <w:rPr>
                <w:rFonts w:ascii="Cambria" w:hAnsi="Cambria"/>
                <w:b/>
                <w:color w:val="000000"/>
                <w:kern w:val="2"/>
                <w:sz w:val="22"/>
                <w:szCs w:val="22"/>
              </w:rPr>
              <w:t>trisdešimt šeši</w:t>
            </w:r>
            <w:r w:rsidRPr="006B7CE3">
              <w:rPr>
                <w:rFonts w:ascii="Cambria" w:hAnsi="Cambria"/>
                <w:b/>
                <w:color w:val="000000"/>
                <w:kern w:val="2"/>
                <w:sz w:val="22"/>
                <w:szCs w:val="22"/>
              </w:rPr>
              <w:t>) mėnesiai.</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w:t>
            </w:r>
            <w:r w:rsidRPr="0015459F">
              <w:rPr>
                <w:rFonts w:ascii="Cambria" w:hAnsi="Cambria"/>
                <w:color w:val="000000"/>
                <w:kern w:val="2"/>
                <w:sz w:val="22"/>
                <w:szCs w:val="22"/>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111F46CD" w:rsidR="006B7CE3" w:rsidRDefault="006B7CE3">
      <w:pPr>
        <w:rPr>
          <w:rFonts w:ascii="Cambria" w:hAnsi="Cambria"/>
          <w:sz w:val="22"/>
          <w:szCs w:val="22"/>
        </w:rPr>
      </w:pPr>
    </w:p>
    <w:p w14:paraId="77EBE5A3" w14:textId="2FD58847" w:rsidR="009F0071" w:rsidRDefault="009F0071">
      <w:pPr>
        <w:rPr>
          <w:rFonts w:ascii="Cambria" w:hAnsi="Cambria"/>
          <w:sz w:val="22"/>
          <w:szCs w:val="22"/>
        </w:rPr>
      </w:pPr>
    </w:p>
    <w:p w14:paraId="2DD9D6CC" w14:textId="19122322" w:rsidR="009F0071" w:rsidRDefault="009F0071">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9F0071">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9F0071">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9F0071">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9F0071">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3C7E5CF1" w14:textId="4468664C" w:rsidR="002D632C" w:rsidRPr="009F0071" w:rsidRDefault="001B46DE" w:rsidP="009F0071">
      <w:pPr>
        <w:numPr>
          <w:ilvl w:val="2"/>
          <w:numId w:val="4"/>
        </w:numPr>
        <w:tabs>
          <w:tab w:val="left" w:pos="1134"/>
          <w:tab w:val="left" w:pos="1276"/>
          <w:tab w:val="left" w:pos="1418"/>
        </w:tabs>
        <w:suppressAutoHyphens/>
        <w:ind w:left="0" w:firstLine="851"/>
        <w:jc w:val="both"/>
        <w:rPr>
          <w:rFonts w:ascii="Cambria" w:hAnsi="Cambria"/>
          <w:sz w:val="22"/>
          <w:szCs w:val="22"/>
        </w:rPr>
      </w:pPr>
      <w:r w:rsidRPr="009F0071">
        <w:rPr>
          <w:rFonts w:ascii="Cambria" w:hAnsi="Cambria"/>
          <w:sz w:val="22"/>
          <w:szCs w:val="22"/>
        </w:rPr>
        <w:t xml:space="preserve">Panaudos davėjas </w:t>
      </w:r>
      <w:r w:rsidR="009F0071" w:rsidRPr="009F0071">
        <w:rPr>
          <w:rFonts w:ascii="Cambria" w:hAnsi="Cambria"/>
          <w:sz w:val="22"/>
          <w:szCs w:val="22"/>
        </w:rPr>
        <w:t xml:space="preserve">savo sąskaita  turi užtikrinti sistemos įrangos (aparatūrinės ir programinės) nepertraukiamą techninį aptarnavimą  bei nenutrūkstamą veikimą ir tinkamą funkcionavimą sutarties galiojimo laikotarpiu.  Gavus pranešimą apie sistemos įrangos gedimą/veiklos sutrikimą, </w:t>
      </w:r>
      <w:r w:rsidR="009F0071">
        <w:rPr>
          <w:rFonts w:ascii="Cambria" w:hAnsi="Cambria"/>
          <w:sz w:val="22"/>
          <w:szCs w:val="22"/>
        </w:rPr>
        <w:t>Panaudos davėjas</w:t>
      </w:r>
      <w:r w:rsidR="009F0071" w:rsidRPr="009F0071">
        <w:rPr>
          <w:rFonts w:ascii="Cambria" w:hAnsi="Cambria"/>
          <w:sz w:val="22"/>
          <w:szCs w:val="22"/>
        </w:rPr>
        <w:t xml:space="preserve"> nedelsiant turi prisijungti prie sistemos ir pašalinti sutrikimus nuotoliniu būdu (reikalavimas netaikomas tuo atveju, jei Sistema neturi nuotolinio serviso priežiūros modulio). Nepavykus/nesant galimybės  pašalinti gedimo nuotoliniu būdu, į Kauno klinikas per 4 val. turi atvykti reikiamą kvalifikaciją turintis darbuotojas ir visiškai pašalinti gedimą arba kitaip užtikrinti sistemos darbą. </w:t>
      </w:r>
      <w:r w:rsidR="009F0071" w:rsidRPr="009F0071">
        <w:rPr>
          <w:rFonts w:ascii="Cambria" w:hAnsi="Cambria"/>
          <w:sz w:val="22"/>
          <w:szCs w:val="22"/>
        </w:rPr>
        <w:lastRenderedPageBreak/>
        <w:t xml:space="preserve">Visiškai pašalinti sistemos gedimą turi per 24 valandas, o nesant galimybės pašalinti gedimą per 24 val. </w:t>
      </w:r>
      <w:r w:rsidR="009F0071">
        <w:rPr>
          <w:rFonts w:ascii="Cambria" w:hAnsi="Cambria"/>
          <w:sz w:val="22"/>
          <w:szCs w:val="22"/>
        </w:rPr>
        <w:t>Panaudos davėjas</w:t>
      </w:r>
      <w:r w:rsidR="009F0071" w:rsidRPr="009F0071">
        <w:rPr>
          <w:rFonts w:ascii="Cambria" w:hAnsi="Cambria"/>
          <w:sz w:val="22"/>
          <w:szCs w:val="22"/>
        </w:rPr>
        <w:t xml:space="preserve"> privalo sugedusią (netinkamai veikiančią) įrangą laikinai pakeisti lygiaverte arba kitokiu būdu sudaryti sąlygas kokybiškai ir </w:t>
      </w:r>
      <w:proofErr w:type="spellStart"/>
      <w:r w:rsidR="009F0071" w:rsidRPr="009F0071">
        <w:rPr>
          <w:rFonts w:ascii="Cambria" w:hAnsi="Cambria"/>
          <w:sz w:val="22"/>
          <w:szCs w:val="22"/>
        </w:rPr>
        <w:t>savalaikiškai</w:t>
      </w:r>
      <w:proofErr w:type="spellEnd"/>
      <w:r w:rsidR="009F0071" w:rsidRPr="009F0071">
        <w:rPr>
          <w:rFonts w:ascii="Cambria" w:hAnsi="Cambria"/>
          <w:sz w:val="22"/>
          <w:szCs w:val="22"/>
        </w:rPr>
        <w:t xml:space="preserve"> atlikti tyrimus</w:t>
      </w:r>
      <w:r w:rsidR="009F0071">
        <w:rPr>
          <w:rFonts w:ascii="Cambria" w:hAnsi="Cambria"/>
          <w:sz w:val="22"/>
          <w:szCs w:val="22"/>
        </w:rPr>
        <w:t>.</w:t>
      </w:r>
      <w:bookmarkStart w:id="0" w:name="_GoBack"/>
      <w:bookmarkEnd w:id="0"/>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0D936C4A"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9F0071">
        <w:rPr>
          <w:rFonts w:ascii="Cambria" w:eastAsia="Times New Roman" w:hAnsi="Cambria" w:cs="Times New Roman"/>
          <w:lang w:val="lt-LT"/>
        </w:rPr>
        <w:t>3</w:t>
      </w:r>
      <w:r w:rsidR="002D632C">
        <w:rPr>
          <w:rFonts w:ascii="Cambria" w:eastAsia="Times New Roman" w:hAnsi="Cambria" w:cs="Times New Roman"/>
          <w:b/>
          <w:lang w:val="lt-LT"/>
        </w:rPr>
        <w:t>6</w:t>
      </w:r>
      <w:r w:rsidRPr="006B7CE3">
        <w:rPr>
          <w:rFonts w:ascii="Cambria" w:hAnsi="Cambria"/>
          <w:b/>
          <w:lang w:val="lt-LT" w:eastAsia="lt-LT"/>
        </w:rPr>
        <w:t xml:space="preserve"> (</w:t>
      </w:r>
      <w:r w:rsidR="009F0071">
        <w:rPr>
          <w:rFonts w:ascii="Cambria" w:hAnsi="Cambria"/>
          <w:b/>
          <w:lang w:val="lt-LT" w:eastAsia="lt-LT"/>
        </w:rPr>
        <w:t xml:space="preserve">trisdešimt </w:t>
      </w:r>
      <w:r w:rsidR="002D632C">
        <w:rPr>
          <w:rFonts w:ascii="Cambria" w:hAnsi="Cambria"/>
          <w:b/>
          <w:lang w:val="lt-LT" w:eastAsia="lt-LT"/>
        </w:rPr>
        <w:t>šešis</w:t>
      </w:r>
      <w:r w:rsidRPr="006B7CE3">
        <w:rPr>
          <w:rFonts w:ascii="Cambria" w:hAnsi="Cambria"/>
          <w:b/>
          <w:lang w:val="lt-LT" w:eastAsia="lt-LT"/>
        </w:rPr>
        <w:t>) mėnesi</w:t>
      </w:r>
      <w:r w:rsidR="002D632C">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C76F" w14:textId="77777777" w:rsidR="00E443AB" w:rsidRDefault="00E443AB">
      <w:r>
        <w:separator/>
      </w:r>
    </w:p>
  </w:endnote>
  <w:endnote w:type="continuationSeparator" w:id="0">
    <w:p w14:paraId="075EF5E7" w14:textId="77777777" w:rsidR="00E443AB" w:rsidRDefault="00E4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B76A10" w:rsidRDefault="00B76A1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B76A10" w:rsidRDefault="00B76A1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B76A10" w:rsidRDefault="00B76A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0A3C" w14:textId="77777777" w:rsidR="00E443AB" w:rsidRDefault="00E443AB">
      <w:r>
        <w:separator/>
      </w:r>
    </w:p>
  </w:footnote>
  <w:footnote w:type="continuationSeparator" w:id="0">
    <w:p w14:paraId="27FD7A4C" w14:textId="77777777" w:rsidR="00E443AB" w:rsidRDefault="00E4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B76A10" w:rsidRDefault="00B76A1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B76A10" w:rsidRDefault="00B76A1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B76A10" w:rsidRDefault="00B76A1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9F0071"/>
    <w:rsid w:val="00A73E04"/>
    <w:rsid w:val="00AB2F53"/>
    <w:rsid w:val="00AE60A7"/>
    <w:rsid w:val="00B76A10"/>
    <w:rsid w:val="00B837E5"/>
    <w:rsid w:val="00B8655F"/>
    <w:rsid w:val="00B86E07"/>
    <w:rsid w:val="00BF7C8E"/>
    <w:rsid w:val="00C33335"/>
    <w:rsid w:val="00C35BB8"/>
    <w:rsid w:val="00C44973"/>
    <w:rsid w:val="00C76239"/>
    <w:rsid w:val="00C76C77"/>
    <w:rsid w:val="00CA4ED2"/>
    <w:rsid w:val="00CB3DA8"/>
    <w:rsid w:val="00CB3DDE"/>
    <w:rsid w:val="00CF344E"/>
    <w:rsid w:val="00D66827"/>
    <w:rsid w:val="00D66BA3"/>
    <w:rsid w:val="00D72C56"/>
    <w:rsid w:val="00D90295"/>
    <w:rsid w:val="00DE7627"/>
    <w:rsid w:val="00DF7ACC"/>
    <w:rsid w:val="00E17CC3"/>
    <w:rsid w:val="00E213E9"/>
    <w:rsid w:val="00E276C6"/>
    <w:rsid w:val="00E27FB8"/>
    <w:rsid w:val="00E443AB"/>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22896</Words>
  <Characters>13051</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14</cp:revision>
  <dcterms:created xsi:type="dcterms:W3CDTF">2025-05-14T11:21:00Z</dcterms:created>
  <dcterms:modified xsi:type="dcterms:W3CDTF">2025-07-09T06:14:00Z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