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43B7B85D"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196224057"/>
      <w:r w:rsidR="006C334B" w:rsidRPr="006C334B">
        <w:rPr>
          <w:rFonts w:ascii="Times New Roman" w:eastAsia="Times New Roman" w:hAnsi="Times New Roman" w:cs="Times New Roman"/>
          <w:b/>
          <w:bCs/>
          <w:spacing w:val="0"/>
          <w:kern w:val="0"/>
          <w:sz w:val="24"/>
          <w:szCs w:val="24"/>
        </w:rPr>
        <w:t xml:space="preserve">BŪSTO PRITAIKYMO NEĮGALIESIEMS DARBŲ </w:t>
      </w:r>
      <w:bookmarkEnd w:id="0"/>
      <w:r w:rsidR="00694912" w:rsidRPr="00694912">
        <w:rPr>
          <w:rFonts w:ascii="Times New Roman" w:eastAsia="Times New Roman" w:hAnsi="Times New Roman" w:cs="Times New Roman"/>
          <w:b/>
          <w:bCs/>
          <w:spacing w:val="0"/>
          <w:kern w:val="0"/>
          <w:sz w:val="24"/>
          <w:szCs w:val="24"/>
        </w:rPr>
        <w:t>(ARCHITEKTŲ G. 2-1, PABRADĖS M., ŠVENČIONIŲ R. SAV.)</w:t>
      </w:r>
      <w:r w:rsidR="00694912" w:rsidRPr="00694912">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7357"/>
        <w:gridCol w:w="1701"/>
      </w:tblGrid>
      <w:tr w:rsidR="00694912" w:rsidRPr="008F4B65" w14:paraId="24CC024F" w14:textId="77777777" w:rsidTr="00694912">
        <w:tc>
          <w:tcPr>
            <w:tcW w:w="576" w:type="dxa"/>
          </w:tcPr>
          <w:p w14:paraId="22F5423F" w14:textId="77777777" w:rsidR="00694912" w:rsidRPr="008F4B65" w:rsidRDefault="00694912" w:rsidP="008F4B65">
            <w:pPr>
              <w:spacing w:after="0" w:line="240" w:lineRule="auto"/>
              <w:jc w:val="center"/>
              <w:rPr>
                <w:szCs w:val="24"/>
              </w:rPr>
            </w:pPr>
            <w:r w:rsidRPr="008F4B65">
              <w:rPr>
                <w:szCs w:val="24"/>
              </w:rPr>
              <w:t>Eil. Nr.</w:t>
            </w:r>
          </w:p>
        </w:tc>
        <w:tc>
          <w:tcPr>
            <w:tcW w:w="7357" w:type="dxa"/>
          </w:tcPr>
          <w:p w14:paraId="35FB1D8A" w14:textId="77777777" w:rsidR="00694912" w:rsidRPr="008F4B65" w:rsidRDefault="00694912" w:rsidP="008F4B65">
            <w:pPr>
              <w:spacing w:after="0" w:line="240" w:lineRule="auto"/>
              <w:jc w:val="center"/>
              <w:rPr>
                <w:szCs w:val="24"/>
              </w:rPr>
            </w:pPr>
            <w:r w:rsidRPr="008F4B65">
              <w:rPr>
                <w:szCs w:val="24"/>
              </w:rPr>
              <w:t>Darbų pavadinimas</w:t>
            </w:r>
          </w:p>
        </w:tc>
        <w:tc>
          <w:tcPr>
            <w:tcW w:w="1701" w:type="dxa"/>
          </w:tcPr>
          <w:p w14:paraId="7DA908E0" w14:textId="77777777" w:rsidR="00694912" w:rsidRPr="008F4B65" w:rsidRDefault="00694912" w:rsidP="008F4B65">
            <w:pPr>
              <w:spacing w:after="0" w:line="240" w:lineRule="auto"/>
              <w:jc w:val="center"/>
              <w:rPr>
                <w:szCs w:val="24"/>
              </w:rPr>
            </w:pPr>
            <w:r w:rsidRPr="008F4B65">
              <w:rPr>
                <w:szCs w:val="24"/>
              </w:rPr>
              <w:t>Kaina Eur be PVM</w:t>
            </w:r>
          </w:p>
        </w:tc>
      </w:tr>
      <w:tr w:rsidR="00694912" w:rsidRPr="008F4B65" w14:paraId="47978CC2" w14:textId="77777777" w:rsidTr="00694912">
        <w:trPr>
          <w:trHeight w:val="70"/>
        </w:trPr>
        <w:tc>
          <w:tcPr>
            <w:tcW w:w="576" w:type="dxa"/>
          </w:tcPr>
          <w:p w14:paraId="418150EA" w14:textId="77777777" w:rsidR="00694912" w:rsidRPr="008F4B65" w:rsidRDefault="00694912" w:rsidP="00E8510D">
            <w:pPr>
              <w:spacing w:after="0" w:line="240" w:lineRule="auto"/>
              <w:jc w:val="center"/>
              <w:rPr>
                <w:szCs w:val="24"/>
              </w:rPr>
            </w:pPr>
            <w:r w:rsidRPr="008F4B65">
              <w:rPr>
                <w:szCs w:val="24"/>
              </w:rPr>
              <w:t>1</w:t>
            </w:r>
          </w:p>
        </w:tc>
        <w:tc>
          <w:tcPr>
            <w:tcW w:w="7357" w:type="dxa"/>
          </w:tcPr>
          <w:p w14:paraId="1909EE09" w14:textId="77777777" w:rsidR="00694912" w:rsidRPr="008F4B65" w:rsidRDefault="00694912" w:rsidP="00E8510D">
            <w:pPr>
              <w:spacing w:after="0" w:line="240" w:lineRule="auto"/>
              <w:jc w:val="center"/>
              <w:rPr>
                <w:szCs w:val="24"/>
              </w:rPr>
            </w:pPr>
            <w:r w:rsidRPr="008F4B65">
              <w:rPr>
                <w:szCs w:val="24"/>
              </w:rPr>
              <w:t>2</w:t>
            </w:r>
          </w:p>
        </w:tc>
        <w:tc>
          <w:tcPr>
            <w:tcW w:w="1701" w:type="dxa"/>
          </w:tcPr>
          <w:p w14:paraId="2CFD9E9F" w14:textId="77777777" w:rsidR="00694912" w:rsidRPr="008F4B65" w:rsidRDefault="00694912" w:rsidP="00E8510D">
            <w:pPr>
              <w:spacing w:after="0" w:line="259" w:lineRule="auto"/>
              <w:jc w:val="center"/>
              <w:rPr>
                <w:szCs w:val="24"/>
              </w:rPr>
            </w:pPr>
            <w:r w:rsidRPr="008F4B65">
              <w:rPr>
                <w:szCs w:val="24"/>
              </w:rPr>
              <w:t>3</w:t>
            </w:r>
          </w:p>
        </w:tc>
      </w:tr>
      <w:tr w:rsidR="00FB2939" w:rsidRPr="008F4B65" w14:paraId="14BE8E77" w14:textId="77777777" w:rsidTr="00A57C79">
        <w:tc>
          <w:tcPr>
            <w:tcW w:w="576" w:type="dxa"/>
          </w:tcPr>
          <w:p w14:paraId="1BFFDAE6" w14:textId="77777777" w:rsidR="00FB2939" w:rsidRPr="00FB2939" w:rsidRDefault="00FB2939" w:rsidP="008F4B65">
            <w:pPr>
              <w:spacing w:after="0" w:line="240" w:lineRule="auto"/>
              <w:jc w:val="center"/>
              <w:rPr>
                <w:b/>
                <w:bCs/>
                <w:szCs w:val="24"/>
                <w:lang w:val="en-GB"/>
              </w:rPr>
            </w:pPr>
            <w:r w:rsidRPr="00FB2939">
              <w:rPr>
                <w:b/>
                <w:bCs/>
                <w:szCs w:val="24"/>
              </w:rPr>
              <w:t>1.</w:t>
            </w:r>
          </w:p>
        </w:tc>
        <w:tc>
          <w:tcPr>
            <w:tcW w:w="9058" w:type="dxa"/>
            <w:gridSpan w:val="2"/>
          </w:tcPr>
          <w:p w14:paraId="4F5C1F78" w14:textId="5D7B9C15" w:rsidR="00FB2939" w:rsidRPr="008F4B65" w:rsidRDefault="00FB2939" w:rsidP="00FB2939">
            <w:pPr>
              <w:spacing w:after="0" w:line="240" w:lineRule="auto"/>
              <w:rPr>
                <w:szCs w:val="24"/>
              </w:rPr>
            </w:pPr>
            <w:bookmarkStart w:id="1" w:name="_Hlk202359004"/>
            <w:r w:rsidRPr="00694912">
              <w:rPr>
                <w:b/>
                <w:bCs/>
                <w:szCs w:val="24"/>
              </w:rPr>
              <w:t>Būsto pritaikymo neįgaliesiems</w:t>
            </w:r>
            <w:bookmarkStart w:id="2" w:name="_Hlk202359320"/>
            <w:bookmarkEnd w:id="1"/>
            <w:r w:rsidRPr="00694912">
              <w:rPr>
                <w:b/>
                <w:bCs/>
                <w:szCs w:val="24"/>
              </w:rPr>
              <w:t xml:space="preserve">, </w:t>
            </w:r>
            <w:r w:rsidRPr="00694912">
              <w:rPr>
                <w:b/>
                <w:bCs/>
                <w:sz w:val="22"/>
                <w:szCs w:val="24"/>
              </w:rPr>
              <w:t xml:space="preserve">Architektų g. 2-1, Pabradės m., </w:t>
            </w:r>
            <w:r w:rsidRPr="00694912">
              <w:rPr>
                <w:b/>
                <w:bCs/>
                <w:szCs w:val="24"/>
              </w:rPr>
              <w:t>Švenčionių r. sav.</w:t>
            </w:r>
            <w:bookmarkEnd w:id="2"/>
            <w:r w:rsidRPr="00694912">
              <w:rPr>
                <w:b/>
                <w:bCs/>
                <w:szCs w:val="24"/>
              </w:rPr>
              <w:t>, darbai:</w:t>
            </w:r>
          </w:p>
        </w:tc>
      </w:tr>
      <w:tr w:rsidR="00694912" w:rsidRPr="008F4B65" w14:paraId="6104313A" w14:textId="77777777" w:rsidTr="00694912">
        <w:tc>
          <w:tcPr>
            <w:tcW w:w="576" w:type="dxa"/>
          </w:tcPr>
          <w:p w14:paraId="6E591B26" w14:textId="7D2CC833" w:rsidR="00694912" w:rsidRPr="008F4B65" w:rsidRDefault="00694912" w:rsidP="008F4B65">
            <w:pPr>
              <w:spacing w:after="0" w:line="240" w:lineRule="auto"/>
              <w:jc w:val="center"/>
              <w:rPr>
                <w:szCs w:val="24"/>
              </w:rPr>
            </w:pPr>
            <w:r>
              <w:rPr>
                <w:szCs w:val="24"/>
              </w:rPr>
              <w:t>1.1.</w:t>
            </w:r>
          </w:p>
        </w:tc>
        <w:tc>
          <w:tcPr>
            <w:tcW w:w="7357" w:type="dxa"/>
          </w:tcPr>
          <w:p w14:paraId="6B736668" w14:textId="067A402F" w:rsidR="00694912" w:rsidRPr="001A2F05" w:rsidRDefault="00694912" w:rsidP="008F4B65">
            <w:pPr>
              <w:spacing w:after="0" w:line="240" w:lineRule="auto"/>
              <w:outlineLvl w:val="0"/>
              <w:rPr>
                <w:szCs w:val="24"/>
              </w:rPr>
            </w:pPr>
            <w:r w:rsidRPr="00694912">
              <w:rPr>
                <w:color w:val="000000"/>
                <w:szCs w:val="24"/>
                <w:lang w:eastAsia="lt-LT" w:bidi="bo-CN"/>
              </w:rPr>
              <w:t>sanitarinio mazgo pritaikymas</w:t>
            </w:r>
            <w:r>
              <w:rPr>
                <w:color w:val="000000"/>
                <w:szCs w:val="24"/>
                <w:lang w:eastAsia="lt-LT" w:bidi="bo-CN"/>
              </w:rPr>
              <w:t>;</w:t>
            </w:r>
          </w:p>
        </w:tc>
        <w:tc>
          <w:tcPr>
            <w:tcW w:w="1701" w:type="dxa"/>
          </w:tcPr>
          <w:p w14:paraId="452C894F" w14:textId="77777777" w:rsidR="00694912" w:rsidRPr="008F4B65" w:rsidRDefault="00694912" w:rsidP="008F4B65">
            <w:pPr>
              <w:spacing w:after="0" w:line="240" w:lineRule="auto"/>
              <w:rPr>
                <w:szCs w:val="24"/>
              </w:rPr>
            </w:pPr>
          </w:p>
        </w:tc>
      </w:tr>
      <w:tr w:rsidR="00694912" w:rsidRPr="008F4B65" w14:paraId="47004C82" w14:textId="77777777" w:rsidTr="00694912">
        <w:tc>
          <w:tcPr>
            <w:tcW w:w="576" w:type="dxa"/>
          </w:tcPr>
          <w:p w14:paraId="47634D5E" w14:textId="5E6AEB39" w:rsidR="00694912" w:rsidRPr="008F4B65" w:rsidRDefault="00694912" w:rsidP="00694912">
            <w:pPr>
              <w:spacing w:after="0" w:line="240" w:lineRule="auto"/>
              <w:jc w:val="center"/>
              <w:rPr>
                <w:szCs w:val="24"/>
              </w:rPr>
            </w:pPr>
            <w:r>
              <w:rPr>
                <w:szCs w:val="24"/>
              </w:rPr>
              <w:t>1.2.</w:t>
            </w:r>
          </w:p>
        </w:tc>
        <w:tc>
          <w:tcPr>
            <w:tcW w:w="7357" w:type="dxa"/>
          </w:tcPr>
          <w:p w14:paraId="479BEF22" w14:textId="11DA5FAD" w:rsidR="00694912" w:rsidRPr="001A2F05" w:rsidRDefault="00694912" w:rsidP="00694912">
            <w:pPr>
              <w:spacing w:after="0" w:line="240" w:lineRule="auto"/>
              <w:outlineLvl w:val="0"/>
              <w:rPr>
                <w:szCs w:val="24"/>
              </w:rPr>
            </w:pPr>
            <w:r w:rsidRPr="0066165B">
              <w:rPr>
                <w:color w:val="000000"/>
                <w:szCs w:val="24"/>
                <w:lang w:eastAsia="lt-LT"/>
              </w:rPr>
              <w:t>buto įėjimo durų keitimas;</w:t>
            </w:r>
          </w:p>
        </w:tc>
        <w:tc>
          <w:tcPr>
            <w:tcW w:w="1701" w:type="dxa"/>
          </w:tcPr>
          <w:p w14:paraId="4431B8FA" w14:textId="77777777" w:rsidR="00694912" w:rsidRPr="008F4B65" w:rsidRDefault="00694912" w:rsidP="00694912">
            <w:pPr>
              <w:spacing w:after="0" w:line="240" w:lineRule="auto"/>
              <w:rPr>
                <w:szCs w:val="24"/>
              </w:rPr>
            </w:pPr>
          </w:p>
        </w:tc>
      </w:tr>
      <w:tr w:rsidR="00694912" w:rsidRPr="008F4B65" w14:paraId="4336E148" w14:textId="77777777" w:rsidTr="00694912">
        <w:tc>
          <w:tcPr>
            <w:tcW w:w="576" w:type="dxa"/>
          </w:tcPr>
          <w:p w14:paraId="3015310F" w14:textId="13D666D9" w:rsidR="00694912" w:rsidRPr="008F4B65" w:rsidRDefault="00694912" w:rsidP="00694912">
            <w:pPr>
              <w:spacing w:after="0" w:line="240" w:lineRule="auto"/>
              <w:jc w:val="center"/>
              <w:rPr>
                <w:szCs w:val="24"/>
              </w:rPr>
            </w:pPr>
            <w:r>
              <w:rPr>
                <w:szCs w:val="24"/>
              </w:rPr>
              <w:t>1.3.</w:t>
            </w:r>
          </w:p>
        </w:tc>
        <w:tc>
          <w:tcPr>
            <w:tcW w:w="7357" w:type="dxa"/>
          </w:tcPr>
          <w:p w14:paraId="3807D308" w14:textId="08EBD4A3" w:rsidR="00694912" w:rsidRPr="001A2F05" w:rsidRDefault="00694912" w:rsidP="00694912">
            <w:pPr>
              <w:spacing w:after="0" w:line="240" w:lineRule="auto"/>
              <w:outlineLvl w:val="0"/>
              <w:rPr>
                <w:szCs w:val="24"/>
              </w:rPr>
            </w:pPr>
            <w:r w:rsidRPr="0066165B">
              <w:rPr>
                <w:color w:val="000000"/>
                <w:szCs w:val="24"/>
                <w:lang w:eastAsia="lt-LT"/>
              </w:rPr>
              <w:t>nuovažos įrengimas namo laiptinėje;</w:t>
            </w:r>
          </w:p>
        </w:tc>
        <w:tc>
          <w:tcPr>
            <w:tcW w:w="1701" w:type="dxa"/>
          </w:tcPr>
          <w:p w14:paraId="1F37B7CB" w14:textId="77777777" w:rsidR="00694912" w:rsidRPr="008F4B65" w:rsidRDefault="00694912" w:rsidP="00694912">
            <w:pPr>
              <w:spacing w:after="0" w:line="240" w:lineRule="auto"/>
              <w:rPr>
                <w:szCs w:val="24"/>
              </w:rPr>
            </w:pPr>
          </w:p>
        </w:tc>
      </w:tr>
      <w:tr w:rsidR="00694912" w:rsidRPr="008F4B65" w14:paraId="74AE6967" w14:textId="77777777" w:rsidTr="00694912">
        <w:tc>
          <w:tcPr>
            <w:tcW w:w="576" w:type="dxa"/>
          </w:tcPr>
          <w:p w14:paraId="1EDCA29D" w14:textId="4748CE5A" w:rsidR="00694912" w:rsidRPr="008F4B65" w:rsidRDefault="00694912" w:rsidP="00694912">
            <w:pPr>
              <w:spacing w:after="0" w:line="240" w:lineRule="auto"/>
              <w:jc w:val="center"/>
              <w:rPr>
                <w:szCs w:val="24"/>
              </w:rPr>
            </w:pPr>
            <w:r>
              <w:rPr>
                <w:szCs w:val="24"/>
              </w:rPr>
              <w:t>1.4.</w:t>
            </w:r>
          </w:p>
        </w:tc>
        <w:tc>
          <w:tcPr>
            <w:tcW w:w="7357" w:type="dxa"/>
          </w:tcPr>
          <w:p w14:paraId="11571783" w14:textId="6B5233F2" w:rsidR="00694912" w:rsidRPr="001A2F05" w:rsidRDefault="00694912" w:rsidP="00694912">
            <w:pPr>
              <w:spacing w:after="0" w:line="240" w:lineRule="auto"/>
              <w:outlineLvl w:val="0"/>
              <w:rPr>
                <w:szCs w:val="24"/>
              </w:rPr>
            </w:pPr>
            <w:r w:rsidRPr="0066165B">
              <w:rPr>
                <w:color w:val="000000"/>
                <w:szCs w:val="24"/>
                <w:lang w:eastAsia="lt-LT"/>
              </w:rPr>
              <w:t>ranktūrio montavimas;</w:t>
            </w:r>
          </w:p>
        </w:tc>
        <w:tc>
          <w:tcPr>
            <w:tcW w:w="1701" w:type="dxa"/>
          </w:tcPr>
          <w:p w14:paraId="552DB216" w14:textId="77777777" w:rsidR="00694912" w:rsidRPr="008F4B65" w:rsidRDefault="00694912" w:rsidP="00694912">
            <w:pPr>
              <w:spacing w:after="0" w:line="240" w:lineRule="auto"/>
              <w:rPr>
                <w:szCs w:val="24"/>
              </w:rPr>
            </w:pPr>
          </w:p>
        </w:tc>
      </w:tr>
      <w:tr w:rsidR="00694912" w:rsidRPr="008F4B65" w14:paraId="33A93D90" w14:textId="77777777" w:rsidTr="00694912">
        <w:tc>
          <w:tcPr>
            <w:tcW w:w="576" w:type="dxa"/>
          </w:tcPr>
          <w:p w14:paraId="21E2A48E" w14:textId="4B4D906F" w:rsidR="00694912" w:rsidRPr="008F4B65" w:rsidRDefault="00694912" w:rsidP="00694912">
            <w:pPr>
              <w:spacing w:after="0" w:line="240" w:lineRule="auto"/>
              <w:jc w:val="center"/>
              <w:rPr>
                <w:szCs w:val="24"/>
              </w:rPr>
            </w:pPr>
            <w:r>
              <w:rPr>
                <w:szCs w:val="24"/>
              </w:rPr>
              <w:t>1.5.</w:t>
            </w:r>
          </w:p>
        </w:tc>
        <w:tc>
          <w:tcPr>
            <w:tcW w:w="7357" w:type="dxa"/>
          </w:tcPr>
          <w:p w14:paraId="0ECF8DCB" w14:textId="763D57CB" w:rsidR="00694912" w:rsidRPr="001A2F05" w:rsidRDefault="00694912" w:rsidP="00694912">
            <w:pPr>
              <w:spacing w:after="0" w:line="240" w:lineRule="auto"/>
              <w:outlineLvl w:val="0"/>
              <w:rPr>
                <w:szCs w:val="24"/>
              </w:rPr>
            </w:pPr>
            <w:r w:rsidRPr="0066165B">
              <w:rPr>
                <w:color w:val="000000"/>
                <w:szCs w:val="24"/>
                <w:lang w:eastAsia="lt-LT"/>
              </w:rPr>
              <w:t>laiptinės durų keitimas;</w:t>
            </w:r>
          </w:p>
        </w:tc>
        <w:tc>
          <w:tcPr>
            <w:tcW w:w="1701" w:type="dxa"/>
          </w:tcPr>
          <w:p w14:paraId="4B7F4CAF" w14:textId="77777777" w:rsidR="00694912" w:rsidRPr="008F4B65" w:rsidRDefault="00694912" w:rsidP="00694912">
            <w:pPr>
              <w:spacing w:after="0" w:line="240" w:lineRule="auto"/>
              <w:rPr>
                <w:szCs w:val="24"/>
              </w:rPr>
            </w:pPr>
          </w:p>
        </w:tc>
      </w:tr>
      <w:tr w:rsidR="00694912" w:rsidRPr="008F4B65" w14:paraId="71E33F66" w14:textId="77777777" w:rsidTr="00694912">
        <w:tc>
          <w:tcPr>
            <w:tcW w:w="576" w:type="dxa"/>
          </w:tcPr>
          <w:p w14:paraId="086FC238" w14:textId="0743CA17" w:rsidR="00694912" w:rsidRDefault="00694912" w:rsidP="00694912">
            <w:pPr>
              <w:spacing w:after="0" w:line="240" w:lineRule="auto"/>
              <w:jc w:val="center"/>
              <w:rPr>
                <w:szCs w:val="24"/>
              </w:rPr>
            </w:pPr>
            <w:r>
              <w:rPr>
                <w:szCs w:val="24"/>
              </w:rPr>
              <w:t>1.6.</w:t>
            </w:r>
          </w:p>
        </w:tc>
        <w:tc>
          <w:tcPr>
            <w:tcW w:w="7357" w:type="dxa"/>
          </w:tcPr>
          <w:p w14:paraId="427A9019" w14:textId="4623A800" w:rsidR="00694912" w:rsidRPr="001A2F05" w:rsidRDefault="00694912" w:rsidP="00694912">
            <w:pPr>
              <w:spacing w:after="0" w:line="240" w:lineRule="auto"/>
              <w:outlineLvl w:val="0"/>
              <w:rPr>
                <w:szCs w:val="24"/>
              </w:rPr>
            </w:pPr>
            <w:r w:rsidRPr="0066165B">
              <w:rPr>
                <w:color w:val="000000"/>
                <w:szCs w:val="24"/>
                <w:lang w:eastAsia="lt-LT"/>
              </w:rPr>
              <w:t>pėsčiųjų tako įrengimas;</w:t>
            </w:r>
          </w:p>
        </w:tc>
        <w:tc>
          <w:tcPr>
            <w:tcW w:w="1701" w:type="dxa"/>
          </w:tcPr>
          <w:p w14:paraId="72F6D9EF" w14:textId="77777777" w:rsidR="00694912" w:rsidRPr="008F4B65" w:rsidRDefault="00694912" w:rsidP="00694912">
            <w:pPr>
              <w:spacing w:after="0" w:line="240" w:lineRule="auto"/>
              <w:rPr>
                <w:szCs w:val="24"/>
              </w:rPr>
            </w:pPr>
          </w:p>
        </w:tc>
      </w:tr>
      <w:tr w:rsidR="00694912" w:rsidRPr="008F4B65" w14:paraId="1D310652" w14:textId="77777777" w:rsidTr="00694912">
        <w:tc>
          <w:tcPr>
            <w:tcW w:w="576" w:type="dxa"/>
          </w:tcPr>
          <w:p w14:paraId="0F2806F4" w14:textId="7D55E981" w:rsidR="00694912" w:rsidRDefault="00694912" w:rsidP="00694912">
            <w:pPr>
              <w:spacing w:after="0" w:line="240" w:lineRule="auto"/>
              <w:jc w:val="center"/>
              <w:rPr>
                <w:szCs w:val="24"/>
              </w:rPr>
            </w:pPr>
            <w:r>
              <w:rPr>
                <w:szCs w:val="24"/>
              </w:rPr>
              <w:t>1.7.</w:t>
            </w:r>
          </w:p>
        </w:tc>
        <w:tc>
          <w:tcPr>
            <w:tcW w:w="7357" w:type="dxa"/>
          </w:tcPr>
          <w:p w14:paraId="0D9F897F" w14:textId="3F3329FE" w:rsidR="00694912" w:rsidRPr="001A2F05" w:rsidRDefault="00694912" w:rsidP="00694912">
            <w:pPr>
              <w:spacing w:after="0" w:line="240" w:lineRule="auto"/>
              <w:outlineLvl w:val="0"/>
              <w:rPr>
                <w:szCs w:val="24"/>
              </w:rPr>
            </w:pPr>
            <w:r w:rsidRPr="0066165B">
              <w:rPr>
                <w:color w:val="000000"/>
                <w:szCs w:val="24"/>
                <w:lang w:eastAsia="lt-LT"/>
              </w:rPr>
              <w:t>panduso (nuovažos) įrengimas.</w:t>
            </w:r>
          </w:p>
        </w:tc>
        <w:tc>
          <w:tcPr>
            <w:tcW w:w="1701" w:type="dxa"/>
          </w:tcPr>
          <w:p w14:paraId="3C6A9239" w14:textId="77777777" w:rsidR="00694912" w:rsidRPr="008F4B65" w:rsidRDefault="00694912" w:rsidP="00694912">
            <w:pPr>
              <w:spacing w:after="0" w:line="240" w:lineRule="auto"/>
              <w:rPr>
                <w:szCs w:val="24"/>
              </w:rPr>
            </w:pPr>
          </w:p>
        </w:tc>
      </w:tr>
      <w:tr w:rsidR="00694912" w:rsidRPr="008F4B65" w14:paraId="048DCE3A" w14:textId="77777777" w:rsidTr="00694912">
        <w:tc>
          <w:tcPr>
            <w:tcW w:w="576" w:type="dxa"/>
          </w:tcPr>
          <w:p w14:paraId="6B3894B3" w14:textId="77777777" w:rsidR="00694912" w:rsidRDefault="00694912" w:rsidP="00694912">
            <w:pPr>
              <w:spacing w:after="0" w:line="240" w:lineRule="auto"/>
              <w:jc w:val="center"/>
              <w:rPr>
                <w:szCs w:val="24"/>
              </w:rPr>
            </w:pPr>
          </w:p>
        </w:tc>
        <w:tc>
          <w:tcPr>
            <w:tcW w:w="7357" w:type="dxa"/>
          </w:tcPr>
          <w:p w14:paraId="74AD980D" w14:textId="4F9D68A3" w:rsidR="00694912" w:rsidRPr="00694912" w:rsidRDefault="00694912" w:rsidP="00694912">
            <w:pPr>
              <w:spacing w:after="0" w:line="240" w:lineRule="auto"/>
              <w:jc w:val="right"/>
              <w:outlineLvl w:val="0"/>
              <w:rPr>
                <w:b/>
                <w:bCs/>
                <w:color w:val="000000"/>
                <w:szCs w:val="24"/>
                <w:lang w:eastAsia="lt-LT"/>
              </w:rPr>
            </w:pPr>
            <w:r w:rsidRPr="00694912">
              <w:rPr>
                <w:b/>
                <w:bCs/>
                <w:szCs w:val="24"/>
              </w:rPr>
              <w:t>Iš viso</w:t>
            </w:r>
            <w:r w:rsidRPr="00694912">
              <w:rPr>
                <w:b/>
                <w:bCs/>
                <w:szCs w:val="24"/>
              </w:rPr>
              <w:t xml:space="preserve"> Eur be PVM</w:t>
            </w:r>
            <w:r w:rsidRPr="00694912">
              <w:rPr>
                <w:b/>
                <w:bCs/>
                <w:szCs w:val="24"/>
              </w:rPr>
              <w:t>:</w:t>
            </w:r>
          </w:p>
        </w:tc>
        <w:tc>
          <w:tcPr>
            <w:tcW w:w="1701" w:type="dxa"/>
          </w:tcPr>
          <w:p w14:paraId="42AF22D5" w14:textId="77777777" w:rsidR="00694912" w:rsidRPr="008F4B65" w:rsidRDefault="00694912" w:rsidP="00694912">
            <w:pPr>
              <w:spacing w:after="0" w:line="240" w:lineRule="auto"/>
              <w:rPr>
                <w:szCs w:val="24"/>
              </w:rPr>
            </w:pPr>
          </w:p>
        </w:tc>
      </w:tr>
      <w:tr w:rsidR="00694912" w:rsidRPr="008F4B65" w14:paraId="59421582" w14:textId="77777777" w:rsidTr="00694912">
        <w:tc>
          <w:tcPr>
            <w:tcW w:w="576" w:type="dxa"/>
          </w:tcPr>
          <w:p w14:paraId="730469D1" w14:textId="77777777" w:rsidR="00694912" w:rsidRDefault="00694912" w:rsidP="00694912">
            <w:pPr>
              <w:spacing w:after="0" w:line="240" w:lineRule="auto"/>
              <w:jc w:val="center"/>
              <w:rPr>
                <w:szCs w:val="24"/>
              </w:rPr>
            </w:pPr>
          </w:p>
        </w:tc>
        <w:tc>
          <w:tcPr>
            <w:tcW w:w="7357" w:type="dxa"/>
          </w:tcPr>
          <w:p w14:paraId="0B5C62CA" w14:textId="49807542" w:rsidR="00694912" w:rsidRPr="00694912" w:rsidRDefault="00694912" w:rsidP="00694912">
            <w:pPr>
              <w:spacing w:after="0" w:line="240" w:lineRule="auto"/>
              <w:jc w:val="right"/>
              <w:outlineLvl w:val="0"/>
              <w:rPr>
                <w:b/>
                <w:bCs/>
                <w:szCs w:val="24"/>
              </w:rPr>
            </w:pPr>
            <w:r w:rsidRPr="00694912">
              <w:rPr>
                <w:b/>
                <w:bCs/>
                <w:szCs w:val="24"/>
              </w:rPr>
              <w:t>PVM, Eur</w:t>
            </w:r>
            <w:r w:rsidRPr="00694912">
              <w:rPr>
                <w:b/>
                <w:bCs/>
                <w:szCs w:val="24"/>
              </w:rPr>
              <w:t>:</w:t>
            </w:r>
          </w:p>
        </w:tc>
        <w:tc>
          <w:tcPr>
            <w:tcW w:w="1701" w:type="dxa"/>
          </w:tcPr>
          <w:p w14:paraId="7246A8E2" w14:textId="77777777" w:rsidR="00694912" w:rsidRPr="008F4B65" w:rsidRDefault="00694912" w:rsidP="00694912">
            <w:pPr>
              <w:spacing w:after="0" w:line="240" w:lineRule="auto"/>
              <w:rPr>
                <w:szCs w:val="24"/>
              </w:rPr>
            </w:pPr>
          </w:p>
        </w:tc>
      </w:tr>
      <w:tr w:rsidR="00694912" w:rsidRPr="008F4B65" w14:paraId="415F13CB" w14:textId="77777777" w:rsidTr="00694912">
        <w:tc>
          <w:tcPr>
            <w:tcW w:w="576" w:type="dxa"/>
          </w:tcPr>
          <w:p w14:paraId="478C21E7" w14:textId="77777777" w:rsidR="00694912" w:rsidRDefault="00694912" w:rsidP="00694912">
            <w:pPr>
              <w:spacing w:after="0" w:line="240" w:lineRule="auto"/>
              <w:jc w:val="center"/>
              <w:rPr>
                <w:szCs w:val="24"/>
              </w:rPr>
            </w:pPr>
          </w:p>
        </w:tc>
        <w:tc>
          <w:tcPr>
            <w:tcW w:w="7357" w:type="dxa"/>
          </w:tcPr>
          <w:p w14:paraId="65FD640C" w14:textId="677B5E70" w:rsidR="00694912" w:rsidRPr="00694912" w:rsidRDefault="00694912" w:rsidP="00694912">
            <w:pPr>
              <w:spacing w:after="0" w:line="240" w:lineRule="auto"/>
              <w:jc w:val="right"/>
              <w:outlineLvl w:val="0"/>
              <w:rPr>
                <w:b/>
                <w:bCs/>
                <w:szCs w:val="24"/>
              </w:rPr>
            </w:pPr>
            <w:r w:rsidRPr="00694912">
              <w:rPr>
                <w:b/>
                <w:bCs/>
                <w:szCs w:val="24"/>
              </w:rPr>
              <w:t xml:space="preserve">Iš viso Eur </w:t>
            </w:r>
            <w:r w:rsidRPr="00694912">
              <w:rPr>
                <w:b/>
                <w:bCs/>
                <w:szCs w:val="24"/>
              </w:rPr>
              <w:t xml:space="preserve">su </w:t>
            </w:r>
            <w:r w:rsidRPr="00694912">
              <w:rPr>
                <w:b/>
                <w:bCs/>
                <w:szCs w:val="24"/>
              </w:rPr>
              <w:t>PVM:</w:t>
            </w:r>
          </w:p>
        </w:tc>
        <w:tc>
          <w:tcPr>
            <w:tcW w:w="1701" w:type="dxa"/>
          </w:tcPr>
          <w:p w14:paraId="44F404FD" w14:textId="77777777" w:rsidR="00694912" w:rsidRPr="008F4B65" w:rsidRDefault="00694912" w:rsidP="00694912">
            <w:pPr>
              <w:spacing w:after="0" w:line="240" w:lineRule="auto"/>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5E88AF2A" w14:textId="77777777" w:rsidR="00FB2939" w:rsidRDefault="00FB2939" w:rsidP="00F51EA4">
            <w:pPr>
              <w:spacing w:after="0" w:line="240" w:lineRule="auto"/>
              <w:ind w:right="-108" w:firstLine="720"/>
              <w:jc w:val="both"/>
              <w:rPr>
                <w:rFonts w:eastAsia="Calibri"/>
                <w:szCs w:val="24"/>
              </w:rPr>
            </w:pPr>
          </w:p>
          <w:p w14:paraId="00BBD292" w14:textId="77777777" w:rsidR="00FB2939" w:rsidRDefault="00FB2939"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lastRenderedPageBreak/>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1454D"/>
    <w:rsid w:val="00020157"/>
    <w:rsid w:val="000210A6"/>
    <w:rsid w:val="000251B2"/>
    <w:rsid w:val="000853EA"/>
    <w:rsid w:val="000E617E"/>
    <w:rsid w:val="001A2F05"/>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34A02"/>
    <w:rsid w:val="004465BA"/>
    <w:rsid w:val="00457422"/>
    <w:rsid w:val="004F409E"/>
    <w:rsid w:val="0055047E"/>
    <w:rsid w:val="005728B7"/>
    <w:rsid w:val="00574A79"/>
    <w:rsid w:val="00593529"/>
    <w:rsid w:val="005A2642"/>
    <w:rsid w:val="005D0A75"/>
    <w:rsid w:val="005D77B3"/>
    <w:rsid w:val="005E7A19"/>
    <w:rsid w:val="00661338"/>
    <w:rsid w:val="00694912"/>
    <w:rsid w:val="006C334B"/>
    <w:rsid w:val="007C777C"/>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3553"/>
    <w:rsid w:val="00BF62FF"/>
    <w:rsid w:val="00C26B39"/>
    <w:rsid w:val="00C556F4"/>
    <w:rsid w:val="00C808E7"/>
    <w:rsid w:val="00CC0339"/>
    <w:rsid w:val="00CF05F3"/>
    <w:rsid w:val="00D148BB"/>
    <w:rsid w:val="00D25EF6"/>
    <w:rsid w:val="00DC6C92"/>
    <w:rsid w:val="00E8510D"/>
    <w:rsid w:val="00E92450"/>
    <w:rsid w:val="00EC7A64"/>
    <w:rsid w:val="00F71617"/>
    <w:rsid w:val="00FB2939"/>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3187</Words>
  <Characters>1817</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12</cp:revision>
  <cp:lastPrinted>2025-07-04T08:21:00Z</cp:lastPrinted>
  <dcterms:created xsi:type="dcterms:W3CDTF">2025-03-13T09:45:00Z</dcterms:created>
  <dcterms:modified xsi:type="dcterms:W3CDTF">2025-07-09T11:09:00Z</dcterms:modified>
</cp:coreProperties>
</file>