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495F" w14:textId="3CA4C784" w:rsidR="00506996" w:rsidRPr="00197970" w:rsidRDefault="00BF3E24" w:rsidP="00BF3E24">
      <w:pPr>
        <w:tabs>
          <w:tab w:val="left" w:pos="6300"/>
        </w:tabs>
        <w:ind w:firstLine="0"/>
        <w:rPr>
          <w:rFonts w:ascii="Times New Roman" w:hAnsi="Times New Roman" w:cs="Times New Roman"/>
        </w:rPr>
      </w:pPr>
      <w:bookmarkStart w:id="0" w:name="_Toc147739116"/>
      <w:r>
        <w:rPr>
          <w:rFonts w:ascii="Times New Roman" w:hAnsi="Times New Roman" w:cs="Times New Roman"/>
          <w:bCs/>
          <w:smallCaps/>
          <w:sz w:val="22"/>
          <w:szCs w:val="22"/>
        </w:rPr>
        <w:tab/>
      </w:r>
      <w:bookmarkStart w:id="1" w:name="_Pirkimo_sąlygų_2"/>
      <w:bookmarkStart w:id="2" w:name="_Hlk86825377"/>
      <w:bookmarkStart w:id="3" w:name="_Ref38540913"/>
      <w:bookmarkStart w:id="4" w:name="_Ref38898051"/>
      <w:bookmarkStart w:id="5" w:name="_Ref38901392"/>
      <w:bookmarkStart w:id="6" w:name="_Toc48053189"/>
      <w:bookmarkStart w:id="7" w:name="_Toc85706892"/>
      <w:bookmarkEnd w:id="1"/>
      <w:r>
        <w:rPr>
          <w:rFonts w:ascii="Times New Roman" w:hAnsi="Times New Roman" w:cs="Times New Roman"/>
          <w:bCs/>
          <w:smallCaps/>
          <w:sz w:val="22"/>
          <w:szCs w:val="22"/>
        </w:rPr>
        <w:t>P</w:t>
      </w:r>
      <w:r w:rsidR="00506996" w:rsidRPr="00197970">
        <w:rPr>
          <w:rFonts w:ascii="Times New Roman" w:hAnsi="Times New Roman" w:cs="Times New Roman"/>
        </w:rPr>
        <w:t xml:space="preserve">irkimo sąlygų </w:t>
      </w:r>
      <w:r w:rsidR="0012726D" w:rsidRPr="00197970">
        <w:rPr>
          <w:rFonts w:ascii="Times New Roman" w:hAnsi="Times New Roman" w:cs="Times New Roman"/>
        </w:rPr>
        <w:t>5</w:t>
      </w:r>
      <w:r w:rsidR="00506996" w:rsidRPr="00197970">
        <w:rPr>
          <w:rFonts w:ascii="Times New Roman" w:hAnsi="Times New Roman" w:cs="Times New Roman"/>
        </w:rPr>
        <w:t xml:space="preserve"> priedas „Pasiūlymo forma“</w:t>
      </w:r>
    </w:p>
    <w:bookmarkEnd w:id="2"/>
    <w:bookmarkEnd w:id="3"/>
    <w:bookmarkEnd w:id="4"/>
    <w:bookmarkEnd w:id="5"/>
    <w:bookmarkEnd w:id="6"/>
    <w:bookmarkEnd w:id="7"/>
    <w:p w14:paraId="02BDD29E" w14:textId="77777777" w:rsidR="00CB5907" w:rsidRPr="00197970" w:rsidRDefault="00CB5907" w:rsidP="00CB5907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09C57E94" w14:textId="77777777" w:rsidR="00E1016E" w:rsidRPr="00E81026" w:rsidRDefault="00E1016E" w:rsidP="00E1016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81026">
        <w:rPr>
          <w:rFonts w:ascii="Times New Roman" w:hAnsi="Times New Roman"/>
          <w:b/>
          <w:color w:val="000000"/>
          <w:sz w:val="24"/>
          <w:szCs w:val="24"/>
        </w:rPr>
        <w:t>PASIŪLYMAS</w:t>
      </w:r>
    </w:p>
    <w:p w14:paraId="7895AEE2" w14:textId="77777777" w:rsidR="00E1016E" w:rsidRPr="00E81026" w:rsidRDefault="00E1016E" w:rsidP="00E1016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KURO</w:t>
      </w:r>
      <w:r w:rsidRPr="00E81026">
        <w:rPr>
          <w:rFonts w:ascii="Times New Roman" w:hAnsi="Times New Roman"/>
          <w:b/>
          <w:color w:val="000000"/>
          <w:sz w:val="24"/>
          <w:szCs w:val="24"/>
        </w:rPr>
        <w:t xml:space="preserve"> PIRKIMO</w:t>
      </w:r>
    </w:p>
    <w:p w14:paraId="2162FA02" w14:textId="77777777" w:rsidR="00E1016E" w:rsidRPr="00E81026" w:rsidRDefault="00E1016E" w:rsidP="00E1016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D1DD366" w14:textId="77777777" w:rsidR="00E1016E" w:rsidRPr="00E81026" w:rsidRDefault="00E1016E" w:rsidP="00E1016E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81026">
        <w:rPr>
          <w:rFonts w:ascii="Times New Roman" w:hAnsi="Times New Roman"/>
          <w:color w:val="000000"/>
          <w:sz w:val="24"/>
          <w:szCs w:val="24"/>
        </w:rPr>
        <w:t>____________Nr.______</w:t>
      </w:r>
    </w:p>
    <w:p w14:paraId="2C43E47F" w14:textId="77777777" w:rsidR="00E1016E" w:rsidRPr="00E81026" w:rsidRDefault="00E1016E" w:rsidP="00E1016E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1026">
        <w:rPr>
          <w:rFonts w:ascii="Times New Roman" w:hAnsi="Times New Roman"/>
          <w:bCs/>
          <w:color w:val="000000"/>
          <w:sz w:val="24"/>
          <w:szCs w:val="24"/>
        </w:rPr>
        <w:t>(Data)</w:t>
      </w:r>
    </w:p>
    <w:p w14:paraId="43A19A1A" w14:textId="77777777" w:rsidR="00E1016E" w:rsidRPr="00E81026" w:rsidRDefault="00E1016E" w:rsidP="00E1016E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1026">
        <w:rPr>
          <w:rFonts w:ascii="Times New Roman" w:hAnsi="Times New Roman"/>
          <w:bCs/>
          <w:color w:val="000000"/>
          <w:sz w:val="24"/>
          <w:szCs w:val="24"/>
        </w:rPr>
        <w:t>_____________</w:t>
      </w:r>
    </w:p>
    <w:p w14:paraId="29A1B99A" w14:textId="77777777" w:rsidR="00E1016E" w:rsidRPr="00E81026" w:rsidRDefault="00E1016E" w:rsidP="00E1016E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1026">
        <w:rPr>
          <w:rFonts w:ascii="Times New Roman" w:hAnsi="Times New Roman"/>
          <w:bCs/>
          <w:color w:val="000000"/>
          <w:sz w:val="24"/>
          <w:szCs w:val="24"/>
        </w:rPr>
        <w:t>(Sudarymo vieta)</w:t>
      </w:r>
    </w:p>
    <w:p w14:paraId="3C5A20D6" w14:textId="77777777" w:rsidR="00E1016E" w:rsidRPr="00E81026" w:rsidRDefault="00E1016E" w:rsidP="00E1016E">
      <w:pPr>
        <w:spacing w:line="36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E1016E" w:rsidRPr="00E81026" w14:paraId="1333B45B" w14:textId="77777777" w:rsidTr="00EE7812">
        <w:tc>
          <w:tcPr>
            <w:tcW w:w="5058" w:type="dxa"/>
          </w:tcPr>
          <w:p w14:paraId="68AA8E0D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Tiekėjo pavadinimas</w:t>
            </w:r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02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</w:tcPr>
          <w:p w14:paraId="72188088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07CC41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16E" w:rsidRPr="00E81026" w14:paraId="72C794D3" w14:textId="77777777" w:rsidTr="00EE7812">
        <w:tc>
          <w:tcPr>
            <w:tcW w:w="5058" w:type="dxa"/>
          </w:tcPr>
          <w:p w14:paraId="419AB943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Tiekėjo adresas</w:t>
            </w:r>
            <w:r w:rsidRPr="00E8102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</w:tcPr>
          <w:p w14:paraId="67C20DA3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921F4D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16E" w:rsidRPr="00E81026" w14:paraId="34508CD1" w14:textId="77777777" w:rsidTr="00EE7812">
        <w:tc>
          <w:tcPr>
            <w:tcW w:w="5058" w:type="dxa"/>
          </w:tcPr>
          <w:p w14:paraId="6DA56A45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Telefono numeris</w:t>
            </w:r>
          </w:p>
        </w:tc>
        <w:tc>
          <w:tcPr>
            <w:tcW w:w="4797" w:type="dxa"/>
          </w:tcPr>
          <w:p w14:paraId="7DEAD093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16E" w:rsidRPr="00E81026" w14:paraId="1E4B9652" w14:textId="77777777" w:rsidTr="00EE7812">
        <w:tc>
          <w:tcPr>
            <w:tcW w:w="5058" w:type="dxa"/>
          </w:tcPr>
          <w:p w14:paraId="1136F9AE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Fakso numeris</w:t>
            </w:r>
          </w:p>
        </w:tc>
        <w:tc>
          <w:tcPr>
            <w:tcW w:w="4797" w:type="dxa"/>
          </w:tcPr>
          <w:p w14:paraId="05155431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16E" w:rsidRPr="00E81026" w14:paraId="1720F30D" w14:textId="77777777" w:rsidTr="00EE7812">
        <w:tc>
          <w:tcPr>
            <w:tcW w:w="5058" w:type="dxa"/>
          </w:tcPr>
          <w:p w14:paraId="54D29C4F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El. pašto adresas</w:t>
            </w:r>
          </w:p>
        </w:tc>
        <w:tc>
          <w:tcPr>
            <w:tcW w:w="4797" w:type="dxa"/>
          </w:tcPr>
          <w:p w14:paraId="2EC35858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618ED59" w14:textId="77777777" w:rsidR="00E1016E" w:rsidRPr="00E81026" w:rsidRDefault="00E1016E" w:rsidP="00E1016E">
      <w:pPr>
        <w:spacing w:line="360" w:lineRule="auto"/>
        <w:ind w:firstLine="720"/>
        <w:rPr>
          <w:rFonts w:ascii="Times New Roman" w:hAnsi="Times New Roman"/>
          <w:i/>
          <w:color w:val="000000"/>
          <w:sz w:val="24"/>
          <w:szCs w:val="24"/>
        </w:rPr>
      </w:pPr>
    </w:p>
    <w:p w14:paraId="65564EF0" w14:textId="77777777" w:rsidR="00E1016E" w:rsidRPr="00E81026" w:rsidRDefault="00E1016E" w:rsidP="00E1016E">
      <w:pPr>
        <w:spacing w:line="360" w:lineRule="auto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81026">
        <w:rPr>
          <w:rFonts w:ascii="Times New Roman" w:hAnsi="Times New Roman"/>
          <w:i/>
          <w:color w:val="000000"/>
          <w:spacing w:val="-4"/>
          <w:sz w:val="24"/>
          <w:szCs w:val="24"/>
        </w:rPr>
        <w:t>/Pastaba. Pildoma, jei tiekėjas ketina pasitelkti subrangovą (-</w:t>
      </w:r>
      <w:proofErr w:type="spellStart"/>
      <w:r w:rsidRPr="00E81026">
        <w:rPr>
          <w:rFonts w:ascii="Times New Roman" w:hAnsi="Times New Roman"/>
          <w:i/>
          <w:color w:val="000000"/>
          <w:spacing w:val="-4"/>
          <w:sz w:val="24"/>
          <w:szCs w:val="24"/>
        </w:rPr>
        <w:t>us</w:t>
      </w:r>
      <w:proofErr w:type="spellEnd"/>
      <w:r w:rsidRPr="00E81026">
        <w:rPr>
          <w:rFonts w:ascii="Times New Roman" w:hAnsi="Times New Roman"/>
          <w:i/>
          <w:color w:val="000000"/>
          <w:spacing w:val="-4"/>
          <w:sz w:val="24"/>
          <w:szCs w:val="24"/>
        </w:rPr>
        <w:t>), subtiekėją (-</w:t>
      </w:r>
      <w:proofErr w:type="spellStart"/>
      <w:r w:rsidRPr="00E81026">
        <w:rPr>
          <w:rFonts w:ascii="Times New Roman" w:hAnsi="Times New Roman"/>
          <w:i/>
          <w:color w:val="000000"/>
          <w:spacing w:val="-4"/>
          <w:sz w:val="24"/>
          <w:szCs w:val="24"/>
        </w:rPr>
        <w:t>us</w:t>
      </w:r>
      <w:proofErr w:type="spellEnd"/>
      <w:r w:rsidRPr="00E81026">
        <w:rPr>
          <w:rFonts w:ascii="Times New Roman" w:hAnsi="Times New Roman"/>
          <w:i/>
          <w:color w:val="000000"/>
          <w:spacing w:val="-4"/>
          <w:sz w:val="24"/>
          <w:szCs w:val="24"/>
        </w:rPr>
        <w:t>)</w:t>
      </w:r>
      <w:r w:rsidRPr="00E81026">
        <w:rPr>
          <w:rFonts w:ascii="Times New Roman" w:hAnsi="Times New Roman"/>
          <w:i/>
          <w:strike/>
          <w:color w:val="000000"/>
          <w:spacing w:val="-4"/>
          <w:sz w:val="24"/>
          <w:szCs w:val="24"/>
        </w:rPr>
        <w:t>,</w:t>
      </w:r>
      <w:r w:rsidRPr="00E81026">
        <w:rPr>
          <w:rFonts w:ascii="Times New Roman" w:hAnsi="Times New Roman"/>
          <w:i/>
          <w:color w:val="000000"/>
          <w:spacing w:val="-4"/>
          <w:sz w:val="24"/>
          <w:szCs w:val="24"/>
        </w:rPr>
        <w:t xml:space="preserve"> ar subteikėją (-</w:t>
      </w:r>
      <w:proofErr w:type="spellStart"/>
      <w:r w:rsidRPr="00E81026">
        <w:rPr>
          <w:rFonts w:ascii="Times New Roman" w:hAnsi="Times New Roman"/>
          <w:i/>
          <w:color w:val="000000"/>
          <w:spacing w:val="-4"/>
          <w:sz w:val="24"/>
          <w:szCs w:val="24"/>
        </w:rPr>
        <w:t>us</w:t>
      </w:r>
      <w:proofErr w:type="spellEnd"/>
      <w:r w:rsidRPr="00E81026">
        <w:rPr>
          <w:rFonts w:ascii="Times New Roman" w:hAnsi="Times New Roman"/>
          <w:i/>
          <w:color w:val="000000"/>
          <w:spacing w:val="-4"/>
          <w:sz w:val="24"/>
          <w:szCs w:val="24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E1016E" w:rsidRPr="00E81026" w14:paraId="173F2913" w14:textId="77777777" w:rsidTr="00EE7812">
        <w:tc>
          <w:tcPr>
            <w:tcW w:w="5058" w:type="dxa"/>
          </w:tcPr>
          <w:p w14:paraId="3B1F44B3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Subrangovo (-ų), subtiekėjo (-ų) ar subteikėjo  (</w:t>
            </w:r>
            <w:r w:rsidRPr="00E81026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noBreakHyphen/>
              <w:t>ų)</w:t>
            </w: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</w:tcPr>
          <w:p w14:paraId="399B5601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16E" w:rsidRPr="00E81026" w14:paraId="45CDB983" w14:textId="77777777" w:rsidTr="00EE7812">
        <w:tc>
          <w:tcPr>
            <w:tcW w:w="5058" w:type="dxa"/>
          </w:tcPr>
          <w:p w14:paraId="6D178708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Subrangovo (-ų), subtiekėjo (-ų) ar subteikėjo  (</w:t>
            </w:r>
            <w:r w:rsidRPr="00E81026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noBreakHyphen/>
              <w:t>ų)</w:t>
            </w: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</w:tcPr>
          <w:p w14:paraId="3AA42289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16E" w:rsidRPr="00E81026" w14:paraId="02FEFFFA" w14:textId="77777777" w:rsidTr="00EE7812">
        <w:tc>
          <w:tcPr>
            <w:tcW w:w="5058" w:type="dxa"/>
          </w:tcPr>
          <w:p w14:paraId="0052A4F8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Įsipareigojimų dalis (nurodant konkrečius pagal Pirkimo </w:t>
            </w:r>
            <w:proofErr w:type="spellStart"/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sutartįprisiimamus</w:t>
            </w:r>
            <w:proofErr w:type="spellEnd"/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įsipareigojimus), kuriai ketinama pasitelkti subrangovą (-</w:t>
            </w:r>
            <w:proofErr w:type="spellStart"/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us</w:t>
            </w:r>
            <w:proofErr w:type="spellEnd"/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), subtiekėją (-</w:t>
            </w:r>
            <w:proofErr w:type="spellStart"/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us</w:t>
            </w:r>
            <w:proofErr w:type="spellEnd"/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ar subteikėją (-</w:t>
            </w:r>
            <w:proofErr w:type="spellStart"/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us</w:t>
            </w:r>
            <w:proofErr w:type="spellEnd"/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797" w:type="dxa"/>
          </w:tcPr>
          <w:p w14:paraId="7D8F716B" w14:textId="77777777" w:rsidR="00E1016E" w:rsidRPr="00E81026" w:rsidRDefault="00E1016E" w:rsidP="00EE7812">
            <w:pPr>
              <w:spacing w:line="360" w:lineRule="auto"/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BAEBD1D" w14:textId="77777777" w:rsidR="00E1016E" w:rsidRPr="00E81026" w:rsidRDefault="00E1016E" w:rsidP="00E1016E">
      <w:pPr>
        <w:spacing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4999CA38" w14:textId="77777777" w:rsidR="00E1016E" w:rsidRPr="00E81026" w:rsidRDefault="00E1016E" w:rsidP="00E1016E">
      <w:pPr>
        <w:spacing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81026">
        <w:rPr>
          <w:rFonts w:ascii="Times New Roman" w:hAnsi="Times New Roman"/>
          <w:color w:val="000000"/>
          <w:sz w:val="24"/>
          <w:szCs w:val="24"/>
        </w:rPr>
        <w:t>1. Šiuo pasiūlymu pažymime, kad sutinkame su visomis pirkimo sąlygomis.</w:t>
      </w:r>
    </w:p>
    <w:p w14:paraId="2BEF9828" w14:textId="77777777" w:rsidR="00E1016E" w:rsidRPr="00E81026" w:rsidRDefault="00E1016E" w:rsidP="00E1016E">
      <w:pPr>
        <w:spacing w:line="360" w:lineRule="auto"/>
        <w:ind w:firstLine="720"/>
        <w:rPr>
          <w:rFonts w:ascii="Times New Roman" w:hAnsi="Times New Roman"/>
          <w:b/>
          <w:color w:val="000000"/>
          <w:sz w:val="24"/>
          <w:szCs w:val="24"/>
        </w:rPr>
      </w:pPr>
    </w:p>
    <w:p w14:paraId="0714E14B" w14:textId="51B2CCA8" w:rsidR="00E1016E" w:rsidRPr="00E1016E" w:rsidRDefault="00E1016E" w:rsidP="00E1016E">
      <w:pPr>
        <w:spacing w:line="360" w:lineRule="auto"/>
        <w:ind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E81026">
        <w:rPr>
          <w:rFonts w:ascii="Times New Roman" w:hAnsi="Times New Roman"/>
          <w:b/>
          <w:color w:val="000000"/>
          <w:sz w:val="24"/>
          <w:szCs w:val="24"/>
        </w:rPr>
        <w:lastRenderedPageBreak/>
        <w:t>Mes siūlome:</w:t>
      </w: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1473"/>
        <w:gridCol w:w="2220"/>
        <w:gridCol w:w="1748"/>
        <w:gridCol w:w="2473"/>
      </w:tblGrid>
      <w:tr w:rsidR="00E1016E" w:rsidRPr="005E1B25" w14:paraId="0B03AD07" w14:textId="77777777" w:rsidTr="00971744">
        <w:trPr>
          <w:trHeight w:val="28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9D16" w14:textId="77777777" w:rsidR="00E1016E" w:rsidRPr="005E1B25" w:rsidRDefault="00E1016E" w:rsidP="009717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>Prekių pavadinimas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4097" w14:textId="77777777" w:rsidR="00E1016E" w:rsidRPr="005E1B25" w:rsidRDefault="00E1016E" w:rsidP="009717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>Mato vienetas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B467" w14:textId="77777777" w:rsidR="00E1016E" w:rsidRPr="005E1B25" w:rsidRDefault="00E1016E" w:rsidP="009717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 xml:space="preserve">Preliminarus kiekis </w:t>
            </w:r>
            <w:r w:rsidRPr="00E81026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0"/>
              </w:rPr>
              <w:t>12</w:t>
            </w:r>
            <w:r w:rsidRPr="005E1B2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0"/>
              </w:rPr>
              <w:t xml:space="preserve"> </w:t>
            </w: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>mėn. (sutarties galiojimo laikotarpiu)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9B34" w14:textId="03463D5A" w:rsidR="00E1016E" w:rsidRPr="005E1B25" w:rsidRDefault="00E1016E" w:rsidP="00971744">
            <w:pPr>
              <w:spacing w:line="240" w:lineRule="auto"/>
              <w:ind w:left="112" w:firstLine="9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sz w:val="24"/>
                <w:szCs w:val="20"/>
              </w:rPr>
              <w:t>Siūloma nuolaida (-) ar antkainis (+) 1000 l degalų, Eur su PVM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CDD1" w14:textId="77777777" w:rsidR="00E1016E" w:rsidRPr="005E1B25" w:rsidRDefault="00E1016E" w:rsidP="00971744">
            <w:pPr>
              <w:spacing w:line="240" w:lineRule="auto"/>
              <w:ind w:left="53" w:firstLine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sz w:val="24"/>
                <w:szCs w:val="20"/>
              </w:rPr>
              <w:t>Palyginamoji kaina pagal preliminarų degalų kiekį Eur su PVM</w:t>
            </w:r>
          </w:p>
          <w:p w14:paraId="6237A00B" w14:textId="77777777" w:rsidR="00E1016E" w:rsidRPr="005E1B25" w:rsidRDefault="00E1016E" w:rsidP="009717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i/>
                <w:iCs/>
                <w:sz w:val="24"/>
                <w:szCs w:val="20"/>
              </w:rPr>
              <w:t>(4st./1000)x3st.</w:t>
            </w:r>
          </w:p>
        </w:tc>
      </w:tr>
      <w:tr w:rsidR="00E1016E" w:rsidRPr="005E1B25" w14:paraId="61807F33" w14:textId="77777777" w:rsidTr="00971744">
        <w:trPr>
          <w:trHeight w:val="28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8FA8" w14:textId="77777777" w:rsidR="00E1016E" w:rsidRPr="005E1B25" w:rsidRDefault="00E1016E" w:rsidP="00EE78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D6A7" w14:textId="77777777" w:rsidR="00E1016E" w:rsidRPr="005E1B25" w:rsidRDefault="00E1016E" w:rsidP="00EE78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AE77" w14:textId="77777777" w:rsidR="00E1016E" w:rsidRPr="005E1B25" w:rsidRDefault="00E1016E" w:rsidP="00EE78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F75B" w14:textId="77777777" w:rsidR="00E1016E" w:rsidRPr="005E1B25" w:rsidRDefault="00E1016E" w:rsidP="00EE78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15BA" w14:textId="77777777" w:rsidR="00E1016E" w:rsidRPr="005E1B25" w:rsidRDefault="00E1016E" w:rsidP="00EE78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</w:pPr>
            <w:r w:rsidRPr="005E1B25"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</w:rPr>
              <w:t>5</w:t>
            </w:r>
          </w:p>
        </w:tc>
      </w:tr>
      <w:tr w:rsidR="00971744" w:rsidRPr="005E1B25" w14:paraId="40F73E3A" w14:textId="77777777" w:rsidTr="00B124B6">
        <w:trPr>
          <w:trHeight w:val="4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A078" w14:textId="29DC8375" w:rsidR="00971744" w:rsidRPr="005E1B25" w:rsidRDefault="00971744" w:rsidP="006B472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47F3">
              <w:rPr>
                <w:rFonts w:ascii="Times New Roman" w:hAnsi="Times New Roman"/>
                <w:color w:val="000000"/>
                <w:sz w:val="24"/>
                <w:szCs w:val="24"/>
              </w:rPr>
              <w:t>Nuo akcizų atleistas dyzelinas žemės ūkiui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E660" w14:textId="5EB4C036" w:rsidR="00971744" w:rsidRPr="005E1B25" w:rsidRDefault="00971744" w:rsidP="006B472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1B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Litras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AEFE" w14:textId="4FB3E3EE" w:rsidR="00971744" w:rsidRPr="005E1B25" w:rsidRDefault="006B4722" w:rsidP="006B472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="0097174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1000" w14:textId="77777777" w:rsidR="00971744" w:rsidRPr="005E1B25" w:rsidRDefault="00971744" w:rsidP="0097174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C603" w14:textId="77777777" w:rsidR="00971744" w:rsidRPr="005E1B25" w:rsidRDefault="00971744" w:rsidP="0097174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71744" w:rsidRPr="005E1B25" w14:paraId="053AE043" w14:textId="77777777" w:rsidTr="00B124B6">
        <w:trPr>
          <w:trHeight w:val="4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0178" w14:textId="4694631C" w:rsidR="00971744" w:rsidRPr="005E1B25" w:rsidRDefault="00971744" w:rsidP="006B472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7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A-95 </w:t>
            </w:r>
            <w:r w:rsidR="000920B8" w:rsidRPr="000920B8">
              <w:rPr>
                <w:rFonts w:ascii="Times New Roman" w:hAnsi="Times New Roman"/>
                <w:color w:val="000000"/>
                <w:sz w:val="24"/>
                <w:szCs w:val="24"/>
              </w:rPr>
              <w:t>(naujas žymėjimas benzinas 95 E(5÷10) benzinas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45EA" w14:textId="5AEF1465" w:rsidR="00971744" w:rsidRPr="005E1B25" w:rsidRDefault="00971744" w:rsidP="006B472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0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Litras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FC5F" w14:textId="087592E4" w:rsidR="00971744" w:rsidRPr="00E81026" w:rsidRDefault="006B4722" w:rsidP="006B472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="0097174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A49A" w14:textId="77777777" w:rsidR="00971744" w:rsidRPr="005E1B25" w:rsidRDefault="00971744" w:rsidP="0097174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647C" w14:textId="77777777" w:rsidR="00971744" w:rsidRPr="005E1B25" w:rsidRDefault="00971744" w:rsidP="0097174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71744" w:rsidRPr="005E1B25" w14:paraId="51B63231" w14:textId="77777777" w:rsidTr="00B124B6">
        <w:trPr>
          <w:trHeight w:val="4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4A02" w14:textId="7275CD50" w:rsidR="00971744" w:rsidRPr="005E1B25" w:rsidRDefault="00971744" w:rsidP="006B472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70F">
              <w:rPr>
                <w:rFonts w:ascii="Times New Roman" w:hAnsi="Times New Roman"/>
                <w:color w:val="000000"/>
                <w:sz w:val="24"/>
                <w:szCs w:val="24"/>
              </w:rPr>
              <w:t>Dyzelinis kuras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FF46" w14:textId="2C5267BB" w:rsidR="00971744" w:rsidRPr="005E1B25" w:rsidRDefault="00971744" w:rsidP="006B472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0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Litras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0462" w14:textId="1BF0E0F9" w:rsidR="00971744" w:rsidRPr="00E81026" w:rsidRDefault="006B4722" w:rsidP="006B472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  <w:r w:rsidR="0097174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0948" w14:textId="77777777" w:rsidR="00971744" w:rsidRPr="005E1B25" w:rsidRDefault="00971744" w:rsidP="0097174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D55E" w14:textId="77777777" w:rsidR="00971744" w:rsidRPr="005E1B25" w:rsidRDefault="00971744" w:rsidP="0097174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016E" w:rsidRPr="005E1B25" w14:paraId="0C531B2C" w14:textId="77777777" w:rsidTr="00971744">
        <w:trPr>
          <w:trHeight w:val="548"/>
        </w:trPr>
        <w:tc>
          <w:tcPr>
            <w:tcW w:w="7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0871" w14:textId="77777777" w:rsidR="00E1016E" w:rsidRPr="005E1B25" w:rsidRDefault="00E1016E" w:rsidP="00EE7812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B25">
              <w:rPr>
                <w:rFonts w:ascii="Times New Roman" w:eastAsia="Times New Roman" w:hAnsi="Times New Roman"/>
                <w:b/>
                <w:sz w:val="24"/>
                <w:szCs w:val="24"/>
              </w:rPr>
              <w:t>Palyginamoji kaina (vertinimui) iš viso Eur su PVM: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BAED" w14:textId="77777777" w:rsidR="00E1016E" w:rsidRPr="005E1B25" w:rsidRDefault="00E1016E" w:rsidP="00EE78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B46313C" w14:textId="77777777" w:rsidR="00E1016E" w:rsidRPr="005E1B25" w:rsidRDefault="00E1016E" w:rsidP="00E1016E">
      <w:pPr>
        <w:spacing w:after="240" w:line="240" w:lineRule="auto"/>
        <w:rPr>
          <w:rFonts w:ascii="Times New Roman" w:eastAsia="Times New Roman" w:hAnsi="Times New Roman"/>
          <w:sz w:val="24"/>
          <w:szCs w:val="20"/>
        </w:rPr>
      </w:pPr>
      <w:r w:rsidRPr="005E1B25">
        <w:rPr>
          <w:rFonts w:ascii="Times New Roman" w:eastAsia="Times New Roman" w:hAnsi="Times New Roman"/>
          <w:b/>
          <w:sz w:val="24"/>
          <w:szCs w:val="20"/>
        </w:rPr>
        <w:t xml:space="preserve">Palyginamoji kaina (vertinimui) </w:t>
      </w:r>
      <w:r w:rsidRPr="005E1B25">
        <w:rPr>
          <w:rFonts w:ascii="Times New Roman" w:eastAsia="Times New Roman" w:hAnsi="Times New Roman"/>
          <w:b/>
          <w:bCs/>
          <w:sz w:val="24"/>
          <w:szCs w:val="20"/>
        </w:rPr>
        <w:t>EUR (su PVM)</w:t>
      </w:r>
      <w:r w:rsidRPr="005E1B25">
        <w:rPr>
          <w:rFonts w:ascii="Times New Roman" w:eastAsia="Times New Roman" w:hAnsi="Times New Roman"/>
          <w:sz w:val="24"/>
          <w:szCs w:val="20"/>
        </w:rPr>
        <w:t xml:space="preserve"> </w:t>
      </w:r>
      <w:r w:rsidRPr="005E1B25">
        <w:rPr>
          <w:rFonts w:ascii="Times New Roman" w:eastAsia="Times New Roman" w:hAnsi="Times New Roman"/>
          <w:b/>
          <w:bCs/>
          <w:sz w:val="24"/>
          <w:szCs w:val="20"/>
        </w:rPr>
        <w:t>_______________ (</w:t>
      </w:r>
      <w:r w:rsidRPr="005E1B25">
        <w:rPr>
          <w:rFonts w:ascii="Times New Roman" w:eastAsia="Times New Roman" w:hAnsi="Times New Roman"/>
          <w:b/>
          <w:bCs/>
          <w:i/>
          <w:sz w:val="24"/>
          <w:szCs w:val="20"/>
        </w:rPr>
        <w:t>nurodoma kaina žodžiais</w:t>
      </w:r>
      <w:r w:rsidRPr="005E1B25">
        <w:rPr>
          <w:rFonts w:ascii="Times New Roman" w:eastAsia="Times New Roman" w:hAnsi="Times New Roman"/>
          <w:b/>
          <w:bCs/>
          <w:sz w:val="24"/>
          <w:szCs w:val="20"/>
        </w:rPr>
        <w:t>).</w:t>
      </w:r>
    </w:p>
    <w:p w14:paraId="7EDBCB38" w14:textId="77777777" w:rsidR="00E1016E" w:rsidRPr="005E1B25" w:rsidRDefault="00E1016E" w:rsidP="00E1016E">
      <w:pPr>
        <w:tabs>
          <w:tab w:val="left" w:pos="720"/>
        </w:tabs>
        <w:spacing w:after="120" w:line="240" w:lineRule="auto"/>
        <w:rPr>
          <w:rFonts w:ascii="Times New Roman" w:eastAsia="Times New Roman" w:hAnsi="Times New Roman"/>
          <w:i/>
          <w:iCs/>
          <w:noProof/>
          <w:color w:val="000000"/>
          <w:sz w:val="24"/>
          <w:szCs w:val="20"/>
        </w:rPr>
      </w:pPr>
      <w:r w:rsidRPr="005E1B25">
        <w:rPr>
          <w:rFonts w:ascii="Times New Roman" w:eastAsia="Times New Roman" w:hAnsi="Times New Roman"/>
          <w:i/>
          <w:iCs/>
          <w:noProof/>
          <w:color w:val="000000"/>
          <w:sz w:val="24"/>
          <w:szCs w:val="20"/>
        </w:rPr>
        <w:t>*</w:t>
      </w:r>
      <w:r w:rsidRPr="005E1B25">
        <w:rPr>
          <w:rFonts w:ascii="Times New Roman" w:eastAsia="Times New Roman" w:hAnsi="Times New Roman"/>
          <w:b/>
          <w:bCs/>
          <w:i/>
          <w:iCs/>
          <w:noProof/>
          <w:color w:val="000000"/>
          <w:sz w:val="24"/>
          <w:szCs w:val="20"/>
        </w:rPr>
        <w:t xml:space="preserve"> </w:t>
      </w:r>
      <w:r w:rsidRPr="005E1B25">
        <w:rPr>
          <w:rFonts w:ascii="Times New Roman" w:eastAsia="Times New Roman" w:hAnsi="Times New Roman"/>
          <w:i/>
          <w:iCs/>
          <w:noProof/>
          <w:color w:val="000000"/>
          <w:sz w:val="24"/>
          <w:szCs w:val="20"/>
        </w:rPr>
        <w:t>Tuo atveju, kai PVM Prekėms netaikomas, nurodomos priežastys, kokiu teisiniu pagrindu remiantis PVM netaikomas: _____________________________________ (įrašoma).</w:t>
      </w:r>
    </w:p>
    <w:p w14:paraId="5110306F" w14:textId="77777777" w:rsidR="00E1016E" w:rsidRPr="005E1B25" w:rsidRDefault="00E1016E" w:rsidP="00E1016E">
      <w:pPr>
        <w:spacing w:after="60" w:line="240" w:lineRule="auto"/>
        <w:rPr>
          <w:rFonts w:ascii="Times New Roman" w:eastAsia="Times New Roman" w:hAnsi="Times New Roman"/>
          <w:i/>
          <w:iCs/>
          <w:sz w:val="24"/>
          <w:szCs w:val="20"/>
        </w:rPr>
      </w:pPr>
      <w:r w:rsidRPr="005E1B25">
        <w:rPr>
          <w:rFonts w:ascii="Times New Roman" w:eastAsia="Times New Roman" w:hAnsi="Times New Roman"/>
          <w:i/>
          <w:iCs/>
          <w:sz w:val="24"/>
          <w:szCs w:val="20"/>
        </w:rPr>
        <w:t>** Pastabos:</w:t>
      </w:r>
    </w:p>
    <w:p w14:paraId="751EED5C" w14:textId="77777777" w:rsidR="00E1016E" w:rsidRPr="005E1B25" w:rsidRDefault="00E1016E" w:rsidP="00E1016E">
      <w:pPr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contextualSpacing/>
        <w:rPr>
          <w:rFonts w:ascii="Times New Roman" w:eastAsia="Times New Roman" w:hAnsi="Times New Roman"/>
          <w:i/>
          <w:iCs/>
          <w:sz w:val="24"/>
          <w:szCs w:val="20"/>
        </w:rPr>
      </w:pPr>
      <w:r w:rsidRPr="005E1B25">
        <w:rPr>
          <w:rFonts w:ascii="Times New Roman" w:eastAsia="Times New Roman" w:hAnsi="Times New Roman"/>
          <w:i/>
          <w:iCs/>
          <w:sz w:val="24"/>
          <w:szCs w:val="20"/>
        </w:rPr>
        <w:t>Bendra pasiūlymo kaina (palyginamoji pasiūlymo kaina) yra skirta tik tiekėjų pasiūlymų vertinimui ir į sutartį įrašoma nebus. Pasiūlymų vertinimo metu pati AB „</w:t>
      </w:r>
      <w:proofErr w:type="spellStart"/>
      <w:r w:rsidRPr="005E1B25">
        <w:rPr>
          <w:rFonts w:ascii="Times New Roman" w:eastAsia="Times New Roman" w:hAnsi="Times New Roman"/>
          <w:i/>
          <w:iCs/>
          <w:sz w:val="24"/>
          <w:szCs w:val="20"/>
        </w:rPr>
        <w:t>Orlen</w:t>
      </w:r>
      <w:proofErr w:type="spellEnd"/>
      <w:r w:rsidRPr="005E1B25">
        <w:rPr>
          <w:rFonts w:ascii="Times New Roman" w:eastAsia="Times New Roman" w:hAnsi="Times New Roman"/>
          <w:i/>
          <w:iCs/>
          <w:sz w:val="24"/>
          <w:szCs w:val="20"/>
        </w:rPr>
        <w:t xml:space="preserve"> Lietuva“ protokolo bazinė kaina nelyginama ir į vertinimą neįtraukiama – ji bus svarbi vėliau, vykdant sutartį. Į sutartį bus įtraukiama tiekėjo pasiūlyta nuolaida ar antkainis.</w:t>
      </w:r>
    </w:p>
    <w:p w14:paraId="3E84D6DC" w14:textId="77777777" w:rsidR="00E1016E" w:rsidRPr="005E1B25" w:rsidRDefault="00E1016E" w:rsidP="00E1016E">
      <w:pPr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contextualSpacing/>
        <w:rPr>
          <w:rFonts w:ascii="Times New Roman" w:eastAsia="Times New Roman" w:hAnsi="Times New Roman"/>
          <w:i/>
          <w:iCs/>
          <w:sz w:val="24"/>
          <w:szCs w:val="20"/>
        </w:rPr>
      </w:pPr>
      <w:r w:rsidRPr="005E1B25">
        <w:rPr>
          <w:rFonts w:ascii="Times New Roman" w:eastAsia="Times New Roman" w:hAnsi="Times New Roman"/>
          <w:i/>
          <w:iCs/>
          <w:sz w:val="24"/>
          <w:szCs w:val="20"/>
        </w:rPr>
        <w:t>Tiekėjas pasiūlyme turi nurodyti antkainį ar nuolaidą nuo Lietuvos naftos produktus gaminančios įmonės AB „</w:t>
      </w:r>
      <w:proofErr w:type="spellStart"/>
      <w:r w:rsidRPr="005E1B25">
        <w:rPr>
          <w:rFonts w:ascii="Times New Roman" w:eastAsia="Times New Roman" w:hAnsi="Times New Roman"/>
          <w:i/>
          <w:iCs/>
          <w:sz w:val="24"/>
          <w:szCs w:val="20"/>
        </w:rPr>
        <w:t>Orlen</w:t>
      </w:r>
      <w:proofErr w:type="spellEnd"/>
      <w:r w:rsidRPr="005E1B25">
        <w:rPr>
          <w:rFonts w:ascii="Times New Roman" w:eastAsia="Times New Roman" w:hAnsi="Times New Roman"/>
          <w:i/>
          <w:iCs/>
          <w:sz w:val="24"/>
          <w:szCs w:val="20"/>
        </w:rPr>
        <w:t xml:space="preserve"> Lietuva“ Juodeikių k. terminalo protokolo bazinės degalų kainos </w:t>
      </w:r>
      <w:bookmarkStart w:id="8" w:name="_Hlk28346774"/>
      <w:r w:rsidRPr="005E1B25">
        <w:rPr>
          <w:rFonts w:ascii="Times New Roman" w:eastAsia="Times New Roman" w:hAnsi="Times New Roman"/>
          <w:i/>
          <w:iCs/>
          <w:sz w:val="24"/>
          <w:szCs w:val="20"/>
        </w:rPr>
        <w:t xml:space="preserve">su akcizo mokesčiu ir PVM </w:t>
      </w:r>
      <w:bookmarkEnd w:id="8"/>
      <w:r w:rsidRPr="005E1B25">
        <w:rPr>
          <w:rFonts w:ascii="Times New Roman" w:eastAsia="Times New Roman" w:hAnsi="Times New Roman"/>
          <w:i/>
          <w:iCs/>
          <w:sz w:val="24"/>
          <w:szCs w:val="20"/>
        </w:rPr>
        <w:t>(AB „</w:t>
      </w:r>
      <w:proofErr w:type="spellStart"/>
      <w:r w:rsidRPr="005E1B25">
        <w:rPr>
          <w:rFonts w:ascii="Times New Roman" w:eastAsia="Times New Roman" w:hAnsi="Times New Roman"/>
          <w:i/>
          <w:iCs/>
          <w:sz w:val="24"/>
          <w:szCs w:val="20"/>
        </w:rPr>
        <w:t>Orlen</w:t>
      </w:r>
      <w:proofErr w:type="spellEnd"/>
      <w:r w:rsidRPr="005E1B25">
        <w:rPr>
          <w:rFonts w:ascii="Times New Roman" w:eastAsia="Times New Roman" w:hAnsi="Times New Roman"/>
          <w:i/>
          <w:iCs/>
          <w:sz w:val="24"/>
          <w:szCs w:val="20"/>
        </w:rPr>
        <w:t xml:space="preserve"> Lietuva“ naftos produktų kainų protokolai: </w:t>
      </w:r>
      <w:hyperlink r:id="rId11" w:history="1">
        <w:r w:rsidRPr="005E1B25">
          <w:rPr>
            <w:rFonts w:ascii="Times New Roman" w:eastAsia="Times New Roman" w:hAnsi="Times New Roman"/>
            <w:i/>
            <w:iCs/>
            <w:color w:val="0000FF"/>
            <w:sz w:val="24"/>
            <w:szCs w:val="20"/>
            <w:u w:val="single"/>
          </w:rPr>
          <w:t>http://www.orlenlietuva.lt/LT/Wholesale/Puslapiai/Kainu-protokolai.aspx</w:t>
        </w:r>
      </w:hyperlink>
      <w:r w:rsidRPr="005E1B25">
        <w:rPr>
          <w:rFonts w:ascii="Times New Roman" w:eastAsia="Times New Roman" w:hAnsi="Times New Roman"/>
          <w:i/>
          <w:iCs/>
          <w:sz w:val="24"/>
          <w:szCs w:val="20"/>
        </w:rPr>
        <w:t xml:space="preserve">) už 1000 litrų degalų, esant 15 °C temperatūrai, kurį įsipareigoja taikyti perkančiosios organizacijos įsigyjamiems degalams sutarties galiojimo laikotarpiu. </w:t>
      </w:r>
    </w:p>
    <w:p w14:paraId="09339A41" w14:textId="77777777" w:rsidR="00E1016E" w:rsidRPr="005E1B25" w:rsidRDefault="00E1016E" w:rsidP="00E1016E">
      <w:pPr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contextualSpacing/>
        <w:rPr>
          <w:rFonts w:ascii="Times New Roman" w:eastAsia="Times New Roman" w:hAnsi="Times New Roman"/>
          <w:b/>
          <w:bCs/>
          <w:i/>
          <w:iCs/>
          <w:sz w:val="24"/>
          <w:szCs w:val="20"/>
        </w:rPr>
      </w:pPr>
      <w:r w:rsidRPr="005E1B2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 xml:space="preserve">Laimėtojas bus nustatomas </w:t>
      </w:r>
      <w:r w:rsidRPr="005E1B25"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>pagal mažiausią antkainį ar didžiausią nuolaidą</w:t>
      </w:r>
      <w:r w:rsidRPr="005E1B2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>, kurį (-</w:t>
      </w:r>
      <w:proofErr w:type="spellStart"/>
      <w:r w:rsidRPr="005E1B2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>ią</w:t>
      </w:r>
      <w:proofErr w:type="spellEnd"/>
      <w:r w:rsidRPr="005E1B2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>) TIEKĖJAS įsipareigoja sutarties vykdymo metu taikyti prie (nuo) AB „</w:t>
      </w:r>
      <w:proofErr w:type="spellStart"/>
      <w:r w:rsidRPr="005E1B2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>Orlen</w:t>
      </w:r>
      <w:proofErr w:type="spellEnd"/>
      <w:r w:rsidRPr="005E1B2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 xml:space="preserve"> Lietuva“ interneto tinklalapyje skelbiamos bazinės dyzelino 1000 litrų kainos eurais (įskaitant akcizą ir PVM), galiojusios kuro pylimo dieną, 10.00 val., taikomos Juodeikių km., Mažeikių raj., terminale. </w:t>
      </w:r>
      <w:r w:rsidRPr="005E1B25">
        <w:rPr>
          <w:rFonts w:ascii="Times New Roman" w:eastAsia="Times New Roman" w:hAnsi="Times New Roman"/>
          <w:b/>
          <w:bCs/>
          <w:i/>
          <w:iCs/>
          <w:sz w:val="24"/>
          <w:szCs w:val="20"/>
        </w:rPr>
        <w:t xml:space="preserve">Sezoniniai temperatūriniai koeficientai nebus taikomi. Kitos klasės degalų kaina pradedama taikyti tik tada, kai ankščiau naudotos degalų klasės kaina nebeskelbiama. </w:t>
      </w:r>
      <w:r w:rsidRPr="005E1B25">
        <w:rPr>
          <w:rFonts w:ascii="Times New Roman" w:eastAsia="Times New Roman" w:hAnsi="Times New Roman"/>
          <w:i/>
          <w:iCs/>
          <w:sz w:val="24"/>
          <w:szCs w:val="20"/>
        </w:rPr>
        <w:t>Nuolaida pateikiama nurodant neigiamą skaičių (-), o antkainis pateikiamas nurodant teigiamą skaičių (+).</w:t>
      </w:r>
    </w:p>
    <w:p w14:paraId="1BB16B69" w14:textId="77777777" w:rsidR="00E1016E" w:rsidRPr="005E1B25" w:rsidRDefault="00E1016E" w:rsidP="00E1016E">
      <w:pPr>
        <w:numPr>
          <w:ilvl w:val="0"/>
          <w:numId w:val="19"/>
        </w:numPr>
        <w:tabs>
          <w:tab w:val="left" w:pos="284"/>
        </w:tabs>
        <w:spacing w:after="240" w:line="240" w:lineRule="auto"/>
        <w:ind w:left="0" w:firstLine="0"/>
        <w:contextualSpacing/>
        <w:rPr>
          <w:rFonts w:ascii="Times New Roman" w:eastAsia="Times New Roman" w:hAnsi="Times New Roman"/>
          <w:b/>
          <w:bCs/>
          <w:i/>
          <w:iCs/>
          <w:sz w:val="24"/>
          <w:szCs w:val="20"/>
        </w:rPr>
      </w:pPr>
      <w:r w:rsidRPr="005E1B25">
        <w:rPr>
          <w:rFonts w:ascii="Times New Roman" w:eastAsia="Times New Roman" w:hAnsi="Times New Roman"/>
          <w:b/>
          <w:i/>
          <w:iCs/>
          <w:sz w:val="24"/>
          <w:szCs w:val="20"/>
        </w:rPr>
        <w:t>Skaičiavimai turi būti atliekami trijų skaičių po kablelio tikslumu.</w:t>
      </w:r>
      <w:r w:rsidRPr="005E1B25">
        <w:rPr>
          <w:rFonts w:ascii="Times New Roman" w:eastAsia="Times New Roman" w:hAnsi="Times New Roman"/>
          <w:i/>
          <w:iCs/>
          <w:sz w:val="24"/>
          <w:szCs w:val="20"/>
        </w:rPr>
        <w:t xml:space="preserve"> Apvalinimas turi būti atliekamas aritmetiškai pagal matematines skaičių apvalinimo taisykles (jeigu po paskutinio reikšminio skaitmens skaitmuo yra 5 arba didesnis už 5, prie paskutiniojo reikšminio skaitmens yra pridedamas 1, jeigu skaitmuo po paskutiniojo reikšminio skaitmens yra mažesnis negu 5, paskutinis reikšminis skaitmuo lieka nepakitęs).</w:t>
      </w:r>
    </w:p>
    <w:p w14:paraId="00724CAD" w14:textId="77777777" w:rsidR="00E1016E" w:rsidRPr="005E1B25" w:rsidRDefault="00E1016E" w:rsidP="00E1016E">
      <w:pPr>
        <w:tabs>
          <w:tab w:val="left" w:pos="1418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3BF43ECC" w14:textId="77777777" w:rsidR="00E1016E" w:rsidRPr="005E1B25" w:rsidRDefault="00E1016E" w:rsidP="00E1016E">
      <w:pPr>
        <w:tabs>
          <w:tab w:val="left" w:pos="1418"/>
        </w:tabs>
        <w:spacing w:line="240" w:lineRule="auto"/>
        <w:rPr>
          <w:rFonts w:ascii="Times New Roman" w:eastAsia="Batang" w:hAnsi="Times New Roman"/>
          <w:sz w:val="24"/>
          <w:szCs w:val="24"/>
        </w:rPr>
      </w:pPr>
      <w:r w:rsidRPr="005E1B25">
        <w:rPr>
          <w:rFonts w:ascii="Times New Roman" w:eastAsia="Batang" w:hAnsi="Times New Roman"/>
          <w:sz w:val="24"/>
          <w:szCs w:val="24"/>
        </w:rPr>
        <w:t>Siūlomos prekės visiškai atitinka pirkimo dokumentuose nurodytus reikalavimus.</w:t>
      </w:r>
    </w:p>
    <w:p w14:paraId="2419E98F" w14:textId="77777777" w:rsidR="00E1016E" w:rsidRPr="00E81026" w:rsidRDefault="00E1016E" w:rsidP="00E1016E">
      <w:pPr>
        <w:spacing w:line="360" w:lineRule="auto"/>
        <w:ind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E81026">
        <w:rPr>
          <w:rFonts w:ascii="Times New Roman" w:eastAsia="Times New Roman" w:hAnsi="Times New Roman"/>
          <w:sz w:val="24"/>
          <w:szCs w:val="24"/>
        </w:rPr>
        <w:lastRenderedPageBreak/>
        <w:t>Jei suma skaičiais neatitinka sumos žodžiais, teisinga laikoma suma žodžiais.</w:t>
      </w:r>
    </w:p>
    <w:p w14:paraId="1121E2E7" w14:textId="77777777" w:rsidR="00E1016E" w:rsidRPr="00E81026" w:rsidRDefault="00E1016E" w:rsidP="00E1016E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C0A6420" w14:textId="77777777" w:rsidR="00E1016E" w:rsidRPr="00E81026" w:rsidRDefault="00E1016E" w:rsidP="00E1016E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E81026">
        <w:rPr>
          <w:rFonts w:ascii="Times New Roman" w:hAnsi="Times New Roman"/>
          <w:color w:val="000000"/>
          <w:sz w:val="24"/>
          <w:szCs w:val="24"/>
        </w:rPr>
        <w:t>Kartu su pasiūlymu pateikiami šie dokumentai:</w:t>
      </w:r>
    </w:p>
    <w:p w14:paraId="15AFFFE9" w14:textId="77777777" w:rsidR="00E1016E" w:rsidRPr="00E81026" w:rsidRDefault="00E1016E" w:rsidP="00E1016E">
      <w:pPr>
        <w:spacing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944"/>
        <w:gridCol w:w="2026"/>
      </w:tblGrid>
      <w:tr w:rsidR="00E1016E" w:rsidRPr="00E81026" w14:paraId="6EC63395" w14:textId="77777777" w:rsidTr="00EE7812">
        <w:tc>
          <w:tcPr>
            <w:tcW w:w="675" w:type="dxa"/>
            <w:vAlign w:val="center"/>
          </w:tcPr>
          <w:p w14:paraId="1BF950C8" w14:textId="02F37E63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6B4722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>il.Nr</w:t>
            </w:r>
            <w:proofErr w:type="spellEnd"/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vAlign w:val="center"/>
          </w:tcPr>
          <w:p w14:paraId="469CD8E8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>Pateiktų dokumentų pavadinimas</w:t>
            </w:r>
          </w:p>
        </w:tc>
        <w:tc>
          <w:tcPr>
            <w:tcW w:w="2027" w:type="dxa"/>
            <w:vAlign w:val="center"/>
          </w:tcPr>
          <w:p w14:paraId="0A3A045E" w14:textId="77777777" w:rsidR="00E1016E" w:rsidRPr="00E81026" w:rsidRDefault="00E1016E" w:rsidP="006B4722">
            <w:pPr>
              <w:spacing w:line="36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>Dokumento puslapių skaičius</w:t>
            </w:r>
          </w:p>
        </w:tc>
      </w:tr>
      <w:tr w:rsidR="00E1016E" w:rsidRPr="00E81026" w14:paraId="5EC742E0" w14:textId="77777777" w:rsidTr="00EE7812">
        <w:tc>
          <w:tcPr>
            <w:tcW w:w="675" w:type="dxa"/>
          </w:tcPr>
          <w:p w14:paraId="44B5C620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C7EA227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11F748D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16E" w:rsidRPr="00E81026" w14:paraId="6C028D57" w14:textId="77777777" w:rsidTr="00EE7812">
        <w:tc>
          <w:tcPr>
            <w:tcW w:w="675" w:type="dxa"/>
          </w:tcPr>
          <w:p w14:paraId="1D5D7CBE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687580C" w14:textId="77777777" w:rsidR="00E1016E" w:rsidRPr="00E81026" w:rsidRDefault="00E1016E" w:rsidP="00EE7812">
            <w:pPr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14981BA" w14:textId="77777777" w:rsidR="00E1016E" w:rsidRPr="00E81026" w:rsidRDefault="00E1016E" w:rsidP="00EE78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8F53B77" w14:textId="77777777" w:rsidR="00E1016E" w:rsidRPr="00E81026" w:rsidRDefault="00E1016E" w:rsidP="00E1016E">
      <w:pPr>
        <w:spacing w:line="360" w:lineRule="auto"/>
        <w:ind w:right="252" w:firstLine="7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E1016E" w:rsidRPr="00E81026" w14:paraId="6BC0104F" w14:textId="77777777" w:rsidTr="00EE7812">
        <w:trPr>
          <w:trHeight w:val="324"/>
        </w:trPr>
        <w:tc>
          <w:tcPr>
            <w:tcW w:w="9828" w:type="dxa"/>
          </w:tcPr>
          <w:p w14:paraId="32F71D9F" w14:textId="77777777" w:rsidR="00E1016E" w:rsidRPr="00E81026" w:rsidRDefault="00E1016E" w:rsidP="00EE7812">
            <w:pPr>
              <w:spacing w:line="360" w:lineRule="auto"/>
              <w:ind w:right="-108"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>Pasiūlymas galioja Pirkimo dokumentuose nustatytą laiką.</w:t>
            </w:r>
          </w:p>
          <w:p w14:paraId="4D382AFD" w14:textId="77777777" w:rsidR="00E1016E" w:rsidRPr="00E81026" w:rsidRDefault="00E1016E" w:rsidP="00EE7812">
            <w:pPr>
              <w:spacing w:line="360" w:lineRule="auto"/>
              <w:ind w:right="-108"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Ši pasiūlyme nurodyta informacija yra konfidenciali</w:t>
            </w:r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02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/perkančioji organizacija šios informacijos negali atskleisti tretiesiems asmenims/</w:t>
            </w:r>
            <w:r w:rsidRPr="00E8102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7ED5F7A9" w14:textId="77777777" w:rsidR="00E1016E" w:rsidRPr="00E81026" w:rsidRDefault="00E1016E" w:rsidP="00EE7812">
            <w:pPr>
              <w:spacing w:line="360" w:lineRule="auto"/>
              <w:ind w:right="-108"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070"/>
            </w:tblGrid>
            <w:tr w:rsidR="00E1016E" w:rsidRPr="00E81026" w14:paraId="5FD0CACD" w14:textId="77777777" w:rsidTr="00EE7812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00BB" w14:textId="52444BD8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102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</w:t>
                  </w:r>
                  <w:r w:rsidR="006B472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</w:t>
                  </w:r>
                  <w:r w:rsidRPr="00E8102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il.Nr</w:t>
                  </w:r>
                  <w:proofErr w:type="spellEnd"/>
                  <w:r w:rsidRPr="00E8102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80D53" w14:textId="77777777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102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4320C" w14:textId="77777777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102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Dokumentas yra įkeltas šioje CVP IS pasiūlymo lango eilutėje („Prisegti dokumentai“ arba </w:t>
                  </w:r>
                  <w:r w:rsidRPr="00E8102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„Kvalifikaciniai klausimai“ prie atsakymo į klausimą)</w:t>
                  </w:r>
                </w:p>
              </w:tc>
            </w:tr>
            <w:tr w:rsidR="00E1016E" w:rsidRPr="00E81026" w14:paraId="68363AC4" w14:textId="77777777" w:rsidTr="00EE7812">
              <w:trPr>
                <w:trHeight w:val="24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10F82" w14:textId="77777777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CE3CB" w14:textId="77777777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B95FF" w14:textId="77777777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1016E" w:rsidRPr="00E81026" w14:paraId="14A31B0F" w14:textId="77777777" w:rsidTr="00EE7812">
              <w:trPr>
                <w:trHeight w:val="256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956F6" w14:textId="77777777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9C21A" w14:textId="77777777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85C20" w14:textId="77777777" w:rsidR="00E1016E" w:rsidRPr="00E81026" w:rsidRDefault="00E1016E" w:rsidP="00EE7812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051C359" w14:textId="77777777" w:rsidR="00E1016E" w:rsidRPr="00E81026" w:rsidRDefault="00E1016E" w:rsidP="00EE7812">
            <w:pPr>
              <w:spacing w:line="360" w:lineRule="auto"/>
              <w:ind w:right="-108"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23EA4E1" w14:textId="77777777" w:rsidR="00E1016E" w:rsidRPr="00E81026" w:rsidRDefault="00E1016E" w:rsidP="00E1016E">
      <w:pPr>
        <w:spacing w:line="360" w:lineRule="auto"/>
        <w:rPr>
          <w:rFonts w:ascii="Times New Roman" w:hAnsi="Times New Roman"/>
          <w:strike/>
          <w:color w:val="000000"/>
          <w:sz w:val="24"/>
          <w:szCs w:val="24"/>
        </w:rPr>
      </w:pPr>
      <w:r w:rsidRPr="00E81026">
        <w:rPr>
          <w:rFonts w:ascii="Times New Roman" w:hAnsi="Times New Roman"/>
          <w:color w:val="000000"/>
          <w:sz w:val="24"/>
          <w:szCs w:val="24"/>
        </w:rPr>
        <w:t xml:space="preserve">Pastaba. Tiekėjui nenurodžius, kokia informacija yra konfidenciali, laikoma, kad konfidencialios informacijos pasiūlyme nėra. </w:t>
      </w:r>
    </w:p>
    <w:p w14:paraId="78482114" w14:textId="77777777" w:rsidR="00E1016E" w:rsidRPr="00E81026" w:rsidRDefault="00E1016E" w:rsidP="00E1016E">
      <w:pPr>
        <w:shd w:val="clear" w:color="auto" w:fill="FFFFFF"/>
        <w:spacing w:line="360" w:lineRule="auto"/>
        <w:ind w:firstLine="720"/>
        <w:rPr>
          <w:rFonts w:ascii="Times New Roman" w:hAnsi="Times New Roman"/>
          <w:color w:val="000000"/>
          <w:lang w:val="en-US"/>
        </w:rPr>
      </w:pPr>
      <w:r w:rsidRPr="00E81026">
        <w:rPr>
          <w:rFonts w:ascii="Times New Roman" w:hAnsi="Times New Roman"/>
          <w:b/>
          <w:color w:val="000000"/>
          <w:sz w:val="24"/>
          <w:szCs w:val="24"/>
        </w:rPr>
        <w:tab/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1016E" w:rsidRPr="00E81026" w14:paraId="67181B38" w14:textId="77777777" w:rsidTr="00EE781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9F833" w14:textId="77777777" w:rsidR="00E1016E" w:rsidRPr="00E81026" w:rsidRDefault="00E1016E" w:rsidP="00EE7812">
            <w:pPr>
              <w:spacing w:line="360" w:lineRule="auto"/>
              <w:ind w:right="-1"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</w:tcPr>
          <w:p w14:paraId="1F2380CA" w14:textId="77777777" w:rsidR="00E1016E" w:rsidRPr="00E81026" w:rsidRDefault="00E1016E" w:rsidP="00EE7812">
            <w:pPr>
              <w:spacing w:line="360" w:lineRule="auto"/>
              <w:ind w:right="-1"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08B12" w14:textId="77777777" w:rsidR="00E1016E" w:rsidRPr="00E81026" w:rsidRDefault="00E1016E" w:rsidP="00EE7812">
            <w:pPr>
              <w:spacing w:line="360" w:lineRule="auto"/>
              <w:ind w:right="-1"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</w:tcPr>
          <w:p w14:paraId="05B3F92D" w14:textId="77777777" w:rsidR="00E1016E" w:rsidRPr="00E81026" w:rsidRDefault="00E1016E" w:rsidP="00EE7812">
            <w:pPr>
              <w:spacing w:line="360" w:lineRule="auto"/>
              <w:ind w:right="-1"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AD956" w14:textId="77777777" w:rsidR="00E1016E" w:rsidRPr="00E81026" w:rsidRDefault="00E1016E" w:rsidP="00EE7812">
            <w:pPr>
              <w:spacing w:line="360" w:lineRule="auto"/>
              <w:ind w:right="-1" w:firstLine="7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14:paraId="7220959A" w14:textId="77777777" w:rsidR="00E1016E" w:rsidRPr="00E81026" w:rsidRDefault="00E1016E" w:rsidP="00EE7812">
            <w:pPr>
              <w:spacing w:line="360" w:lineRule="auto"/>
              <w:ind w:right="-1" w:firstLine="7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16E" w:rsidRPr="00E81026" w14:paraId="604D958E" w14:textId="77777777" w:rsidTr="00EE781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9314D" w14:textId="77777777" w:rsidR="00E1016E" w:rsidRPr="00E81026" w:rsidRDefault="00E1016E" w:rsidP="00EE7812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position w:val="6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color w:val="000000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145176A" w14:textId="77777777" w:rsidR="00E1016E" w:rsidRPr="00E81026" w:rsidRDefault="00E1016E" w:rsidP="00EE7812">
            <w:pPr>
              <w:spacing w:line="360" w:lineRule="auto"/>
              <w:ind w:right="-1"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FF913" w14:textId="77777777" w:rsidR="00E1016E" w:rsidRPr="00E81026" w:rsidRDefault="00E1016E" w:rsidP="00EE7812">
            <w:pPr>
              <w:spacing w:line="360" w:lineRule="auto"/>
              <w:ind w:right="-1"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color w:val="000000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5E233740" w14:textId="77777777" w:rsidR="00E1016E" w:rsidRPr="00E81026" w:rsidRDefault="00E1016E" w:rsidP="00EE7812">
            <w:pPr>
              <w:spacing w:line="360" w:lineRule="auto"/>
              <w:ind w:right="-1"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B8665" w14:textId="77777777" w:rsidR="00E1016E" w:rsidRPr="00E81026" w:rsidRDefault="00E1016E" w:rsidP="00EE7812">
            <w:pPr>
              <w:spacing w:line="36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026">
              <w:rPr>
                <w:rFonts w:ascii="Times New Roman" w:hAnsi="Times New Roman"/>
                <w:color w:val="000000"/>
                <w:position w:val="6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D2F72A2" w14:textId="77777777" w:rsidR="00E1016E" w:rsidRPr="00E81026" w:rsidRDefault="00E1016E" w:rsidP="00EE7812">
            <w:pPr>
              <w:spacing w:line="360" w:lineRule="auto"/>
              <w:ind w:right="-1"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E7DCE7E" w14:textId="77777777" w:rsidR="00E078A0" w:rsidRPr="00197970" w:rsidRDefault="00E078A0" w:rsidP="007D6542">
      <w:pPr>
        <w:spacing w:line="240" w:lineRule="auto"/>
        <w:ind w:left="7314" w:firstLine="0"/>
        <w:rPr>
          <w:rFonts w:ascii="Times New Roman" w:hAnsi="Times New Roman" w:cs="Times New Roman"/>
        </w:rPr>
      </w:pPr>
    </w:p>
    <w:p w14:paraId="3B35D96C" w14:textId="77777777" w:rsidR="00E078A0" w:rsidRPr="00197970" w:rsidRDefault="00E078A0" w:rsidP="007D6542">
      <w:pPr>
        <w:spacing w:line="240" w:lineRule="auto"/>
        <w:ind w:left="7314" w:firstLine="0"/>
        <w:rPr>
          <w:rFonts w:ascii="Times New Roman" w:hAnsi="Times New Roman" w:cs="Times New Roman"/>
        </w:rPr>
      </w:pPr>
    </w:p>
    <w:p w14:paraId="69A20E3E" w14:textId="77777777" w:rsidR="00E078A0" w:rsidRPr="00197970" w:rsidRDefault="00E078A0" w:rsidP="007D6542">
      <w:pPr>
        <w:spacing w:line="240" w:lineRule="auto"/>
        <w:ind w:left="7314" w:firstLine="0"/>
        <w:rPr>
          <w:rFonts w:ascii="Times New Roman" w:hAnsi="Times New Roman" w:cs="Times New Roman"/>
        </w:rPr>
      </w:pPr>
    </w:p>
    <w:bookmarkEnd w:id="0"/>
    <w:p w14:paraId="7A337066" w14:textId="11B24165" w:rsidR="00E1016E" w:rsidRDefault="00E1016E" w:rsidP="00BF3E24">
      <w:pPr>
        <w:ind w:firstLine="0"/>
        <w:rPr>
          <w:rFonts w:ascii="Times New Roman" w:hAnsi="Times New Roman" w:cs="Times New Roman"/>
        </w:rPr>
      </w:pPr>
    </w:p>
    <w:sectPr w:rsidR="00E1016E" w:rsidSect="00E1016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pgNumType w:start="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94C1" w14:textId="77777777" w:rsidR="00295F28" w:rsidRDefault="00295F28" w:rsidP="00D05666">
      <w:r>
        <w:separator/>
      </w:r>
    </w:p>
  </w:endnote>
  <w:endnote w:type="continuationSeparator" w:id="0">
    <w:p w14:paraId="5E3D03F7" w14:textId="77777777" w:rsidR="00295F28" w:rsidRDefault="00295F28" w:rsidP="00D05666">
      <w:r>
        <w:continuationSeparator/>
      </w:r>
    </w:p>
  </w:endnote>
  <w:endnote w:type="continuationNotice" w:id="1">
    <w:p w14:paraId="2B4B9E45" w14:textId="77777777" w:rsidR="00295F28" w:rsidRDefault="00295F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910FA5" w14:paraId="6DB6132A" w14:textId="77777777" w:rsidTr="0B831528">
      <w:tc>
        <w:tcPr>
          <w:tcW w:w="3600" w:type="dxa"/>
        </w:tcPr>
        <w:p w14:paraId="3DD6CB26" w14:textId="44274829" w:rsidR="00910FA5" w:rsidRDefault="00910FA5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910FA5" w:rsidRDefault="00910FA5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910FA5" w:rsidRDefault="00910FA5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910FA5" w:rsidRDefault="00910FA5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910FA5" w14:paraId="26379111" w14:textId="77777777" w:rsidTr="0B831528">
      <w:tc>
        <w:tcPr>
          <w:tcW w:w="3600" w:type="dxa"/>
        </w:tcPr>
        <w:p w14:paraId="47E711C1" w14:textId="19AB4DF1" w:rsidR="00910FA5" w:rsidRDefault="00910FA5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910FA5" w:rsidRDefault="00910FA5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910FA5" w:rsidRDefault="00910FA5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910FA5" w:rsidRDefault="00910FA5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6FDE" w14:textId="77777777" w:rsidR="00295F28" w:rsidRDefault="00295F28" w:rsidP="00D05666">
      <w:r>
        <w:separator/>
      </w:r>
    </w:p>
  </w:footnote>
  <w:footnote w:type="continuationSeparator" w:id="0">
    <w:p w14:paraId="5BF2FFA4" w14:textId="77777777" w:rsidR="00295F28" w:rsidRDefault="00295F28" w:rsidP="00D05666">
      <w:r>
        <w:continuationSeparator/>
      </w:r>
    </w:p>
  </w:footnote>
  <w:footnote w:type="continuationNotice" w:id="1">
    <w:p w14:paraId="626EA252" w14:textId="77777777" w:rsidR="00295F28" w:rsidRDefault="00295F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331821944"/>
      <w:docPartObj>
        <w:docPartGallery w:val="Page Numbers (Top of Page)"/>
        <w:docPartUnique/>
      </w:docPartObj>
    </w:sdtPr>
    <w:sdtContent>
      <w:p w14:paraId="092CAD6D" w14:textId="14D6C3D5" w:rsidR="00910FA5" w:rsidRPr="00000CE9" w:rsidRDefault="00BF3E2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D4E2" w14:textId="79DFBE9A" w:rsidR="00000CE9" w:rsidRPr="00000CE9" w:rsidRDefault="00000CE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2FBA12F4" w14:textId="40AB95AD" w:rsidR="00910FA5" w:rsidRDefault="00910F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954C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29"/>
        </w:tabs>
        <w:ind w:left="29" w:firstLine="39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0CE56DE"/>
    <w:multiLevelType w:val="multilevel"/>
    <w:tmpl w:val="D01A1C5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6684F03"/>
    <w:multiLevelType w:val="hybridMultilevel"/>
    <w:tmpl w:val="D78491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5C97"/>
    <w:multiLevelType w:val="multilevel"/>
    <w:tmpl w:val="9A567EDA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3983732"/>
    <w:multiLevelType w:val="multilevel"/>
    <w:tmpl w:val="F112F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7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A70A85"/>
    <w:multiLevelType w:val="multilevel"/>
    <w:tmpl w:val="B52A86F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48243F1E"/>
    <w:multiLevelType w:val="multilevel"/>
    <w:tmpl w:val="56CAEC8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4E427C36"/>
    <w:multiLevelType w:val="hybridMultilevel"/>
    <w:tmpl w:val="D9DC7B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C56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0A5708"/>
    <w:multiLevelType w:val="multilevel"/>
    <w:tmpl w:val="E250C77A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isLgl/>
      <w:lvlText w:val="%1.%2."/>
      <w:lvlJc w:val="left"/>
      <w:pPr>
        <w:ind w:left="141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7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9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9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57" w:hanging="1800"/>
      </w:pPr>
      <w:rPr>
        <w:rFonts w:hint="default"/>
        <w:color w:val="000000"/>
      </w:rPr>
    </w:lvl>
  </w:abstractNum>
  <w:abstractNum w:abstractNumId="13" w15:restartNumberingAfterBreak="0">
    <w:nsid w:val="69EB2427"/>
    <w:multiLevelType w:val="multilevel"/>
    <w:tmpl w:val="B5003AE2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7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3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97" w:hanging="1800"/>
      </w:pPr>
      <w:rPr>
        <w:rFonts w:hint="default"/>
        <w:color w:val="000000"/>
      </w:rPr>
    </w:lvl>
  </w:abstractNum>
  <w:abstractNum w:abstractNumId="1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747B7369"/>
    <w:multiLevelType w:val="multilevel"/>
    <w:tmpl w:val="9EEA0D3A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2F7681"/>
    <w:multiLevelType w:val="multilevel"/>
    <w:tmpl w:val="26CCCC46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FBE5E0B"/>
    <w:multiLevelType w:val="hybridMultilevel"/>
    <w:tmpl w:val="C1A43444"/>
    <w:lvl w:ilvl="0" w:tplc="125C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1130">
    <w:abstractNumId w:val="3"/>
  </w:num>
  <w:num w:numId="2" w16cid:durableId="1729917643">
    <w:abstractNumId w:val="14"/>
  </w:num>
  <w:num w:numId="3" w16cid:durableId="812136044">
    <w:abstractNumId w:val="7"/>
  </w:num>
  <w:num w:numId="4" w16cid:durableId="789204082">
    <w:abstractNumId w:val="16"/>
  </w:num>
  <w:num w:numId="5" w16cid:durableId="544954560">
    <w:abstractNumId w:val="6"/>
  </w:num>
  <w:num w:numId="6" w16cid:durableId="31881626">
    <w:abstractNumId w:val="1"/>
  </w:num>
  <w:num w:numId="7" w16cid:durableId="1025786671">
    <w:abstractNumId w:val="8"/>
  </w:num>
  <w:num w:numId="8" w16cid:durableId="996228404">
    <w:abstractNumId w:val="9"/>
  </w:num>
  <w:num w:numId="9" w16cid:durableId="1709062808">
    <w:abstractNumId w:val="12"/>
  </w:num>
  <w:num w:numId="10" w16cid:durableId="44526899">
    <w:abstractNumId w:val="2"/>
  </w:num>
  <w:num w:numId="11" w16cid:durableId="825366250">
    <w:abstractNumId w:val="4"/>
  </w:num>
  <w:num w:numId="12" w16cid:durableId="1309019961">
    <w:abstractNumId w:val="11"/>
  </w:num>
  <w:num w:numId="13" w16cid:durableId="17868016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5504569">
    <w:abstractNumId w:val="10"/>
  </w:num>
  <w:num w:numId="15" w16cid:durableId="1481342602">
    <w:abstractNumId w:val="0"/>
  </w:num>
  <w:num w:numId="16" w16cid:durableId="443774698">
    <w:abstractNumId w:val="5"/>
  </w:num>
  <w:num w:numId="17" w16cid:durableId="1241718374">
    <w:abstractNumId w:val="17"/>
  </w:num>
  <w:num w:numId="18" w16cid:durableId="922493335">
    <w:abstractNumId w:val="15"/>
  </w:num>
  <w:num w:numId="19" w16cid:durableId="1915123286">
    <w:abstractNumId w:val="18"/>
  </w:num>
  <w:num w:numId="20" w16cid:durableId="26249583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B6"/>
    <w:rsid w:val="000003D3"/>
    <w:rsid w:val="000005F6"/>
    <w:rsid w:val="00000CE9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694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6AD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38F2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0B8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3E3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5FC7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075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62E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252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970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045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235"/>
    <w:rsid w:val="001F04C1"/>
    <w:rsid w:val="001F090A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AE3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189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06A3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73A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5F28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1ED8"/>
    <w:rsid w:val="002F3773"/>
    <w:rsid w:val="002F396F"/>
    <w:rsid w:val="002F44C0"/>
    <w:rsid w:val="002F536E"/>
    <w:rsid w:val="002F5EE2"/>
    <w:rsid w:val="002F5F47"/>
    <w:rsid w:val="002F6250"/>
    <w:rsid w:val="002F67FD"/>
    <w:rsid w:val="002F6F81"/>
    <w:rsid w:val="002F7D23"/>
    <w:rsid w:val="00300091"/>
    <w:rsid w:val="00300A60"/>
    <w:rsid w:val="00300FEF"/>
    <w:rsid w:val="00301185"/>
    <w:rsid w:val="0030230E"/>
    <w:rsid w:val="003025C8"/>
    <w:rsid w:val="00302EB8"/>
    <w:rsid w:val="003049FC"/>
    <w:rsid w:val="00304E45"/>
    <w:rsid w:val="00305876"/>
    <w:rsid w:val="00306D9F"/>
    <w:rsid w:val="00306F87"/>
    <w:rsid w:val="00307227"/>
    <w:rsid w:val="003074D1"/>
    <w:rsid w:val="0031000F"/>
    <w:rsid w:val="003101E1"/>
    <w:rsid w:val="00310A17"/>
    <w:rsid w:val="00310DEF"/>
    <w:rsid w:val="0031109D"/>
    <w:rsid w:val="0031284C"/>
    <w:rsid w:val="00312D59"/>
    <w:rsid w:val="00313C60"/>
    <w:rsid w:val="0031420A"/>
    <w:rsid w:val="003155D3"/>
    <w:rsid w:val="00316D64"/>
    <w:rsid w:val="003170F5"/>
    <w:rsid w:val="0031757A"/>
    <w:rsid w:val="00317AC3"/>
    <w:rsid w:val="0032046A"/>
    <w:rsid w:val="00320B5A"/>
    <w:rsid w:val="00321A79"/>
    <w:rsid w:val="00321B1F"/>
    <w:rsid w:val="00322610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631D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1A83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62DD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0E8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1F46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BC9"/>
    <w:rsid w:val="003E4C10"/>
    <w:rsid w:val="003E4DB9"/>
    <w:rsid w:val="003E4E8A"/>
    <w:rsid w:val="003E51C1"/>
    <w:rsid w:val="003E6FE5"/>
    <w:rsid w:val="003E713F"/>
    <w:rsid w:val="003F056E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DCF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BAE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3D2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3436"/>
    <w:rsid w:val="00473ED0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6B7C"/>
    <w:rsid w:val="004A7485"/>
    <w:rsid w:val="004A7F0E"/>
    <w:rsid w:val="004B01D9"/>
    <w:rsid w:val="004B0E0C"/>
    <w:rsid w:val="004B1C98"/>
    <w:rsid w:val="004B219C"/>
    <w:rsid w:val="004B24A5"/>
    <w:rsid w:val="004B2B8B"/>
    <w:rsid w:val="004B2DE4"/>
    <w:rsid w:val="004B4138"/>
    <w:rsid w:val="004B5065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479A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BDD"/>
    <w:rsid w:val="005D7D8C"/>
    <w:rsid w:val="005E0667"/>
    <w:rsid w:val="005E21A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30E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5A5F"/>
    <w:rsid w:val="0067675E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22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A2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5F79"/>
    <w:rsid w:val="006D6694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5E2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7F4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4BE4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5FD1"/>
    <w:rsid w:val="00797526"/>
    <w:rsid w:val="007976F5"/>
    <w:rsid w:val="007A059A"/>
    <w:rsid w:val="007A0981"/>
    <w:rsid w:val="007A0F1C"/>
    <w:rsid w:val="007A130B"/>
    <w:rsid w:val="007A2EE6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18CC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065"/>
    <w:rsid w:val="008272CE"/>
    <w:rsid w:val="0082733A"/>
    <w:rsid w:val="00827AF2"/>
    <w:rsid w:val="00831133"/>
    <w:rsid w:val="00831906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1C00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5735"/>
    <w:rsid w:val="00876B6A"/>
    <w:rsid w:val="00876F48"/>
    <w:rsid w:val="00877A5D"/>
    <w:rsid w:val="008802B8"/>
    <w:rsid w:val="0088090F"/>
    <w:rsid w:val="00881064"/>
    <w:rsid w:val="0088228F"/>
    <w:rsid w:val="008829B2"/>
    <w:rsid w:val="0088336F"/>
    <w:rsid w:val="008835A9"/>
    <w:rsid w:val="00884B13"/>
    <w:rsid w:val="0088640A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4EC2"/>
    <w:rsid w:val="008A51A5"/>
    <w:rsid w:val="008A52F4"/>
    <w:rsid w:val="008A55F0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0AF3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D7A5C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0FA5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3AC"/>
    <w:rsid w:val="009265B6"/>
    <w:rsid w:val="009272ED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744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8A9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C54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BFC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E7CD7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353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534B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47CD"/>
    <w:rsid w:val="00A363BD"/>
    <w:rsid w:val="00A3699B"/>
    <w:rsid w:val="00A36CC9"/>
    <w:rsid w:val="00A36D58"/>
    <w:rsid w:val="00A36F90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1DF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37D"/>
    <w:rsid w:val="00A92611"/>
    <w:rsid w:val="00A934E0"/>
    <w:rsid w:val="00A94866"/>
    <w:rsid w:val="00A95620"/>
    <w:rsid w:val="00A95725"/>
    <w:rsid w:val="00A96630"/>
    <w:rsid w:val="00A97192"/>
    <w:rsid w:val="00A97EF0"/>
    <w:rsid w:val="00AA05AD"/>
    <w:rsid w:val="00AA1198"/>
    <w:rsid w:val="00AA2718"/>
    <w:rsid w:val="00AA29DF"/>
    <w:rsid w:val="00AA319E"/>
    <w:rsid w:val="00AA362E"/>
    <w:rsid w:val="00AA3B63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5C91"/>
    <w:rsid w:val="00B06374"/>
    <w:rsid w:val="00B07665"/>
    <w:rsid w:val="00B076FD"/>
    <w:rsid w:val="00B07D65"/>
    <w:rsid w:val="00B1096B"/>
    <w:rsid w:val="00B1123C"/>
    <w:rsid w:val="00B1192A"/>
    <w:rsid w:val="00B12512"/>
    <w:rsid w:val="00B13213"/>
    <w:rsid w:val="00B14544"/>
    <w:rsid w:val="00B15291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B5B"/>
    <w:rsid w:val="00B82E9C"/>
    <w:rsid w:val="00B82ECA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5BB9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3E24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9A9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4A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2FB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16B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CF7D5A"/>
    <w:rsid w:val="00D004A2"/>
    <w:rsid w:val="00D00C0C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411A"/>
    <w:rsid w:val="00D1581F"/>
    <w:rsid w:val="00D159D2"/>
    <w:rsid w:val="00D1609F"/>
    <w:rsid w:val="00D16DF2"/>
    <w:rsid w:val="00D17439"/>
    <w:rsid w:val="00D20B5F"/>
    <w:rsid w:val="00D21F3B"/>
    <w:rsid w:val="00D22226"/>
    <w:rsid w:val="00D2324F"/>
    <w:rsid w:val="00D232F1"/>
    <w:rsid w:val="00D244AC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BEB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6E66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3F2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DDA"/>
    <w:rsid w:val="00DC6585"/>
    <w:rsid w:val="00DC673E"/>
    <w:rsid w:val="00DC7342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882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0A9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16E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0CC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275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480"/>
    <w:rsid w:val="00E9470E"/>
    <w:rsid w:val="00E94E29"/>
    <w:rsid w:val="00E96376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182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23D"/>
    <w:rsid w:val="00ED3C5E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CA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07DCB"/>
    <w:rsid w:val="00F10CF1"/>
    <w:rsid w:val="00F10EB1"/>
    <w:rsid w:val="00F1174E"/>
    <w:rsid w:val="00F11796"/>
    <w:rsid w:val="00F126A8"/>
    <w:rsid w:val="00F13570"/>
    <w:rsid w:val="00F13FC9"/>
    <w:rsid w:val="00F14711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0F20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161"/>
    <w:rsid w:val="00F5388C"/>
    <w:rsid w:val="00F53C1D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3977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2CF0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01F2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59B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A796D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C6D90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4BE5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40F20"/>
    <w:pPr>
      <w:spacing w:line="240" w:lineRule="auto"/>
      <w:ind w:firstLine="0"/>
    </w:pPr>
    <w:rPr>
      <w:rFonts w:ascii="Times New Roman" w:eastAsia="Calibri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40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40F20"/>
  </w:style>
  <w:style w:type="table" w:customStyle="1" w:styleId="TableGrid21">
    <w:name w:val="Table Grid21"/>
    <w:basedOn w:val="prastojilentel"/>
    <w:next w:val="Lentelstinklelis"/>
    <w:uiPriority w:val="39"/>
    <w:rsid w:val="00F40F2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lenlietuva.lt/LT/Wholesale/Puslapiai/Kainu-protokolai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A2970B3F-FDEE-48EE-AEA4-AF8B3428C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2894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4536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Lina Dambrauskienė</cp:lastModifiedBy>
  <cp:revision>29</cp:revision>
  <cp:lastPrinted>2021-11-03T05:49:00Z</cp:lastPrinted>
  <dcterms:created xsi:type="dcterms:W3CDTF">2024-11-25T14:57:00Z</dcterms:created>
  <dcterms:modified xsi:type="dcterms:W3CDTF">2025-07-11T08:19:00Z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MSIP_Label_c01d5a48-4c59-412d-be44-bbc1eb67ba39_Enabled">
    <vt:lpwstr>true</vt:lpwstr>
  </property>
  <property fmtid="{D5CDD505-2E9C-101B-9397-08002B2CF9AE}" pid="5" name="MSIP_Label_c01d5a48-4c59-412d-be44-bbc1eb67ba39_SetDate">
    <vt:lpwstr>2024-10-08T10:41:21Z</vt:lpwstr>
  </property>
  <property fmtid="{D5CDD505-2E9C-101B-9397-08002B2CF9AE}" pid="6" name="MSIP_Label_c01d5a48-4c59-412d-be44-bbc1eb67ba39_Method">
    <vt:lpwstr>Standard</vt:lpwstr>
  </property>
  <property fmtid="{D5CDD505-2E9C-101B-9397-08002B2CF9AE}" pid="7" name="MSIP_Label_c01d5a48-4c59-412d-be44-bbc1eb67ba39_Name">
    <vt:lpwstr>Vieša informacija</vt:lpwstr>
  </property>
  <property fmtid="{D5CDD505-2E9C-101B-9397-08002B2CF9AE}" pid="8" name="MSIP_Label_c01d5a48-4c59-412d-be44-bbc1eb67ba39_SiteId">
    <vt:lpwstr>a6503176-38f3-4811-8b58-65db73593a8b</vt:lpwstr>
  </property>
  <property fmtid="{D5CDD505-2E9C-101B-9397-08002B2CF9AE}" pid="9" name="MSIP_Label_c01d5a48-4c59-412d-be44-bbc1eb67ba39_ActionId">
    <vt:lpwstr>04858fe5-e6bf-4847-a172-230e400a76dc</vt:lpwstr>
  </property>
  <property fmtid="{D5CDD505-2E9C-101B-9397-08002B2CF9AE}" pid="10" name="MSIP_Label_c01d5a48-4c59-412d-be44-bbc1eb67ba39_ContentBits">
    <vt:lpwstr>0</vt:lpwstr>
  </property>
</Properties>
</file>