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23BE3984" w:rsidR="005A5832" w:rsidRDefault="00842B60">
            <w:pPr>
              <w:jc w:val="both"/>
              <w:rPr>
                <w:kern w:val="2"/>
                <w:szCs w:val="24"/>
              </w:rPr>
            </w:pPr>
            <w:r>
              <w:rPr>
                <w:kern w:val="2"/>
                <w:szCs w:val="24"/>
              </w:rPr>
              <w:t>Kuras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7777777" w:rsidR="005A5832" w:rsidRDefault="005A5832">
            <w:pPr>
              <w:jc w:val="center"/>
              <w:rPr>
                <w:kern w:val="2"/>
                <w:szCs w:val="24"/>
              </w:rPr>
            </w:pP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7777777" w:rsidR="005A5832" w:rsidRDefault="005A5832">
            <w:pPr>
              <w:jc w:val="center"/>
              <w:rPr>
                <w:kern w:val="2"/>
                <w:szCs w:val="24"/>
              </w:rPr>
            </w:pP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7777777" w:rsidR="005A5832" w:rsidRDefault="005A5832">
            <w:pPr>
              <w:jc w:val="center"/>
              <w:rPr>
                <w:kern w:val="2"/>
                <w:szCs w:val="24"/>
              </w:rPr>
            </w:pP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pPr>
              <w:jc w:val="cente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pPr>
              <w:jc w:val="cente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573DD62" w:rsidR="005A5832" w:rsidRDefault="00A10867">
            <w:pPr>
              <w:rPr>
                <w:b/>
                <w:bCs/>
                <w:kern w:val="2"/>
                <w:szCs w:val="24"/>
              </w:rPr>
            </w:pPr>
            <w:r>
              <w:rPr>
                <w:b/>
                <w:bCs/>
                <w:kern w:val="2"/>
                <w:szCs w:val="24"/>
              </w:rPr>
              <w:t>2.1. Pirkėjo kontaktiniai asmenys, atsakingi už Sutarties vykdymą, Prekių priėmimą, Sąskaitų per informacinę sistemą „</w:t>
            </w:r>
            <w:r w:rsidR="00826661">
              <w:rPr>
                <w:b/>
                <w:bCs/>
                <w:kern w:val="2"/>
                <w:szCs w:val="24"/>
              </w:rPr>
              <w:t>SABIS</w:t>
            </w:r>
            <w:r>
              <w:rPr>
                <w:b/>
                <w:bCs/>
                <w:kern w:val="2"/>
                <w:szCs w:val="24"/>
              </w:rPr>
              <w:t>“ priėmimą</w:t>
            </w:r>
          </w:p>
        </w:tc>
        <w:tc>
          <w:tcPr>
            <w:tcW w:w="6831" w:type="dxa"/>
            <w:gridSpan w:val="2"/>
          </w:tcPr>
          <w:p w14:paraId="017FFD68" w14:textId="19DC6575" w:rsidR="005A5832" w:rsidRPr="00826661" w:rsidRDefault="00826661">
            <w:pPr>
              <w:rPr>
                <w:color w:val="4472C4"/>
                <w:kern w:val="2"/>
                <w:szCs w:val="24"/>
              </w:rPr>
            </w:pPr>
            <w:r>
              <w:rPr>
                <w:color w:val="4472C4"/>
                <w:kern w:val="2"/>
                <w:szCs w:val="24"/>
              </w:rPr>
              <w:t xml:space="preserve">Pirkimų organizatorė Lina Dambrauskienė, +37061626399, </w:t>
            </w:r>
            <w:r>
              <w:rPr>
                <w:color w:val="4472C4"/>
                <w:kern w:val="2"/>
                <w:szCs w:val="24"/>
                <w:lang w:val="en-US"/>
              </w:rPr>
              <w:t>lina@kaunorajonas.lt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6E1FEA69" w14:textId="23C885FC" w:rsidR="00826661" w:rsidRDefault="00826661" w:rsidP="00826661">
            <w:pPr>
              <w:rPr>
                <w:kern w:val="2"/>
                <w:szCs w:val="24"/>
              </w:rPr>
            </w:pPr>
            <w:r w:rsidRPr="00826661">
              <w:rPr>
                <w:kern w:val="2"/>
                <w:szCs w:val="24"/>
              </w:rPr>
              <w:t xml:space="preserve">Sutarties objektas yra </w:t>
            </w:r>
            <w:r w:rsidR="00842B60" w:rsidRPr="00842B60">
              <w:rPr>
                <w:kern w:val="2"/>
                <w:szCs w:val="24"/>
              </w:rPr>
              <w:t>nuo akcizų atleisto dyzelino žemės ūkiui, bešvini</w:t>
            </w:r>
            <w:r w:rsidR="00842B60">
              <w:rPr>
                <w:kern w:val="2"/>
                <w:szCs w:val="24"/>
              </w:rPr>
              <w:t>o</w:t>
            </w:r>
            <w:r w:rsidR="00842B60" w:rsidRPr="00842B60">
              <w:rPr>
                <w:kern w:val="2"/>
                <w:szCs w:val="24"/>
              </w:rPr>
              <w:t xml:space="preserve"> A-95 (naujas žymėjimas benzinas 95 E(5÷10) benzin</w:t>
            </w:r>
            <w:r w:rsidR="00842B60">
              <w:rPr>
                <w:kern w:val="2"/>
                <w:szCs w:val="24"/>
              </w:rPr>
              <w:t>o</w:t>
            </w:r>
            <w:r w:rsidR="00842B60" w:rsidRPr="00842B60">
              <w:rPr>
                <w:kern w:val="2"/>
                <w:szCs w:val="24"/>
              </w:rPr>
              <w:t xml:space="preserve"> markės, dyzelini</w:t>
            </w:r>
            <w:r w:rsidR="00842B60">
              <w:rPr>
                <w:kern w:val="2"/>
                <w:szCs w:val="24"/>
              </w:rPr>
              <w:t>o</w:t>
            </w:r>
            <w:r w:rsidR="00842B60" w:rsidRPr="00842B60">
              <w:rPr>
                <w:kern w:val="2"/>
                <w:szCs w:val="24"/>
              </w:rPr>
              <w:t xml:space="preserve"> kur</w:t>
            </w:r>
            <w:r w:rsidR="00842B60">
              <w:rPr>
                <w:kern w:val="2"/>
                <w:szCs w:val="24"/>
              </w:rPr>
              <w:t>o</w:t>
            </w:r>
            <w:r w:rsidR="00842B60" w:rsidRPr="00842B60">
              <w:rPr>
                <w:kern w:val="2"/>
                <w:szCs w:val="24"/>
              </w:rPr>
              <w:t xml:space="preserve"> </w:t>
            </w:r>
            <w:r w:rsidRPr="00826661">
              <w:rPr>
                <w:kern w:val="2"/>
                <w:szCs w:val="24"/>
              </w:rPr>
              <w:t xml:space="preserve">(toliau – Prekė)) pirkimas – pardavimas degalinėse. </w:t>
            </w:r>
          </w:p>
          <w:p w14:paraId="0BA9569E" w14:textId="578BBF9E" w:rsidR="00436E2C" w:rsidRPr="00826661" w:rsidRDefault="00436E2C" w:rsidP="00826661">
            <w:pPr>
              <w:rPr>
                <w:kern w:val="2"/>
                <w:szCs w:val="24"/>
              </w:rPr>
            </w:pPr>
            <w:r w:rsidRPr="00436E2C">
              <w:rPr>
                <w:kern w:val="2"/>
                <w:szCs w:val="24"/>
              </w:rPr>
              <w:t xml:space="preserve">Numatomų įsigyti nuo akcizų atleisto dyzelino žemės ūkiui apie 9000 litrų, bešvinio A-95 (naujas žymėjimas benzinas 95 E(5÷10) benzino apie 5000 litrų, dyzelio apie 7000 litrų kiekis (metams). Bendras kuro kiekis, priklausomai nuo oro sąlygų ir Kliento poreikių, gali būti padidintas ar sumažintas +/- 15 %. </w:t>
            </w:r>
            <w:r>
              <w:rPr>
                <w:kern w:val="2"/>
                <w:szCs w:val="24"/>
              </w:rPr>
              <w:t>Pirkėjas</w:t>
            </w:r>
            <w:r w:rsidRPr="00436E2C">
              <w:rPr>
                <w:kern w:val="2"/>
                <w:szCs w:val="24"/>
              </w:rPr>
              <w:t xml:space="preserve"> neįsipareigoja nupirkti visą numatomą kiekį.</w:t>
            </w:r>
          </w:p>
          <w:p w14:paraId="5970B761" w14:textId="1D31405F" w:rsidR="00826661" w:rsidRPr="00826661" w:rsidRDefault="00826661" w:rsidP="00826661">
            <w:pPr>
              <w:rPr>
                <w:kern w:val="2"/>
                <w:szCs w:val="24"/>
              </w:rPr>
            </w:pPr>
            <w:r w:rsidRPr="00826661">
              <w:rPr>
                <w:kern w:val="2"/>
                <w:szCs w:val="24"/>
              </w:rPr>
              <w:t xml:space="preserve">Perkamų Prekių preliminarūs kiekiai ir reikalavimai Prekėms pateikti Techninėje specifikacijoje (Sutarties priedas Nr. 1) (toliau – Techninė specifikacija). </w:t>
            </w:r>
          </w:p>
          <w:p w14:paraId="5437DA2E" w14:textId="706E6969" w:rsidR="00826661" w:rsidRPr="00826661" w:rsidRDefault="00826661" w:rsidP="00826661">
            <w:pPr>
              <w:rPr>
                <w:kern w:val="2"/>
                <w:szCs w:val="24"/>
              </w:rPr>
            </w:pPr>
            <w:r w:rsidRPr="00826661">
              <w:rPr>
                <w:kern w:val="2"/>
                <w:szCs w:val="24"/>
              </w:rPr>
              <w:t xml:space="preserve">Prekės bus perkamos pagal Pirkėjo poreikį. Pirkėjas neįsipareigoja Sutarties galiojimo laikotarpiu nupirkti visų Techninėje specifikacijoje nurodytų Prekių kiekių. </w:t>
            </w:r>
          </w:p>
          <w:p w14:paraId="0D6A7070" w14:textId="77777777" w:rsidR="00826661" w:rsidRDefault="00826661" w:rsidP="00826661">
            <w:pPr>
              <w:rPr>
                <w:kern w:val="2"/>
                <w:szCs w:val="24"/>
              </w:rPr>
            </w:pPr>
            <w:r w:rsidRPr="00826661">
              <w:rPr>
                <w:kern w:val="2"/>
                <w:szCs w:val="24"/>
              </w:rPr>
              <w:t>Prekės bus perkamos Tiekėjo degalinėse ir už jas bus atsiskaitoma Tiekėjo išduotomis degalų kortelėmis, skirtomis fiksuoti duomenis apie Pirkėjo įsigyjamus degalus.</w:t>
            </w:r>
          </w:p>
          <w:p w14:paraId="24700FA6" w14:textId="476836F4" w:rsidR="005A5832" w:rsidRDefault="005A5832" w:rsidP="00826661">
            <w:pPr>
              <w:rPr>
                <w:color w:val="000000"/>
                <w:kern w:val="2"/>
                <w:szCs w:val="24"/>
              </w:rPr>
            </w:pP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470C70E7" w14:textId="04110650"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35B27BF4"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491866C" w14:textId="701CEC97" w:rsidR="005A5832" w:rsidRDefault="00826661">
            <w:pPr>
              <w:textAlignment w:val="baseline"/>
              <w:rPr>
                <w:szCs w:val="24"/>
              </w:rPr>
            </w:pPr>
            <w:r w:rsidRPr="00826661">
              <w:rPr>
                <w:kern w:val="2"/>
                <w:szCs w:val="24"/>
              </w:rPr>
              <w:t>Tiekėjas įsipareigoja pristatyti Prekes Techninėje specifikacijoje nustatytais terminais ir sąlygomis.</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3DE6A19E" w:rsidR="005A5832" w:rsidRDefault="00826661">
            <w:pPr>
              <w:rPr>
                <w:color w:val="4472C4"/>
                <w:kern w:val="2"/>
                <w:szCs w:val="24"/>
              </w:rPr>
            </w:pPr>
            <w:r w:rsidRPr="00826661">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darbo dieną, apie tai praneša Pirkėjui, pateikdamas minėtų aplinkybių egzistavimo įrodymus. Nurodytas aplinkybes vertina Pirkėjas. Pirkėjui sutikus, Prekių pristatymo terminas gali būti pratęsiamas tik minėtų aplinkybių egzistavimo laikotarpiui, bet ne ilgiau nei 2 darbo dienų 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622E93E5" w14:textId="6087EDB9" w:rsidR="005A5832" w:rsidRDefault="008B372C">
            <w:pPr>
              <w:rPr>
                <w:kern w:val="2"/>
                <w:szCs w:val="24"/>
              </w:rPr>
            </w:pPr>
            <w:r>
              <w:rPr>
                <w:kern w:val="2"/>
                <w:szCs w:val="24"/>
              </w:rPr>
              <w:t xml:space="preserve">Užsakymai neteikiami, Pirkėjas prekes </w:t>
            </w:r>
            <w:proofErr w:type="spellStart"/>
            <w:r>
              <w:rPr>
                <w:kern w:val="2"/>
                <w:szCs w:val="24"/>
              </w:rPr>
              <w:t>įsigija</w:t>
            </w:r>
            <w:proofErr w:type="spellEnd"/>
            <w:r>
              <w:rPr>
                <w:kern w:val="2"/>
                <w:szCs w:val="24"/>
              </w:rPr>
              <w:t xml:space="preserve"> iš Tiekėjo nurodytos degalinės</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2C9317C"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30AA363" w14:textId="77777777" w:rsidR="005A5832" w:rsidRDefault="00A10867">
            <w:pPr>
              <w:rPr>
                <w:kern w:val="2"/>
                <w:szCs w:val="24"/>
              </w:rPr>
            </w:pPr>
            <w:r>
              <w:rPr>
                <w:kern w:val="2"/>
                <w:szCs w:val="24"/>
              </w:rPr>
              <w:t>Netaikoma</w:t>
            </w:r>
          </w:p>
          <w:p w14:paraId="63043AC8" w14:textId="59B7B303" w:rsidR="005A5832" w:rsidRDefault="005A5832">
            <w:pPr>
              <w:rPr>
                <w:kern w:val="2"/>
                <w:szCs w:val="24"/>
              </w:rPr>
            </w:pP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8218E08" w14:textId="77777777" w:rsidR="005A5832" w:rsidRDefault="00A10867">
            <w:pPr>
              <w:rPr>
                <w:kern w:val="2"/>
                <w:szCs w:val="24"/>
              </w:rPr>
            </w:pPr>
            <w:r>
              <w:rPr>
                <w:kern w:val="2"/>
                <w:szCs w:val="24"/>
              </w:rPr>
              <w:t>Kintamo įkainio kainodara</w:t>
            </w:r>
          </w:p>
          <w:p w14:paraId="3A52CCB5" w14:textId="77777777" w:rsidR="005A5832" w:rsidRDefault="005A5832">
            <w:pPr>
              <w:rPr>
                <w:kern w:val="2"/>
                <w:szCs w:val="24"/>
              </w:rPr>
            </w:pPr>
          </w:p>
          <w:p w14:paraId="7403D0A1" w14:textId="01AED110" w:rsidR="005A5832" w:rsidRDefault="005A5832">
            <w:pPr>
              <w:rPr>
                <w:color w:val="4472C4"/>
                <w:kern w:val="2"/>
              </w:rPr>
            </w:pPr>
          </w:p>
        </w:tc>
      </w:tr>
      <w:tr w:rsidR="005A5832" w14:paraId="76DB710B" w14:textId="77777777">
        <w:trPr>
          <w:trHeight w:val="300"/>
        </w:trPr>
        <w:tc>
          <w:tcPr>
            <w:tcW w:w="2704" w:type="dxa"/>
            <w:gridSpan w:val="2"/>
          </w:tcPr>
          <w:p w14:paraId="611FD3C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1D0CFBF3" w14:textId="77777777" w:rsidR="005A5832" w:rsidRDefault="005A5832">
            <w:pPr>
              <w:rPr>
                <w:b/>
                <w:bCs/>
                <w:kern w:val="2"/>
                <w:szCs w:val="24"/>
              </w:rPr>
            </w:pPr>
          </w:p>
          <w:p w14:paraId="162A4DA8" w14:textId="77777777" w:rsidR="005A5832" w:rsidRDefault="005A5832">
            <w:pPr>
              <w:rPr>
                <w:b/>
                <w:bCs/>
                <w:kern w:val="2"/>
                <w:szCs w:val="24"/>
              </w:rPr>
            </w:pPr>
          </w:p>
          <w:p w14:paraId="6FF1D83B" w14:textId="77777777" w:rsidR="005A5832" w:rsidRDefault="005A5832">
            <w:pPr>
              <w:rPr>
                <w:b/>
                <w:bCs/>
                <w:kern w:val="2"/>
                <w:szCs w:val="24"/>
              </w:rPr>
            </w:pPr>
          </w:p>
          <w:p w14:paraId="2C014419" w14:textId="77777777" w:rsidR="005A5832" w:rsidRDefault="005A5832">
            <w:pPr>
              <w:rPr>
                <w:b/>
                <w:bCs/>
                <w:kern w:val="2"/>
                <w:szCs w:val="24"/>
              </w:rPr>
            </w:pPr>
          </w:p>
          <w:p w14:paraId="479E45E1" w14:textId="77777777" w:rsidR="005A5832" w:rsidRDefault="005A5832">
            <w:pPr>
              <w:rPr>
                <w:b/>
                <w:bCs/>
                <w:kern w:val="2"/>
                <w:szCs w:val="24"/>
              </w:rPr>
            </w:pPr>
          </w:p>
          <w:p w14:paraId="1DEB9791" w14:textId="77777777" w:rsidR="005A5832" w:rsidRDefault="005A5832">
            <w:pPr>
              <w:rPr>
                <w:b/>
                <w:bCs/>
                <w:kern w:val="2"/>
                <w:szCs w:val="24"/>
              </w:rPr>
            </w:pPr>
          </w:p>
          <w:p w14:paraId="72224C72" w14:textId="77777777" w:rsidR="005A5832" w:rsidRDefault="005A5832">
            <w:pPr>
              <w:rPr>
                <w:b/>
                <w:bCs/>
                <w:kern w:val="2"/>
                <w:szCs w:val="24"/>
              </w:rPr>
            </w:pPr>
          </w:p>
          <w:p w14:paraId="28DBA927" w14:textId="77777777" w:rsidR="005A5832" w:rsidRDefault="005A5832">
            <w:pPr>
              <w:rPr>
                <w:b/>
                <w:bCs/>
                <w:kern w:val="2"/>
                <w:szCs w:val="24"/>
              </w:rPr>
            </w:pPr>
          </w:p>
          <w:p w14:paraId="0DF4FAD6" w14:textId="77777777" w:rsidR="005A5832" w:rsidRDefault="005A5832">
            <w:pPr>
              <w:rPr>
                <w:b/>
                <w:bCs/>
                <w:kern w:val="2"/>
                <w:szCs w:val="24"/>
              </w:rPr>
            </w:pPr>
          </w:p>
          <w:p w14:paraId="0A47AA07" w14:textId="77777777" w:rsidR="005A5832" w:rsidRDefault="005A5832">
            <w:pPr>
              <w:rPr>
                <w:b/>
                <w:bCs/>
                <w:kern w:val="2"/>
                <w:szCs w:val="24"/>
              </w:rPr>
            </w:pPr>
          </w:p>
          <w:p w14:paraId="7A52908D" w14:textId="77777777" w:rsidR="005A5832" w:rsidRDefault="005A5832">
            <w:pPr>
              <w:rPr>
                <w:b/>
                <w:bCs/>
                <w:kern w:val="2"/>
                <w:szCs w:val="24"/>
              </w:rPr>
            </w:pPr>
          </w:p>
          <w:p w14:paraId="4C807266" w14:textId="77777777" w:rsidR="005A5832" w:rsidRDefault="005A5832">
            <w:pPr>
              <w:rPr>
                <w:b/>
                <w:bCs/>
                <w:kern w:val="2"/>
                <w:szCs w:val="24"/>
              </w:rPr>
            </w:pPr>
          </w:p>
          <w:p w14:paraId="76B19296" w14:textId="77777777" w:rsidR="005A5832" w:rsidRDefault="005A5832">
            <w:pPr>
              <w:rPr>
                <w:b/>
                <w:bCs/>
                <w:kern w:val="2"/>
                <w:szCs w:val="24"/>
              </w:rPr>
            </w:pPr>
          </w:p>
          <w:p w14:paraId="1551750A" w14:textId="77777777" w:rsidR="005A5832" w:rsidRDefault="005A5832">
            <w:pPr>
              <w:rPr>
                <w:b/>
                <w:bCs/>
                <w:kern w:val="2"/>
                <w:szCs w:val="24"/>
              </w:rPr>
            </w:pPr>
          </w:p>
          <w:p w14:paraId="7103AD83" w14:textId="77777777" w:rsidR="005A5832" w:rsidRDefault="005A5832">
            <w:pPr>
              <w:rPr>
                <w:b/>
                <w:bCs/>
                <w:kern w:val="2"/>
                <w:szCs w:val="24"/>
              </w:rPr>
            </w:pPr>
          </w:p>
          <w:p w14:paraId="3524733A" w14:textId="77777777" w:rsidR="005A5832" w:rsidRDefault="005A5832">
            <w:pPr>
              <w:rPr>
                <w:b/>
                <w:bCs/>
                <w:kern w:val="2"/>
                <w:szCs w:val="24"/>
              </w:rPr>
            </w:pPr>
          </w:p>
          <w:p w14:paraId="52653CA1" w14:textId="77777777" w:rsidR="005A5832" w:rsidRDefault="005A5832">
            <w:pPr>
              <w:rPr>
                <w:b/>
                <w:bCs/>
                <w:kern w:val="2"/>
                <w:szCs w:val="24"/>
              </w:rPr>
            </w:pPr>
          </w:p>
          <w:p w14:paraId="10D3CE0C" w14:textId="77777777" w:rsidR="005A5832" w:rsidRDefault="005A5832">
            <w:pPr>
              <w:rPr>
                <w:b/>
                <w:bCs/>
                <w:kern w:val="2"/>
                <w:szCs w:val="24"/>
              </w:rPr>
            </w:pPr>
          </w:p>
          <w:p w14:paraId="289468DE" w14:textId="77777777" w:rsidR="005A5832" w:rsidRDefault="005A5832">
            <w:pPr>
              <w:rPr>
                <w:b/>
                <w:bCs/>
                <w:kern w:val="2"/>
                <w:szCs w:val="24"/>
              </w:rPr>
            </w:pPr>
          </w:p>
          <w:p w14:paraId="6087E390" w14:textId="77777777" w:rsidR="005A5832" w:rsidRDefault="005A5832">
            <w:pPr>
              <w:rPr>
                <w:b/>
                <w:bCs/>
                <w:kern w:val="2"/>
                <w:szCs w:val="24"/>
              </w:rPr>
            </w:pPr>
          </w:p>
          <w:p w14:paraId="58320020" w14:textId="77777777" w:rsidR="005A5832" w:rsidRDefault="005A5832">
            <w:pPr>
              <w:rPr>
                <w:b/>
                <w:bCs/>
                <w:kern w:val="2"/>
                <w:szCs w:val="24"/>
              </w:rPr>
            </w:pPr>
          </w:p>
          <w:p w14:paraId="113BAC49" w14:textId="77777777" w:rsidR="005A5832" w:rsidRDefault="005A5832">
            <w:pPr>
              <w:rPr>
                <w:b/>
                <w:bCs/>
                <w:kern w:val="2"/>
                <w:szCs w:val="24"/>
              </w:rPr>
            </w:pPr>
          </w:p>
          <w:p w14:paraId="394D2C22" w14:textId="77777777" w:rsidR="005A5832" w:rsidRDefault="005A5832">
            <w:pPr>
              <w:rPr>
                <w:b/>
                <w:bCs/>
                <w:kern w:val="2"/>
                <w:szCs w:val="24"/>
              </w:rPr>
            </w:pPr>
          </w:p>
          <w:p w14:paraId="60A2F65B" w14:textId="77777777" w:rsidR="005A5832" w:rsidRDefault="005A5832">
            <w:pPr>
              <w:rPr>
                <w:b/>
                <w:bCs/>
                <w:kern w:val="2"/>
                <w:szCs w:val="24"/>
              </w:rPr>
            </w:pPr>
          </w:p>
          <w:p w14:paraId="66D1F160" w14:textId="77777777" w:rsidR="005A5832" w:rsidRDefault="005A5832">
            <w:pPr>
              <w:rPr>
                <w:b/>
                <w:bCs/>
                <w:kern w:val="2"/>
                <w:szCs w:val="24"/>
              </w:rPr>
            </w:pPr>
          </w:p>
          <w:p w14:paraId="1F25D46E" w14:textId="77777777" w:rsidR="005A5832" w:rsidRDefault="005A5832">
            <w:pPr>
              <w:rPr>
                <w:b/>
                <w:bCs/>
                <w:kern w:val="2"/>
                <w:szCs w:val="24"/>
              </w:rPr>
            </w:pPr>
          </w:p>
          <w:p w14:paraId="095350AA" w14:textId="77777777" w:rsidR="005A5832" w:rsidRDefault="005A5832">
            <w:pPr>
              <w:rPr>
                <w:b/>
                <w:bCs/>
                <w:kern w:val="2"/>
                <w:szCs w:val="24"/>
              </w:rPr>
            </w:pPr>
          </w:p>
          <w:p w14:paraId="5C4A2EEC" w14:textId="77777777" w:rsidR="005A5832" w:rsidRDefault="005A5832">
            <w:pPr>
              <w:rPr>
                <w:b/>
                <w:bCs/>
                <w:kern w:val="2"/>
                <w:szCs w:val="24"/>
              </w:rPr>
            </w:pPr>
          </w:p>
          <w:p w14:paraId="24F6F12C" w14:textId="77777777" w:rsidR="005A5832" w:rsidRDefault="005A5832">
            <w:pPr>
              <w:rPr>
                <w:b/>
                <w:bCs/>
                <w:kern w:val="2"/>
                <w:szCs w:val="24"/>
              </w:rPr>
            </w:pPr>
          </w:p>
          <w:p w14:paraId="308EEBDE" w14:textId="77777777" w:rsidR="005A5832" w:rsidRDefault="005A5832">
            <w:pPr>
              <w:rPr>
                <w:b/>
                <w:bCs/>
                <w:kern w:val="2"/>
                <w:szCs w:val="24"/>
              </w:rPr>
            </w:pPr>
          </w:p>
          <w:p w14:paraId="75FB770A" w14:textId="77777777" w:rsidR="005A5832" w:rsidRDefault="005A5832">
            <w:pPr>
              <w:rPr>
                <w:b/>
                <w:bCs/>
                <w:kern w:val="2"/>
                <w:szCs w:val="24"/>
              </w:rPr>
            </w:pPr>
          </w:p>
          <w:p w14:paraId="4B12C134" w14:textId="77777777" w:rsidR="005A5832" w:rsidRDefault="005A5832">
            <w:pPr>
              <w:rPr>
                <w:b/>
                <w:bCs/>
                <w:kern w:val="2"/>
                <w:szCs w:val="24"/>
              </w:rPr>
            </w:pPr>
          </w:p>
          <w:p w14:paraId="298ACA6C" w14:textId="77777777" w:rsidR="005A5832" w:rsidRDefault="005A5832">
            <w:pPr>
              <w:rPr>
                <w:b/>
                <w:bCs/>
                <w:kern w:val="2"/>
                <w:szCs w:val="24"/>
              </w:rPr>
            </w:pPr>
          </w:p>
          <w:p w14:paraId="4C84659A" w14:textId="77777777" w:rsidR="005A5832" w:rsidRDefault="005A5832">
            <w:pPr>
              <w:rPr>
                <w:b/>
                <w:bCs/>
                <w:kern w:val="2"/>
                <w:szCs w:val="24"/>
              </w:rPr>
            </w:pPr>
          </w:p>
          <w:p w14:paraId="0E3AB305" w14:textId="684409CC" w:rsidR="005A5832" w:rsidRDefault="005A5832">
            <w:pPr>
              <w:rPr>
                <w:b/>
                <w:bCs/>
                <w:kern w:val="2"/>
                <w:szCs w:val="24"/>
              </w:rPr>
            </w:pPr>
          </w:p>
        </w:tc>
        <w:tc>
          <w:tcPr>
            <w:tcW w:w="6831" w:type="dxa"/>
            <w:gridSpan w:val="2"/>
          </w:tcPr>
          <w:p w14:paraId="7CF273C5" w14:textId="08E56E4A" w:rsidR="005A5832" w:rsidRPr="00436E2C" w:rsidRDefault="00A10867">
            <w:pPr>
              <w:rPr>
                <w:color w:val="000000" w:themeColor="text1"/>
                <w:kern w:val="2"/>
                <w:szCs w:val="24"/>
              </w:rPr>
            </w:pPr>
            <w:r w:rsidRPr="00436E2C">
              <w:rPr>
                <w:color w:val="000000" w:themeColor="text1"/>
                <w:kern w:val="2"/>
                <w:szCs w:val="24"/>
              </w:rPr>
              <w:lastRenderedPageBreak/>
              <w:t xml:space="preserve">Pradinės Sutarties vertė yra </w:t>
            </w:r>
            <w:r w:rsidR="00842B60" w:rsidRPr="00436E2C">
              <w:rPr>
                <w:color w:val="000000" w:themeColor="text1"/>
                <w:kern w:val="2"/>
                <w:szCs w:val="24"/>
              </w:rPr>
              <w:t>30</w:t>
            </w:r>
            <w:r w:rsidR="00754905" w:rsidRPr="00436E2C">
              <w:rPr>
                <w:color w:val="000000" w:themeColor="text1"/>
                <w:kern w:val="2"/>
                <w:szCs w:val="24"/>
              </w:rPr>
              <w:t xml:space="preserve"> 000,00 </w:t>
            </w:r>
            <w:r w:rsidRPr="00436E2C">
              <w:rPr>
                <w:color w:val="000000" w:themeColor="text1"/>
                <w:kern w:val="2"/>
                <w:szCs w:val="24"/>
              </w:rPr>
              <w:t>Eur, (</w:t>
            </w:r>
            <w:r w:rsidR="00842B60" w:rsidRPr="00436E2C">
              <w:rPr>
                <w:color w:val="000000" w:themeColor="text1"/>
                <w:kern w:val="2"/>
                <w:szCs w:val="24"/>
              </w:rPr>
              <w:t>trisdešimt</w:t>
            </w:r>
            <w:r w:rsidR="00754905" w:rsidRPr="00436E2C">
              <w:rPr>
                <w:color w:val="000000" w:themeColor="text1"/>
                <w:kern w:val="2"/>
                <w:szCs w:val="24"/>
              </w:rPr>
              <w:t xml:space="preserve"> tūkstančių</w:t>
            </w:r>
            <w:r w:rsidRPr="00436E2C">
              <w:rPr>
                <w:color w:val="000000" w:themeColor="text1"/>
                <w:kern w:val="2"/>
                <w:szCs w:val="24"/>
              </w:rPr>
              <w:t xml:space="preserve">) be PVM. </w:t>
            </w:r>
          </w:p>
          <w:p w14:paraId="7C504C2A" w14:textId="539E171E" w:rsidR="005A5832" w:rsidRPr="00436E2C" w:rsidRDefault="00A10867">
            <w:pPr>
              <w:rPr>
                <w:color w:val="000000" w:themeColor="text1"/>
                <w:kern w:val="2"/>
                <w:szCs w:val="24"/>
              </w:rPr>
            </w:pPr>
            <w:r w:rsidRPr="00436E2C">
              <w:rPr>
                <w:color w:val="000000" w:themeColor="text1"/>
                <w:kern w:val="2"/>
                <w:szCs w:val="24"/>
              </w:rPr>
              <w:t xml:space="preserve">PVM sudaro </w:t>
            </w:r>
            <w:r w:rsidR="00842B60" w:rsidRPr="00436E2C">
              <w:rPr>
                <w:color w:val="000000" w:themeColor="text1"/>
                <w:kern w:val="2"/>
                <w:szCs w:val="24"/>
              </w:rPr>
              <w:t>630</w:t>
            </w:r>
            <w:r w:rsidR="00754905" w:rsidRPr="00436E2C">
              <w:rPr>
                <w:color w:val="000000" w:themeColor="text1"/>
                <w:kern w:val="2"/>
                <w:szCs w:val="24"/>
              </w:rPr>
              <w:t>0,00</w:t>
            </w:r>
            <w:r w:rsidRPr="00436E2C">
              <w:rPr>
                <w:color w:val="000000" w:themeColor="text1"/>
                <w:kern w:val="2"/>
                <w:szCs w:val="24"/>
              </w:rPr>
              <w:t xml:space="preserve"> Eur, (</w:t>
            </w:r>
            <w:r w:rsidR="00842B60" w:rsidRPr="00436E2C">
              <w:rPr>
                <w:color w:val="000000" w:themeColor="text1"/>
                <w:kern w:val="2"/>
                <w:szCs w:val="24"/>
              </w:rPr>
              <w:t>šeši</w:t>
            </w:r>
            <w:r w:rsidR="00754905" w:rsidRPr="00436E2C">
              <w:rPr>
                <w:color w:val="000000" w:themeColor="text1"/>
                <w:kern w:val="2"/>
                <w:szCs w:val="24"/>
              </w:rPr>
              <w:t xml:space="preserve"> tūkstančiai </w:t>
            </w:r>
            <w:r w:rsidR="00842B60" w:rsidRPr="00436E2C">
              <w:rPr>
                <w:color w:val="000000" w:themeColor="text1"/>
                <w:kern w:val="2"/>
                <w:szCs w:val="24"/>
              </w:rPr>
              <w:t>trys</w:t>
            </w:r>
            <w:r w:rsidR="00754905" w:rsidRPr="00436E2C">
              <w:rPr>
                <w:color w:val="000000" w:themeColor="text1"/>
                <w:kern w:val="2"/>
                <w:szCs w:val="24"/>
              </w:rPr>
              <w:t xml:space="preserve"> šimta</w:t>
            </w:r>
            <w:r w:rsidR="00842B60" w:rsidRPr="00436E2C">
              <w:rPr>
                <w:color w:val="000000" w:themeColor="text1"/>
                <w:kern w:val="2"/>
                <w:szCs w:val="24"/>
              </w:rPr>
              <w:t>i</w:t>
            </w:r>
            <w:r w:rsidRPr="00436E2C">
              <w:rPr>
                <w:color w:val="000000" w:themeColor="text1"/>
                <w:kern w:val="2"/>
                <w:szCs w:val="24"/>
              </w:rPr>
              <w:t>).</w:t>
            </w:r>
          </w:p>
          <w:p w14:paraId="2F86F459" w14:textId="2AEA3095" w:rsidR="005A5832" w:rsidRPr="00436E2C" w:rsidRDefault="00A10867">
            <w:pPr>
              <w:rPr>
                <w:color w:val="000000" w:themeColor="text1"/>
                <w:kern w:val="2"/>
                <w:szCs w:val="24"/>
              </w:rPr>
            </w:pPr>
            <w:r w:rsidRPr="00436E2C">
              <w:rPr>
                <w:color w:val="000000" w:themeColor="text1"/>
                <w:kern w:val="2"/>
                <w:szCs w:val="24"/>
              </w:rPr>
              <w:t xml:space="preserve">Sutarties kaina yra </w:t>
            </w:r>
            <w:r w:rsidR="00842B60" w:rsidRPr="00436E2C">
              <w:rPr>
                <w:color w:val="000000" w:themeColor="text1"/>
                <w:kern w:val="2"/>
                <w:szCs w:val="24"/>
              </w:rPr>
              <w:t>36 3</w:t>
            </w:r>
            <w:r w:rsidR="00754905" w:rsidRPr="00436E2C">
              <w:rPr>
                <w:color w:val="000000" w:themeColor="text1"/>
                <w:kern w:val="2"/>
                <w:szCs w:val="24"/>
              </w:rPr>
              <w:t>00,00</w:t>
            </w:r>
            <w:r w:rsidRPr="00436E2C">
              <w:rPr>
                <w:color w:val="000000" w:themeColor="text1"/>
                <w:kern w:val="2"/>
                <w:szCs w:val="24"/>
              </w:rPr>
              <w:t xml:space="preserve"> Eur, (</w:t>
            </w:r>
            <w:r w:rsidR="00842B60" w:rsidRPr="00436E2C">
              <w:rPr>
                <w:color w:val="000000" w:themeColor="text1"/>
                <w:kern w:val="2"/>
                <w:szCs w:val="24"/>
              </w:rPr>
              <w:t>trisdešimt šeši tūkstančiai trys šimtai</w:t>
            </w:r>
            <w:r w:rsidRPr="00436E2C">
              <w:rPr>
                <w:color w:val="000000" w:themeColor="text1"/>
                <w:kern w:val="2"/>
                <w:szCs w:val="24"/>
              </w:rPr>
              <w:t>) Eur su PVM.</w:t>
            </w:r>
          </w:p>
          <w:p w14:paraId="7D07B0DC" w14:textId="77777777" w:rsidR="005A5832" w:rsidRPr="00436E2C" w:rsidRDefault="005A5832">
            <w:pPr>
              <w:rPr>
                <w:color w:val="000000" w:themeColor="text1"/>
                <w:kern w:val="2"/>
                <w:szCs w:val="24"/>
              </w:rPr>
            </w:pPr>
          </w:p>
          <w:p w14:paraId="2B18D5C5" w14:textId="77777777" w:rsidR="005A5832" w:rsidRDefault="00A1086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p w14:paraId="0B0A4193" w14:textId="77777777" w:rsidR="005A5832" w:rsidRDefault="005A5832">
            <w:pPr>
              <w:rPr>
                <w:color w:val="4472C4"/>
                <w:kern w:val="2"/>
              </w:rPr>
            </w:pPr>
          </w:p>
          <w:p w14:paraId="278A3DEB" w14:textId="77777777" w:rsidR="00754905" w:rsidRDefault="00754905" w:rsidP="00754905">
            <w:pPr>
              <w:rPr>
                <w:kern w:val="2"/>
              </w:rPr>
            </w:pPr>
            <w:r w:rsidRPr="00754905">
              <w:rPr>
                <w:kern w:val="2"/>
              </w:rPr>
              <w:t>Sutarčiai taikoma kintamo įkainio kainodara, nustatyta ir taikoma vadovaujantis Kainodaros taisyklių nustatymo metodika, patvirtinta Viešųjų pirkimų tarnybos direktoriaus 2017 m. birželio 28 d. įsakymu Nr. 1S-95 (su vėlesniais pakeitimais).</w:t>
            </w:r>
          </w:p>
          <w:p w14:paraId="38F29742" w14:textId="77777777" w:rsidR="00754905" w:rsidRPr="00754905" w:rsidRDefault="00754905" w:rsidP="00754905">
            <w:pPr>
              <w:rPr>
                <w:kern w:val="2"/>
              </w:rPr>
            </w:pPr>
          </w:p>
          <w:p w14:paraId="7D762EBE" w14:textId="253BD217" w:rsidR="00754905" w:rsidRDefault="00754905" w:rsidP="00754905">
            <w:pPr>
              <w:rPr>
                <w:kern w:val="2"/>
              </w:rPr>
            </w:pPr>
            <w:r w:rsidRPr="00754905">
              <w:rPr>
                <w:kern w:val="2"/>
              </w:rPr>
              <w:t>Kintama įkainio dalimi laikoma Lietuvos naftos produktus gaminančios įmonės AB „</w:t>
            </w:r>
            <w:proofErr w:type="spellStart"/>
            <w:r w:rsidRPr="00754905">
              <w:rPr>
                <w:kern w:val="2"/>
              </w:rPr>
              <w:t>Orlen</w:t>
            </w:r>
            <w:proofErr w:type="spellEnd"/>
            <w:r w:rsidRPr="00754905">
              <w:rPr>
                <w:kern w:val="2"/>
              </w:rPr>
              <w:t xml:space="preserve"> Lietuva“ protokolo bazinė dyzelinio kuro 1 litro kaina eurais (įskaitant akcizą ir PVM) (nustatoma pagal AB „</w:t>
            </w:r>
            <w:proofErr w:type="spellStart"/>
            <w:r w:rsidRPr="00754905">
              <w:rPr>
                <w:kern w:val="2"/>
              </w:rPr>
              <w:t>Orlen</w:t>
            </w:r>
            <w:proofErr w:type="spellEnd"/>
            <w:r w:rsidRPr="00754905">
              <w:rPr>
                <w:kern w:val="2"/>
              </w:rPr>
              <w:t xml:space="preserve"> Lietuva“ naftos produktų kainų protokolą: http://www.orlenlietuva.lt/LT/Wholesale/Puslapiai/Kainu-protokolai.aspx), galiojusi kuro pylimo dieną, 10.00 val., Juodeikių km., Mažeikių raj., terminale, esant 15°C temperatūrai. Sezoniniai temperatūriniai koeficientai nebus taikomi. </w:t>
            </w:r>
          </w:p>
          <w:p w14:paraId="6DA060F9" w14:textId="77777777" w:rsidR="00754905" w:rsidRPr="00754905" w:rsidRDefault="00754905" w:rsidP="00754905">
            <w:pPr>
              <w:rPr>
                <w:kern w:val="2"/>
              </w:rPr>
            </w:pPr>
          </w:p>
          <w:p w14:paraId="39EC2F14" w14:textId="4C886A84" w:rsidR="00754905" w:rsidRDefault="00754905" w:rsidP="00754905">
            <w:pPr>
              <w:rPr>
                <w:kern w:val="2"/>
              </w:rPr>
            </w:pPr>
            <w:r w:rsidRPr="00754905">
              <w:rPr>
                <w:kern w:val="2"/>
              </w:rPr>
              <w:t>Jei AB ,,</w:t>
            </w:r>
            <w:proofErr w:type="spellStart"/>
            <w:r w:rsidRPr="00754905">
              <w:rPr>
                <w:kern w:val="2"/>
              </w:rPr>
              <w:t>Orlen</w:t>
            </w:r>
            <w:proofErr w:type="spellEnd"/>
            <w:r w:rsidRPr="00754905">
              <w:rPr>
                <w:kern w:val="2"/>
              </w:rPr>
              <w:t xml:space="preserve"> Lietuva” viešai neskelbia ir Tiekėjui neteikia kainų protokolų, taikomas paskutinio paskelbto ar pateikto protokolo bazinis įkainis. AB ,,</w:t>
            </w:r>
            <w:proofErr w:type="spellStart"/>
            <w:r w:rsidRPr="00754905">
              <w:rPr>
                <w:kern w:val="2"/>
              </w:rPr>
              <w:t>Orlen</w:t>
            </w:r>
            <w:proofErr w:type="spellEnd"/>
            <w:r w:rsidRPr="00754905">
              <w:rPr>
                <w:kern w:val="2"/>
              </w:rPr>
              <w:t xml:space="preserve"> Lietuva” terminalo Juodeikių km., Mažeikių raj. protokole skelbiant kelių skirtingų klasių degalų bazines kainas, kitos klasės degalų kaina pradedama taikyti tik tada, kai anksčiau naudotos degalų klasės kaina nebeskelbiama.</w:t>
            </w:r>
          </w:p>
          <w:p w14:paraId="776AA003" w14:textId="77777777" w:rsidR="00754905" w:rsidRDefault="00754905" w:rsidP="00754905">
            <w:pPr>
              <w:rPr>
                <w:kern w:val="2"/>
              </w:rPr>
            </w:pPr>
          </w:p>
          <w:p w14:paraId="34D6D614" w14:textId="05E5A91E" w:rsidR="00754905" w:rsidRPr="00754905" w:rsidRDefault="00754905" w:rsidP="00754905">
            <w:pPr>
              <w:rPr>
                <w:kern w:val="2"/>
              </w:rPr>
            </w:pPr>
            <w:r w:rsidRPr="00754905">
              <w:rPr>
                <w:kern w:val="2"/>
              </w:rPr>
              <w:lastRenderedPageBreak/>
              <w:t>Prekės įkainis nustatomas prie kintamos įkainio dalies pridėjus Sutart</w:t>
            </w:r>
            <w:r>
              <w:rPr>
                <w:kern w:val="2"/>
              </w:rPr>
              <w:t xml:space="preserve">yje </w:t>
            </w:r>
            <w:r w:rsidRPr="00754905">
              <w:rPr>
                <w:kern w:val="2"/>
              </w:rPr>
              <w:t xml:space="preserve">nurodytą fiksuotą antkainį / nuolaidą (nereikalingą variantą išbraukti). </w:t>
            </w:r>
          </w:p>
          <w:p w14:paraId="504CD09F" w14:textId="77777777" w:rsidR="00754905" w:rsidRDefault="00754905" w:rsidP="00754905">
            <w:pPr>
              <w:rPr>
                <w:kern w:val="2"/>
              </w:rPr>
            </w:pPr>
          </w:p>
          <w:p w14:paraId="5A37F7CC" w14:textId="77777777" w:rsidR="00754905" w:rsidRDefault="00754905" w:rsidP="00754905">
            <w:pPr>
              <w:rPr>
                <w:kern w:val="2"/>
              </w:rPr>
            </w:pPr>
            <w:r w:rsidRPr="00754905">
              <w:rPr>
                <w:kern w:val="2"/>
              </w:rPr>
              <w:t xml:space="preserve">Tiekėjas visą Sutarties galiojimo laikotarpį suteiks _____ Eur/litrui antkainį / nuolaidą (nereikalingą variantą išbraukti) kiekvienam dyzelino litrui, įskaitant akcizą, PVM, visus kitus mokesčius ir visas </w:t>
            </w:r>
          </w:p>
          <w:p w14:paraId="3B340DA4" w14:textId="77777777" w:rsidR="00754905" w:rsidRDefault="00754905" w:rsidP="00754905">
            <w:pPr>
              <w:rPr>
                <w:kern w:val="2"/>
              </w:rPr>
            </w:pPr>
            <w:r w:rsidRPr="00754905">
              <w:rPr>
                <w:kern w:val="2"/>
              </w:rPr>
              <w:t xml:space="preserve">Tiekėjo išlaidas, atsirandančias vykdant Sutartį. </w:t>
            </w:r>
          </w:p>
          <w:p w14:paraId="3E58FC7F" w14:textId="3EA38103" w:rsidR="00754905" w:rsidRDefault="00754905" w:rsidP="00754905">
            <w:pPr>
              <w:rPr>
                <w:kern w:val="2"/>
              </w:rPr>
            </w:pPr>
            <w:r w:rsidRPr="00754905">
              <w:rPr>
                <w:kern w:val="2"/>
              </w:rPr>
              <w:t>Sutart</w:t>
            </w:r>
            <w:r>
              <w:rPr>
                <w:kern w:val="2"/>
              </w:rPr>
              <w:t xml:space="preserve">yje </w:t>
            </w:r>
            <w:r w:rsidRPr="00754905">
              <w:rPr>
                <w:kern w:val="2"/>
              </w:rPr>
              <w:t>nurodytas antkainis / nuolaida (nereikalingą variantą išbraukti) yra nekeičiamas (-a) ir taikomas (-a) visą Sutarties galiojimo laikotarpį.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537768C9" w:rsidR="005A5832" w:rsidRDefault="00A10867">
            <w:pPr>
              <w:rPr>
                <w:kern w:val="2"/>
                <w:szCs w:val="24"/>
              </w:rPr>
            </w:pPr>
            <w:r>
              <w:rPr>
                <w:kern w:val="2"/>
                <w:szCs w:val="24"/>
              </w:rPr>
              <w:t xml:space="preserve">Sutarties </w:t>
            </w:r>
            <w:r>
              <w:rPr>
                <w:color w:val="FF0000"/>
                <w:kern w:val="2"/>
                <w:szCs w:val="24"/>
              </w:rPr>
              <w:t>įkainiai</w:t>
            </w:r>
            <w:r>
              <w:rPr>
                <w:kern w:val="2"/>
                <w:szCs w:val="24"/>
              </w:rPr>
              <w:t xml:space="preserve"> bus perskaičiuojami:</w:t>
            </w:r>
          </w:p>
          <w:p w14:paraId="64368AD2" w14:textId="24367D2E" w:rsidR="005A5832" w:rsidRDefault="00A10867">
            <w:pPr>
              <w:rPr>
                <w:color w:val="FF0000"/>
                <w:kern w:val="2"/>
                <w:szCs w:val="24"/>
              </w:rPr>
            </w:pPr>
            <w:r>
              <w:rPr>
                <w:kern w:val="2"/>
                <w:szCs w:val="24"/>
              </w:rPr>
              <w:t>5.3.1. dėl PVM tarifo pasikeitimo</w:t>
            </w:r>
          </w:p>
          <w:p w14:paraId="33BE06DA" w14:textId="26FBC80E"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5D6B99" w14:textId="77777777" w:rsidR="005A5832" w:rsidRDefault="005A5832">
            <w:pPr>
              <w:rPr>
                <w:kern w:val="2"/>
                <w:szCs w:val="24"/>
              </w:rPr>
            </w:pP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596D1B1C" w:rsidR="005A5832" w:rsidRDefault="005A5832">
            <w:pPr>
              <w:rPr>
                <w:kern w:val="2"/>
              </w:rPr>
            </w:pPr>
          </w:p>
        </w:tc>
      </w:tr>
      <w:tr w:rsidR="005A5832" w14:paraId="06597448" w14:textId="77777777">
        <w:trPr>
          <w:trHeight w:val="300"/>
        </w:trPr>
        <w:tc>
          <w:tcPr>
            <w:tcW w:w="2704" w:type="dxa"/>
            <w:gridSpan w:val="2"/>
          </w:tcPr>
          <w:p w14:paraId="68CA6F47" w14:textId="6DF027B1" w:rsidR="005A5832" w:rsidRPr="0059272C" w:rsidRDefault="00A10867">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0038ADD0" w14:textId="77777777" w:rsidR="005A5832" w:rsidRDefault="005A5832">
            <w:pPr>
              <w:rPr>
                <w:kern w:val="2"/>
                <w:szCs w:val="24"/>
              </w:rPr>
            </w:pPr>
          </w:p>
          <w:p w14:paraId="0AD0C670" w14:textId="49B5F35D"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312FAC8F"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5FBC50E0" w14:textId="0CFBBC26"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5D1F8A09" w14:textId="7FF2C1B5" w:rsidR="005A5832" w:rsidRDefault="0059272C">
            <w:pPr>
              <w:rPr>
                <w:color w:val="000000"/>
                <w:kern w:val="2"/>
                <w:szCs w:val="24"/>
                <w:shd w:val="clear" w:color="auto" w:fill="FFFFFF"/>
              </w:rPr>
            </w:pPr>
            <w:r w:rsidRPr="0059272C">
              <w:rPr>
                <w:kern w:val="2"/>
                <w:szCs w:val="24"/>
              </w:rPr>
              <w:t>Pirkėjas atsiskaito su Tiekėju ne vėliau kaip per 30 (trisdešimt) kalendorinių dienų nuo PVM sąskaitos – faktūros gavimo per informacinę sistemą „</w:t>
            </w:r>
            <w:r>
              <w:rPr>
                <w:kern w:val="2"/>
                <w:szCs w:val="24"/>
              </w:rPr>
              <w:t>SABIS</w:t>
            </w:r>
            <w:r w:rsidRPr="0059272C">
              <w:rPr>
                <w:kern w:val="2"/>
                <w:szCs w:val="24"/>
              </w:rPr>
              <w:t>“ dienos.</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531DB7C0"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361F29E0"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7F957236" w14:textId="77777777" w:rsidR="005A5832" w:rsidRDefault="00A10867">
            <w:pPr>
              <w:rPr>
                <w:kern w:val="2"/>
                <w:szCs w:val="24"/>
              </w:rPr>
            </w:pPr>
            <w:r>
              <w:rPr>
                <w:kern w:val="2"/>
                <w:szCs w:val="24"/>
              </w:rPr>
              <w:t>Netaikoma</w:t>
            </w:r>
          </w:p>
          <w:p w14:paraId="563941A5" w14:textId="64964A25" w:rsidR="005A5832" w:rsidRDefault="005A5832">
            <w:pPr>
              <w:rPr>
                <w:kern w:val="2"/>
                <w:szCs w:val="24"/>
              </w:rPr>
            </w:pP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6C083AFE" w14:textId="77777777" w:rsidR="005A5832" w:rsidRDefault="00A10867">
            <w:pPr>
              <w:rPr>
                <w:kern w:val="2"/>
                <w:szCs w:val="24"/>
              </w:rPr>
            </w:pPr>
            <w:r>
              <w:rPr>
                <w:kern w:val="2"/>
                <w:szCs w:val="24"/>
              </w:rPr>
              <w:t>Netaikoma</w:t>
            </w:r>
          </w:p>
          <w:p w14:paraId="7F305FC3" w14:textId="74A74A20" w:rsidR="005A5832" w:rsidRDefault="005A5832">
            <w:pPr>
              <w:rPr>
                <w:kern w:val="2"/>
                <w:szCs w:val="24"/>
              </w:rPr>
            </w:pP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D172A79" w14:textId="77777777" w:rsidR="00AE1EA5" w:rsidRDefault="00A10867">
            <w:pPr>
              <w:rPr>
                <w:kern w:val="2"/>
                <w:szCs w:val="24"/>
              </w:rPr>
            </w:pPr>
            <w:r>
              <w:rPr>
                <w:kern w:val="2"/>
                <w:szCs w:val="24"/>
              </w:rPr>
              <w:t>Prievolių pagal Sutartį įvykdymas užtikrinamas</w:t>
            </w:r>
            <w:r w:rsidR="00AE1EA5">
              <w:rPr>
                <w:kern w:val="2"/>
                <w:szCs w:val="24"/>
              </w:rPr>
              <w:t>:</w:t>
            </w:r>
          </w:p>
          <w:p w14:paraId="57B4149A" w14:textId="38646FE3" w:rsidR="005A5832" w:rsidRDefault="00A10867">
            <w:pPr>
              <w:rPr>
                <w:kern w:val="2"/>
                <w:szCs w:val="24"/>
              </w:rPr>
            </w:pPr>
            <w:r>
              <w:rPr>
                <w:kern w:val="2"/>
                <w:szCs w:val="24"/>
              </w:rPr>
              <w:t>Netesybomis (delspinigiais, bauda)</w:t>
            </w:r>
            <w:r w:rsidR="00AE1EA5">
              <w:rPr>
                <w:kern w:val="2"/>
                <w:szCs w:val="24"/>
              </w:rPr>
              <w:t>.</w:t>
            </w:r>
          </w:p>
          <w:p w14:paraId="3DDC83FB" w14:textId="567FA20B"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50D3A1EA"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2C31EFFC" w:rsidR="005A5832" w:rsidRPr="00AE1EA5" w:rsidRDefault="00A10867" w:rsidP="00AE1EA5">
            <w:pPr>
              <w:rPr>
                <w:color w:val="FF0000"/>
                <w:kern w:val="2"/>
                <w:szCs w:val="24"/>
              </w:rPr>
            </w:pPr>
            <w:r w:rsidRPr="00AE1EA5">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AE1EA5" w:rsidRPr="00AE1EA5">
              <w:rPr>
                <w:color w:val="000000" w:themeColor="text1"/>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66CF00A6" w:rsidR="005A5832" w:rsidRPr="00AE1EA5" w:rsidRDefault="00A10867">
            <w:pPr>
              <w:rPr>
                <w:color w:val="000000" w:themeColor="text1"/>
                <w:kern w:val="2"/>
                <w:szCs w:val="24"/>
              </w:rPr>
            </w:pPr>
            <w:r w:rsidRPr="00AE1EA5">
              <w:rPr>
                <w:color w:val="000000" w:themeColor="text1"/>
                <w:kern w:val="2"/>
                <w:szCs w:val="24"/>
              </w:rPr>
              <w:t>9</w:t>
            </w:r>
            <w:r w:rsidRPr="00AE1EA5">
              <w:rPr>
                <w:color w:val="000000" w:themeColor="text1"/>
                <w:kern w:val="2"/>
                <w:szCs w:val="24"/>
                <w:lang w:val="en-US"/>
              </w:rPr>
              <w:t xml:space="preserve">.2.1. </w:t>
            </w:r>
            <w:r w:rsidRPr="00AE1EA5">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5A5832" w:rsidRPr="00AE1EA5" w:rsidRDefault="005A5832">
            <w:pPr>
              <w:rPr>
                <w:color w:val="000000" w:themeColor="text1"/>
                <w:kern w:val="2"/>
                <w:szCs w:val="24"/>
              </w:rPr>
            </w:pPr>
          </w:p>
          <w:p w14:paraId="7907862C" w14:textId="7CD37A2E" w:rsidR="005A5832" w:rsidRDefault="00A10867">
            <w:pPr>
              <w:rPr>
                <w:b/>
                <w:bCs/>
                <w:kern w:val="2"/>
                <w:szCs w:val="24"/>
              </w:rPr>
            </w:pPr>
            <w:r w:rsidRPr="00AE1EA5">
              <w:rPr>
                <w:color w:val="000000" w:themeColor="text1"/>
                <w:kern w:val="2"/>
                <w:szCs w:val="24"/>
              </w:rPr>
              <w:t>9.2.2.</w:t>
            </w:r>
            <w:r w:rsidRPr="00AE1EA5">
              <w:rPr>
                <w:color w:val="000000" w:themeColor="text1"/>
                <w:kern w:val="2"/>
                <w:szCs w:val="24"/>
                <w:lang w:val="en-US"/>
              </w:rPr>
              <w:t xml:space="preserve"> </w:t>
            </w:r>
            <w:r w:rsidRPr="00AE1EA5">
              <w:rPr>
                <w:color w:val="000000" w:themeColor="text1"/>
                <w:kern w:val="2"/>
                <w:szCs w:val="24"/>
              </w:rPr>
              <w:t xml:space="preserve">Tiekėjas privalo sumokėti Pirkėjui netesybas per </w:t>
            </w:r>
            <w:r w:rsidR="00AE1EA5" w:rsidRPr="00AE1EA5">
              <w:rPr>
                <w:color w:val="000000" w:themeColor="text1"/>
                <w:kern w:val="2"/>
                <w:szCs w:val="24"/>
              </w:rPr>
              <w:t>7 kalendorines</w:t>
            </w:r>
            <w:r w:rsidRPr="00AE1EA5">
              <w:rPr>
                <w:color w:val="000000" w:themeColor="text1"/>
                <w:kern w:val="2"/>
                <w:szCs w:val="24"/>
              </w:rPr>
              <w:t xml:space="preserve"> dien</w:t>
            </w:r>
            <w:r w:rsidR="00AE1EA5" w:rsidRPr="00AE1EA5">
              <w:rPr>
                <w:color w:val="000000" w:themeColor="text1"/>
                <w:kern w:val="2"/>
                <w:szCs w:val="24"/>
              </w:rPr>
              <w:t>as</w:t>
            </w:r>
            <w:r w:rsidRPr="00AE1EA5">
              <w:rPr>
                <w:color w:val="000000" w:themeColor="text1"/>
                <w:kern w:val="2"/>
                <w:szCs w:val="24"/>
              </w:rPr>
              <w:t xml:space="preserve">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p>
        </w:tc>
        <w:tc>
          <w:tcPr>
            <w:tcW w:w="6831" w:type="dxa"/>
            <w:gridSpan w:val="2"/>
          </w:tcPr>
          <w:p w14:paraId="4F16CCF3" w14:textId="73A6623E" w:rsidR="005A5832" w:rsidRDefault="00A10867">
            <w:pPr>
              <w:rPr>
                <w:kern w:val="2"/>
                <w:szCs w:val="24"/>
              </w:rPr>
            </w:pPr>
            <w:r>
              <w:rPr>
                <w:kern w:val="2"/>
                <w:szCs w:val="24"/>
              </w:rPr>
              <w:lastRenderedPageBreak/>
              <w:t xml:space="preserve">Nutraukus Sutartį dėl esminio Sutarties pažeidimo, nustatyto Sutarties Specialiosiose sąlygose, mokama </w:t>
            </w:r>
            <w:r w:rsidR="00AE1EA5">
              <w:rPr>
                <w:color w:val="4472C4"/>
                <w:kern w:val="2"/>
                <w:szCs w:val="24"/>
              </w:rPr>
              <w:t xml:space="preserve">5 (penkių) </w:t>
            </w:r>
            <w:r>
              <w:rPr>
                <w:kern w:val="2"/>
                <w:szCs w:val="24"/>
              </w:rPr>
              <w:t xml:space="preserve">procentų </w:t>
            </w:r>
            <w:r>
              <w:rPr>
                <w:kern w:val="2"/>
                <w:szCs w:val="24"/>
              </w:rPr>
              <w:lastRenderedPageBreak/>
              <w:t xml:space="preserve">dydžio bauda nuo Pradinės Sutarties vertės be PVM, nurodytos Specialiųjų sąlygų 5.2 punkte. </w:t>
            </w:r>
          </w:p>
          <w:p w14:paraId="187F7386" w14:textId="5113E6E6"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AE1EA5">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038DE17F"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322B454A" w14:textId="751073BD"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6CC3C15B" w:rsidR="00AE1EA5" w:rsidRDefault="00A10867" w:rsidP="00AE1EA5">
            <w:pPr>
              <w:rPr>
                <w:color w:val="4472C4"/>
                <w:kern w:val="2"/>
                <w:szCs w:val="24"/>
              </w:rPr>
            </w:pPr>
            <w:r>
              <w:rPr>
                <w:kern w:val="2"/>
                <w:szCs w:val="24"/>
              </w:rPr>
              <w:t xml:space="preserve">Netaikoma </w:t>
            </w:r>
          </w:p>
          <w:p w14:paraId="32D19F53" w14:textId="1335191E"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2CDDACC8"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4B44A15" w14:textId="77777777" w:rsidR="00AE1EA5" w:rsidRDefault="00AE1EA5" w:rsidP="00AE1EA5">
            <w:pPr>
              <w:rPr>
                <w:kern w:val="2"/>
                <w:szCs w:val="24"/>
              </w:rPr>
            </w:pPr>
            <w:r>
              <w:rPr>
                <w:kern w:val="2"/>
                <w:szCs w:val="24"/>
              </w:rPr>
              <w:t>Netaikoma</w:t>
            </w:r>
          </w:p>
          <w:p w14:paraId="5E3CB8FA" w14:textId="085E4CC8"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792D06D7" w14:textId="6915D5FE" w:rsidR="005A5832" w:rsidRPr="00AE1EA5" w:rsidRDefault="00A10867">
            <w:pPr>
              <w:rPr>
                <w:kern w:val="2"/>
                <w:szCs w:val="24"/>
              </w:rPr>
            </w:pPr>
            <w:r w:rsidRPr="00AE1EA5">
              <w:rPr>
                <w:color w:val="000000" w:themeColor="text1"/>
                <w:kern w:val="2"/>
                <w:szCs w:val="24"/>
              </w:rPr>
              <w:t xml:space="preserve">Ši Sutartis laikoma sudaryta, kai (pirma) ją pasirašo abi Šalys, ir (antra) Sutartis galioja iki visiško prievolių įvykdymo (kol bus išnaudota Pradinės Sutarties vertė, bet jos terminas negali būti ilgesnis kaip </w:t>
            </w:r>
            <w:r w:rsidR="00AE1EA5" w:rsidRPr="00AE1EA5">
              <w:rPr>
                <w:color w:val="000000" w:themeColor="text1"/>
                <w:kern w:val="2"/>
                <w:szCs w:val="24"/>
              </w:rPr>
              <w:t>26 mėnesiai (įskaitant atsiskaitymo terminą).</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20AAAF6C"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lastRenderedPageBreak/>
              <w:t>11.1. Sutarties nutraukimo pagrindai</w:t>
            </w:r>
          </w:p>
        </w:tc>
        <w:tc>
          <w:tcPr>
            <w:tcW w:w="7003" w:type="dxa"/>
            <w:gridSpan w:val="3"/>
          </w:tcPr>
          <w:p w14:paraId="3EFF973D" w14:textId="79AA8A4D" w:rsidR="005A5832" w:rsidRPr="00002FB6"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7777777" w:rsidR="005A5832" w:rsidRPr="00002FB6" w:rsidRDefault="00A10867">
            <w:pPr>
              <w:rPr>
                <w:color w:val="000000" w:themeColor="text1"/>
                <w:kern w:val="2"/>
                <w:szCs w:val="24"/>
              </w:rPr>
            </w:pPr>
            <w:r w:rsidRPr="00002FB6">
              <w:rPr>
                <w:color w:val="000000" w:themeColor="text1"/>
                <w:kern w:val="2"/>
                <w:szCs w:val="24"/>
              </w:rPr>
              <w:t>11.2.1. jeigu Tiekėjas nevykdo prisiimtų įsipareigojimų už Sutartyje nustatytą Sutarties kainą / įkainius;</w:t>
            </w:r>
          </w:p>
          <w:p w14:paraId="63F51A4B" w14:textId="77777777" w:rsidR="005A5832" w:rsidRPr="00002FB6" w:rsidRDefault="00A10867">
            <w:pPr>
              <w:rPr>
                <w:color w:val="000000" w:themeColor="text1"/>
                <w:kern w:val="2"/>
                <w:szCs w:val="24"/>
              </w:rPr>
            </w:pPr>
            <w:r w:rsidRPr="00002FB6">
              <w:rPr>
                <w:color w:val="000000" w:themeColor="text1"/>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CFEA841" w14:textId="602A45E8" w:rsidR="005A5832" w:rsidRPr="00002FB6" w:rsidRDefault="00A10867">
            <w:pPr>
              <w:rPr>
                <w:color w:val="000000" w:themeColor="text1"/>
                <w:kern w:val="2"/>
                <w:szCs w:val="24"/>
              </w:rPr>
            </w:pPr>
            <w:r w:rsidRPr="00002FB6">
              <w:rPr>
                <w:color w:val="000000" w:themeColor="text1"/>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002FB6" w:rsidRPr="00002FB6">
              <w:rPr>
                <w:color w:val="000000" w:themeColor="text1"/>
                <w:kern w:val="2"/>
                <w:szCs w:val="24"/>
              </w:rPr>
              <w:t xml:space="preserve">10 </w:t>
            </w:r>
            <w:r w:rsidRPr="00002FB6">
              <w:rPr>
                <w:color w:val="000000" w:themeColor="text1"/>
                <w:kern w:val="2"/>
                <w:szCs w:val="24"/>
              </w:rPr>
              <w:t>dienų neištaiso pažeidimų;</w:t>
            </w:r>
          </w:p>
          <w:p w14:paraId="4198364C" w14:textId="1F41635D" w:rsidR="005A5832" w:rsidRPr="00002FB6" w:rsidRDefault="00A10867" w:rsidP="00002FB6">
            <w:pPr>
              <w:tabs>
                <w:tab w:val="left" w:pos="567"/>
                <w:tab w:val="left" w:pos="851"/>
                <w:tab w:val="left" w:pos="992"/>
                <w:tab w:val="left" w:pos="1134"/>
              </w:tabs>
              <w:spacing w:line="257" w:lineRule="auto"/>
              <w:jc w:val="both"/>
              <w:rPr>
                <w:rFonts w:eastAsia="Arial"/>
                <w:color w:val="FF0000"/>
                <w:kern w:val="2"/>
                <w:szCs w:val="24"/>
                <w:lang w:val="lt"/>
              </w:rPr>
            </w:pPr>
            <w:r w:rsidRPr="00002FB6">
              <w:rPr>
                <w:rFonts w:eastAsia="Arial"/>
                <w:color w:val="000000" w:themeColor="text1"/>
                <w:kern w:val="2"/>
                <w:szCs w:val="24"/>
                <w:lang w:val="lt"/>
              </w:rPr>
              <w:t>11.2.</w:t>
            </w:r>
            <w:r w:rsidR="00002FB6" w:rsidRPr="00002FB6">
              <w:rPr>
                <w:rFonts w:eastAsia="Arial"/>
                <w:color w:val="000000" w:themeColor="text1"/>
                <w:kern w:val="2"/>
                <w:szCs w:val="24"/>
                <w:lang w:val="lt"/>
              </w:rPr>
              <w:t>4</w:t>
            </w:r>
            <w:r w:rsidRPr="00002FB6">
              <w:rPr>
                <w:rFonts w:eastAsia="Arial"/>
                <w:color w:val="000000" w:themeColor="text1"/>
                <w:kern w:val="2"/>
                <w:szCs w:val="24"/>
                <w:lang w:val="lt"/>
              </w:rPr>
              <w:t>. Tiekėjas pažeidžia šios Sutarties nuostatas, reglamentuojančias konkurenciją, intelektinės nuosavybės ar konfidencialios informacijos valdymą;</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18E6F220" w14:textId="671D6A93" w:rsidR="005A5832" w:rsidRPr="00842B60" w:rsidRDefault="00842B60">
            <w:pPr>
              <w:rPr>
                <w:color w:val="000000"/>
                <w:kern w:val="2"/>
                <w:szCs w:val="24"/>
                <w:shd w:val="clear" w:color="auto" w:fill="FFFFFF"/>
              </w:rPr>
            </w:pPr>
            <w:r w:rsidRPr="00842B60">
              <w:rPr>
                <w:color w:val="000000"/>
                <w:kern w:val="2"/>
                <w:szCs w:val="24"/>
                <w:shd w:val="clear" w:color="auto" w:fill="FFFFFF"/>
              </w:rPr>
              <w:t xml:space="preserve">12.1.1. </w:t>
            </w:r>
            <w:r w:rsidR="00002FB6" w:rsidRPr="00842B60">
              <w:rPr>
                <w:color w:val="000000"/>
                <w:kern w:val="2"/>
                <w:szCs w:val="24"/>
                <w:shd w:val="clear" w:color="auto" w:fill="FFFFFF"/>
              </w:rPr>
              <w:t>Dyzelinis kuras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Nr.1-348/D l-1014/3-742 „Dėl Lietuvos Respublikoje vartojamų naftos produktų, biodegalų ir skystojo kuro privalomųjų kokybės rodiklių patvirtinimo" (su vėlesniais papildymais ir pakeitimais) arba lygiaverčius Europos sąjungos valstybių narių dokumentus ir kitus degalams teisės aktuose nustatytus reikalavimus</w:t>
            </w:r>
          </w:p>
          <w:p w14:paraId="75CE461F" w14:textId="56AA65CA" w:rsidR="00842B60" w:rsidRPr="00842B60" w:rsidRDefault="00842B60" w:rsidP="00842B60">
            <w:pPr>
              <w:rPr>
                <w:kern w:val="2"/>
                <w:szCs w:val="24"/>
              </w:rPr>
            </w:pPr>
            <w:r w:rsidRPr="00842B60">
              <w:rPr>
                <w:kern w:val="2"/>
                <w:szCs w:val="24"/>
              </w:rPr>
              <w:t>12.1.2. Dyzelinis kuras turi būti nudažytas ir pažymėtas, kaip nurodyta Kuro, kuriam taikomos akcizų lengvatos, žymėjimo tvarkos 2 priede “Dyzelinių degalų (dyzelino), skirtų naudoti žemės ūkyje, taip pat tvenkinių ir kitų vidaus vandenų žuvininkystėje, ir laivų degalų (variklių kuro) žymėjimas” (Žin.,  2002, Nr. 59-2405).</w:t>
            </w:r>
          </w:p>
          <w:p w14:paraId="05650F32" w14:textId="64664914" w:rsidR="00842B60" w:rsidRPr="00842B60" w:rsidRDefault="00842B60" w:rsidP="00842B60">
            <w:pPr>
              <w:rPr>
                <w:kern w:val="2"/>
                <w:szCs w:val="24"/>
              </w:rPr>
            </w:pPr>
            <w:r w:rsidRPr="00842B60">
              <w:rPr>
                <w:kern w:val="2"/>
                <w:szCs w:val="24"/>
              </w:rPr>
              <w:t>12.1.3. Dyzelinas privalo atitikti Lietuvos standarto LST EN 590 „Automobiliniai degalai. Dyzelinas. Reikalavimai ir tyrimo metodai“ arba lygiaverčių kokybės standartų reikalavimus.</w:t>
            </w:r>
          </w:p>
          <w:p w14:paraId="5E3819D0" w14:textId="3CB7FFBF" w:rsidR="00842B60" w:rsidRDefault="00842B60" w:rsidP="00842B60">
            <w:pPr>
              <w:rPr>
                <w:b/>
                <w:bCs/>
                <w:kern w:val="2"/>
                <w:szCs w:val="24"/>
              </w:rPr>
            </w:pPr>
            <w:r w:rsidRPr="00842B60">
              <w:rPr>
                <w:kern w:val="2"/>
                <w:szCs w:val="24"/>
              </w:rPr>
              <w:t>12.1.3. Benzinas A-95 (naujas žymėjimas benzinas 95 E(5÷10) turi atitikti Lietuvos standarto LST EN 228 „Automobiliniai degalai. Bešvinis benzinas. Reikalavimai ir tyrimo metodai“ arba lygiaverčių kokybės standartų reikalavimus.</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35E55601" w14:textId="2A8DA6F6" w:rsidR="005A5832" w:rsidRDefault="005A5832">
            <w:pPr>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5A5832" w:rsidRDefault="00A10867">
            <w:pPr>
              <w:rPr>
                <w:kern w:val="2"/>
                <w:szCs w:val="24"/>
              </w:rPr>
            </w:pPr>
            <w:r>
              <w:rPr>
                <w:kern w:val="2"/>
                <w:szCs w:val="24"/>
              </w:rPr>
              <w:t>Netaikoma</w:t>
            </w:r>
          </w:p>
          <w:p w14:paraId="69FD5316" w14:textId="174B0818"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t>Netaikoma</w:t>
            </w:r>
          </w:p>
          <w:p w14:paraId="0EA03E5A" w14:textId="34823EF3"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03B5B148"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4F237D0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F805B4C"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310CA4B8" w:rsidR="005A5832" w:rsidRDefault="0018124B" w:rsidP="0018124B">
            <w:pPr>
              <w:rPr>
                <w:b/>
                <w:bCs/>
                <w:kern w:val="2"/>
                <w:szCs w:val="24"/>
              </w:rPr>
            </w:pPr>
            <w:r w:rsidRPr="0018124B">
              <w:rPr>
                <w:b/>
                <w:bCs/>
                <w:kern w:val="2"/>
                <w:szCs w:val="24"/>
              </w:rPr>
              <w:t>Tiekėjo (ūkio subjektų grupės ar/ir subtiekėjo(-ų)) degalinių sąrašas Lietuvoje, kuriose perkančioji organizacija galės piltis degalus, naudodamasi tiekėjo išduotomis kortelėmis</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77777777" w:rsidR="005A5832" w:rsidRDefault="005A5832">
            <w:pPr>
              <w:jc w:val="center"/>
              <w:rPr>
                <w:b/>
                <w:bCs/>
                <w:kern w:val="2"/>
                <w:szCs w:val="24"/>
              </w:rPr>
            </w:pP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77777777" w:rsidR="005A5832" w:rsidRDefault="005A5832">
            <w:pPr>
              <w:jc w:val="center"/>
              <w:rPr>
                <w:b/>
                <w:bCs/>
                <w:kern w:val="2"/>
                <w:szCs w:val="24"/>
              </w:rPr>
            </w:pPr>
          </w:p>
        </w:tc>
      </w:tr>
      <w:tr w:rsidR="005A5832" w14:paraId="297D1F65" w14:textId="77777777">
        <w:trPr>
          <w:trHeight w:val="300"/>
        </w:trPr>
        <w:tc>
          <w:tcPr>
            <w:tcW w:w="2532" w:type="dxa"/>
          </w:tcPr>
          <w:p w14:paraId="42C838D5" w14:textId="77777777" w:rsidR="005A5832" w:rsidRDefault="00A10867">
            <w:pPr>
              <w:jc w:val="center"/>
              <w:rPr>
                <w:b/>
                <w:bCs/>
                <w:kern w:val="2"/>
                <w:szCs w:val="24"/>
              </w:rPr>
            </w:pPr>
            <w:r>
              <w:rPr>
                <w:b/>
                <w:bCs/>
                <w:kern w:val="2"/>
                <w:szCs w:val="24"/>
              </w:rPr>
              <w:t>14.4. Priedas Nr. 4</w:t>
            </w:r>
          </w:p>
        </w:tc>
        <w:tc>
          <w:tcPr>
            <w:tcW w:w="7003" w:type="dxa"/>
            <w:gridSpan w:val="3"/>
          </w:tcPr>
          <w:p w14:paraId="16392640" w14:textId="77777777" w:rsidR="005A5832" w:rsidRDefault="005A5832">
            <w:pPr>
              <w:jc w:val="center"/>
              <w:rPr>
                <w:b/>
                <w:bCs/>
                <w:kern w:val="2"/>
                <w:szCs w:val="24"/>
              </w:rPr>
            </w:pPr>
          </w:p>
        </w:tc>
      </w:tr>
      <w:tr w:rsidR="005A5832" w14:paraId="1FC5E948" w14:textId="77777777">
        <w:trPr>
          <w:trHeight w:val="300"/>
        </w:trPr>
        <w:tc>
          <w:tcPr>
            <w:tcW w:w="2532" w:type="dxa"/>
          </w:tcPr>
          <w:p w14:paraId="402A3DBC" w14:textId="77777777" w:rsidR="005A5832" w:rsidRDefault="00A10867">
            <w:pPr>
              <w:jc w:val="center"/>
              <w:rPr>
                <w:b/>
                <w:bCs/>
                <w:kern w:val="2"/>
                <w:szCs w:val="24"/>
              </w:rPr>
            </w:pPr>
            <w:r>
              <w:rPr>
                <w:b/>
                <w:bCs/>
                <w:kern w:val="2"/>
                <w:szCs w:val="24"/>
              </w:rPr>
              <w:t>14.5. Priedas Nr. 5</w:t>
            </w: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5D85910C" w14:textId="297D38DF" w:rsidR="0018124B" w:rsidRDefault="0018124B">
      <w:pPr>
        <w:rPr>
          <w:szCs w:val="24"/>
        </w:rPr>
      </w:pPr>
      <w:r>
        <w:rPr>
          <w:szCs w:val="24"/>
        </w:rPr>
        <w:br w:type="page"/>
      </w:r>
    </w:p>
    <w:p w14:paraId="21C0E24A" w14:textId="623B2718" w:rsidR="0018124B" w:rsidRPr="00E81026" w:rsidRDefault="0018124B" w:rsidP="0018124B">
      <w:pPr>
        <w:spacing w:line="360" w:lineRule="auto"/>
        <w:ind w:left="6946" w:hanging="6946"/>
        <w:jc w:val="right"/>
        <w:rPr>
          <w:b/>
          <w:szCs w:val="24"/>
        </w:rPr>
      </w:pPr>
      <w:r>
        <w:rPr>
          <w:b/>
          <w:szCs w:val="24"/>
        </w:rPr>
        <w:lastRenderedPageBreak/>
        <w:t>1</w:t>
      </w:r>
      <w:r w:rsidRPr="00E81026">
        <w:rPr>
          <w:b/>
          <w:szCs w:val="24"/>
        </w:rPr>
        <w:t xml:space="preserve"> priedas</w:t>
      </w:r>
    </w:p>
    <w:p w14:paraId="7FB5FE94" w14:textId="77777777" w:rsidR="0018124B" w:rsidRPr="00E81026" w:rsidRDefault="0018124B" w:rsidP="0018124B">
      <w:pPr>
        <w:spacing w:line="360" w:lineRule="auto"/>
        <w:ind w:left="6946" w:hanging="6946"/>
      </w:pPr>
      <w:r w:rsidRPr="00E81026">
        <w:t xml:space="preserve">                                               </w:t>
      </w:r>
    </w:p>
    <w:p w14:paraId="03F481D5" w14:textId="77777777" w:rsidR="0018124B" w:rsidRPr="00E81026" w:rsidRDefault="0018124B" w:rsidP="0018124B">
      <w:pPr>
        <w:spacing w:line="360" w:lineRule="auto"/>
        <w:jc w:val="center"/>
        <w:rPr>
          <w:b/>
          <w:szCs w:val="24"/>
        </w:rPr>
      </w:pPr>
      <w:r w:rsidRPr="00E81026">
        <w:rPr>
          <w:b/>
          <w:szCs w:val="24"/>
        </w:rPr>
        <w:t>TIEKĖJO (ŪKIO SUBJEKTŲ GRUPĖS AR/IR SUBTIEKĖJO(-Ų)) DEGALINIŲ SĄRAŠAS LIETUVOJE, KURIOSE PERKANČIOJI ORGANIZACIJA GALĖS PILTIS DEGALUS, NAUDODAMASI TIEKĖJO IŠDUOTOMIS KORTELĖMIS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012"/>
        <w:gridCol w:w="2939"/>
        <w:gridCol w:w="3260"/>
      </w:tblGrid>
      <w:tr w:rsidR="0018124B" w:rsidRPr="00E81026" w14:paraId="284EAB3D" w14:textId="77777777" w:rsidTr="00EE7812">
        <w:tc>
          <w:tcPr>
            <w:tcW w:w="712" w:type="dxa"/>
            <w:shd w:val="clear" w:color="auto" w:fill="auto"/>
          </w:tcPr>
          <w:p w14:paraId="56258AD7" w14:textId="77777777" w:rsidR="0018124B" w:rsidRPr="00E81026" w:rsidRDefault="0018124B" w:rsidP="00EE7812">
            <w:pPr>
              <w:spacing w:line="360" w:lineRule="auto"/>
              <w:jc w:val="center"/>
              <w:rPr>
                <w:szCs w:val="24"/>
              </w:rPr>
            </w:pPr>
            <w:r w:rsidRPr="00E81026">
              <w:rPr>
                <w:szCs w:val="24"/>
              </w:rPr>
              <w:t>Eil. Nr.</w:t>
            </w:r>
          </w:p>
        </w:tc>
        <w:tc>
          <w:tcPr>
            <w:tcW w:w="3012" w:type="dxa"/>
            <w:shd w:val="clear" w:color="auto" w:fill="auto"/>
          </w:tcPr>
          <w:p w14:paraId="794C385D" w14:textId="77777777" w:rsidR="0018124B" w:rsidRPr="00E81026" w:rsidRDefault="0018124B" w:rsidP="00EE7812">
            <w:pPr>
              <w:spacing w:line="360" w:lineRule="auto"/>
              <w:jc w:val="center"/>
              <w:rPr>
                <w:szCs w:val="24"/>
              </w:rPr>
            </w:pPr>
            <w:r w:rsidRPr="00E81026">
              <w:rPr>
                <w:szCs w:val="24"/>
              </w:rPr>
              <w:t>Miestas</w:t>
            </w:r>
          </w:p>
        </w:tc>
        <w:tc>
          <w:tcPr>
            <w:tcW w:w="2939" w:type="dxa"/>
            <w:shd w:val="clear" w:color="auto" w:fill="auto"/>
          </w:tcPr>
          <w:p w14:paraId="7C1B34F4" w14:textId="77777777" w:rsidR="0018124B" w:rsidRPr="00E81026" w:rsidRDefault="0018124B" w:rsidP="00EE7812">
            <w:pPr>
              <w:spacing w:line="360" w:lineRule="auto"/>
              <w:jc w:val="center"/>
              <w:rPr>
                <w:szCs w:val="24"/>
              </w:rPr>
            </w:pPr>
            <w:r w:rsidRPr="00E81026">
              <w:rPr>
                <w:szCs w:val="24"/>
              </w:rPr>
              <w:t>adresas</w:t>
            </w:r>
          </w:p>
        </w:tc>
        <w:tc>
          <w:tcPr>
            <w:tcW w:w="3260" w:type="dxa"/>
            <w:shd w:val="clear" w:color="auto" w:fill="auto"/>
          </w:tcPr>
          <w:p w14:paraId="3ACB6782" w14:textId="77777777" w:rsidR="0018124B" w:rsidRPr="00E81026" w:rsidRDefault="0018124B" w:rsidP="00EE7812">
            <w:pPr>
              <w:spacing w:line="360" w:lineRule="auto"/>
              <w:jc w:val="center"/>
              <w:rPr>
                <w:szCs w:val="24"/>
              </w:rPr>
            </w:pPr>
            <w:r w:rsidRPr="00E81026">
              <w:rPr>
                <w:szCs w:val="24"/>
              </w:rPr>
              <w:t>Degalinės pavadinimas</w:t>
            </w:r>
          </w:p>
        </w:tc>
      </w:tr>
      <w:tr w:rsidR="0018124B" w:rsidRPr="00E81026" w14:paraId="2F180E25" w14:textId="77777777" w:rsidTr="00EE7812">
        <w:tc>
          <w:tcPr>
            <w:tcW w:w="712" w:type="dxa"/>
            <w:shd w:val="clear" w:color="auto" w:fill="auto"/>
          </w:tcPr>
          <w:p w14:paraId="6D0C01CC" w14:textId="77777777" w:rsidR="0018124B" w:rsidRPr="00E81026" w:rsidRDefault="0018124B" w:rsidP="0018124B">
            <w:pPr>
              <w:numPr>
                <w:ilvl w:val="0"/>
                <w:numId w:val="1"/>
              </w:numPr>
              <w:spacing w:after="160" w:line="360" w:lineRule="auto"/>
              <w:rPr>
                <w:szCs w:val="24"/>
              </w:rPr>
            </w:pPr>
          </w:p>
        </w:tc>
        <w:tc>
          <w:tcPr>
            <w:tcW w:w="3012" w:type="dxa"/>
            <w:shd w:val="clear" w:color="auto" w:fill="auto"/>
          </w:tcPr>
          <w:p w14:paraId="00ADE99F" w14:textId="77777777" w:rsidR="0018124B" w:rsidRPr="00E81026" w:rsidRDefault="0018124B" w:rsidP="00EE7812">
            <w:pPr>
              <w:spacing w:line="360" w:lineRule="auto"/>
              <w:rPr>
                <w:szCs w:val="24"/>
              </w:rPr>
            </w:pPr>
          </w:p>
        </w:tc>
        <w:tc>
          <w:tcPr>
            <w:tcW w:w="2939" w:type="dxa"/>
            <w:shd w:val="clear" w:color="auto" w:fill="auto"/>
          </w:tcPr>
          <w:p w14:paraId="2AE82BA4" w14:textId="77777777" w:rsidR="0018124B" w:rsidRPr="00E81026" w:rsidRDefault="0018124B" w:rsidP="00EE7812">
            <w:pPr>
              <w:spacing w:line="360" w:lineRule="auto"/>
              <w:rPr>
                <w:szCs w:val="24"/>
              </w:rPr>
            </w:pPr>
          </w:p>
        </w:tc>
        <w:tc>
          <w:tcPr>
            <w:tcW w:w="3260" w:type="dxa"/>
            <w:shd w:val="clear" w:color="auto" w:fill="auto"/>
          </w:tcPr>
          <w:p w14:paraId="27DEF2DF" w14:textId="77777777" w:rsidR="0018124B" w:rsidRPr="00E81026" w:rsidRDefault="0018124B" w:rsidP="00EE7812">
            <w:pPr>
              <w:spacing w:line="360" w:lineRule="auto"/>
              <w:rPr>
                <w:szCs w:val="24"/>
              </w:rPr>
            </w:pPr>
          </w:p>
        </w:tc>
      </w:tr>
      <w:tr w:rsidR="0018124B" w:rsidRPr="00E81026" w14:paraId="30198D1C" w14:textId="77777777" w:rsidTr="00EE7812">
        <w:tc>
          <w:tcPr>
            <w:tcW w:w="712" w:type="dxa"/>
            <w:shd w:val="clear" w:color="auto" w:fill="auto"/>
          </w:tcPr>
          <w:p w14:paraId="48E37B51" w14:textId="77777777" w:rsidR="0018124B" w:rsidRPr="00E81026" w:rsidRDefault="0018124B" w:rsidP="0018124B">
            <w:pPr>
              <w:numPr>
                <w:ilvl w:val="0"/>
                <w:numId w:val="1"/>
              </w:numPr>
              <w:spacing w:after="160" w:line="360" w:lineRule="auto"/>
              <w:rPr>
                <w:szCs w:val="24"/>
              </w:rPr>
            </w:pPr>
          </w:p>
        </w:tc>
        <w:tc>
          <w:tcPr>
            <w:tcW w:w="3012" w:type="dxa"/>
            <w:shd w:val="clear" w:color="auto" w:fill="auto"/>
          </w:tcPr>
          <w:p w14:paraId="59FEBAC3" w14:textId="77777777" w:rsidR="0018124B" w:rsidRPr="00E81026" w:rsidRDefault="0018124B" w:rsidP="00EE7812">
            <w:pPr>
              <w:spacing w:line="360" w:lineRule="auto"/>
              <w:rPr>
                <w:szCs w:val="24"/>
              </w:rPr>
            </w:pPr>
          </w:p>
        </w:tc>
        <w:tc>
          <w:tcPr>
            <w:tcW w:w="2939" w:type="dxa"/>
            <w:shd w:val="clear" w:color="auto" w:fill="auto"/>
          </w:tcPr>
          <w:p w14:paraId="1C4FB564" w14:textId="77777777" w:rsidR="0018124B" w:rsidRPr="00E81026" w:rsidRDefault="0018124B" w:rsidP="00EE7812">
            <w:pPr>
              <w:spacing w:line="360" w:lineRule="auto"/>
              <w:rPr>
                <w:szCs w:val="24"/>
              </w:rPr>
            </w:pPr>
          </w:p>
        </w:tc>
        <w:tc>
          <w:tcPr>
            <w:tcW w:w="3260" w:type="dxa"/>
            <w:shd w:val="clear" w:color="auto" w:fill="auto"/>
          </w:tcPr>
          <w:p w14:paraId="38EE7C0B" w14:textId="77777777" w:rsidR="0018124B" w:rsidRPr="00E81026" w:rsidRDefault="0018124B" w:rsidP="00EE7812">
            <w:pPr>
              <w:spacing w:line="360" w:lineRule="auto"/>
              <w:rPr>
                <w:szCs w:val="24"/>
              </w:rPr>
            </w:pPr>
          </w:p>
        </w:tc>
      </w:tr>
      <w:tr w:rsidR="0018124B" w:rsidRPr="00E81026" w14:paraId="57F20388" w14:textId="77777777" w:rsidTr="00EE7812">
        <w:tc>
          <w:tcPr>
            <w:tcW w:w="712" w:type="dxa"/>
            <w:shd w:val="clear" w:color="auto" w:fill="auto"/>
          </w:tcPr>
          <w:p w14:paraId="5F474037" w14:textId="77777777" w:rsidR="0018124B" w:rsidRPr="00E81026" w:rsidRDefault="0018124B" w:rsidP="0018124B">
            <w:pPr>
              <w:numPr>
                <w:ilvl w:val="0"/>
                <w:numId w:val="1"/>
              </w:numPr>
              <w:spacing w:after="160" w:line="360" w:lineRule="auto"/>
              <w:rPr>
                <w:szCs w:val="24"/>
              </w:rPr>
            </w:pPr>
          </w:p>
        </w:tc>
        <w:tc>
          <w:tcPr>
            <w:tcW w:w="3012" w:type="dxa"/>
            <w:shd w:val="clear" w:color="auto" w:fill="auto"/>
          </w:tcPr>
          <w:p w14:paraId="4B775E0A" w14:textId="77777777" w:rsidR="0018124B" w:rsidRPr="00E81026" w:rsidRDefault="0018124B" w:rsidP="00EE7812">
            <w:pPr>
              <w:spacing w:line="360" w:lineRule="auto"/>
              <w:rPr>
                <w:szCs w:val="24"/>
              </w:rPr>
            </w:pPr>
          </w:p>
        </w:tc>
        <w:tc>
          <w:tcPr>
            <w:tcW w:w="2939" w:type="dxa"/>
            <w:shd w:val="clear" w:color="auto" w:fill="auto"/>
          </w:tcPr>
          <w:p w14:paraId="3D5F7A3A" w14:textId="77777777" w:rsidR="0018124B" w:rsidRPr="00E81026" w:rsidRDefault="0018124B" w:rsidP="00EE7812">
            <w:pPr>
              <w:spacing w:line="360" w:lineRule="auto"/>
              <w:rPr>
                <w:szCs w:val="24"/>
              </w:rPr>
            </w:pPr>
          </w:p>
        </w:tc>
        <w:tc>
          <w:tcPr>
            <w:tcW w:w="3260" w:type="dxa"/>
            <w:shd w:val="clear" w:color="auto" w:fill="auto"/>
          </w:tcPr>
          <w:p w14:paraId="12E0DFAF" w14:textId="77777777" w:rsidR="0018124B" w:rsidRPr="00E81026" w:rsidRDefault="0018124B" w:rsidP="00EE7812">
            <w:pPr>
              <w:spacing w:line="360" w:lineRule="auto"/>
              <w:rPr>
                <w:szCs w:val="24"/>
              </w:rPr>
            </w:pPr>
          </w:p>
        </w:tc>
      </w:tr>
      <w:tr w:rsidR="0018124B" w:rsidRPr="00E81026" w14:paraId="60991A9A" w14:textId="77777777" w:rsidTr="00EE7812">
        <w:tc>
          <w:tcPr>
            <w:tcW w:w="712" w:type="dxa"/>
            <w:shd w:val="clear" w:color="auto" w:fill="auto"/>
          </w:tcPr>
          <w:p w14:paraId="7A7E52C4" w14:textId="77777777" w:rsidR="0018124B" w:rsidRPr="00E81026" w:rsidRDefault="0018124B" w:rsidP="0018124B">
            <w:pPr>
              <w:numPr>
                <w:ilvl w:val="0"/>
                <w:numId w:val="1"/>
              </w:numPr>
              <w:spacing w:after="160" w:line="360" w:lineRule="auto"/>
              <w:rPr>
                <w:szCs w:val="24"/>
              </w:rPr>
            </w:pPr>
          </w:p>
        </w:tc>
        <w:tc>
          <w:tcPr>
            <w:tcW w:w="3012" w:type="dxa"/>
            <w:shd w:val="clear" w:color="auto" w:fill="auto"/>
          </w:tcPr>
          <w:p w14:paraId="5B3A2BA7" w14:textId="77777777" w:rsidR="0018124B" w:rsidRPr="00E81026" w:rsidRDefault="0018124B" w:rsidP="00EE7812">
            <w:pPr>
              <w:spacing w:line="360" w:lineRule="auto"/>
              <w:rPr>
                <w:szCs w:val="24"/>
              </w:rPr>
            </w:pPr>
          </w:p>
        </w:tc>
        <w:tc>
          <w:tcPr>
            <w:tcW w:w="2939" w:type="dxa"/>
            <w:shd w:val="clear" w:color="auto" w:fill="auto"/>
          </w:tcPr>
          <w:p w14:paraId="61A988A6" w14:textId="77777777" w:rsidR="0018124B" w:rsidRPr="00E81026" w:rsidRDefault="0018124B" w:rsidP="00EE7812">
            <w:pPr>
              <w:spacing w:line="360" w:lineRule="auto"/>
              <w:rPr>
                <w:szCs w:val="24"/>
              </w:rPr>
            </w:pPr>
          </w:p>
        </w:tc>
        <w:tc>
          <w:tcPr>
            <w:tcW w:w="3260" w:type="dxa"/>
            <w:shd w:val="clear" w:color="auto" w:fill="auto"/>
          </w:tcPr>
          <w:p w14:paraId="3FEC201F" w14:textId="77777777" w:rsidR="0018124B" w:rsidRPr="00E81026" w:rsidRDefault="0018124B" w:rsidP="00EE7812">
            <w:pPr>
              <w:spacing w:line="360" w:lineRule="auto"/>
              <w:rPr>
                <w:szCs w:val="24"/>
              </w:rPr>
            </w:pPr>
          </w:p>
        </w:tc>
      </w:tr>
      <w:tr w:rsidR="0018124B" w:rsidRPr="00E81026" w14:paraId="71EF9394" w14:textId="77777777" w:rsidTr="00EE7812">
        <w:tc>
          <w:tcPr>
            <w:tcW w:w="712" w:type="dxa"/>
            <w:shd w:val="clear" w:color="auto" w:fill="auto"/>
          </w:tcPr>
          <w:p w14:paraId="6C9E81E0" w14:textId="77777777" w:rsidR="0018124B" w:rsidRPr="00E81026" w:rsidRDefault="0018124B" w:rsidP="0018124B">
            <w:pPr>
              <w:numPr>
                <w:ilvl w:val="0"/>
                <w:numId w:val="1"/>
              </w:numPr>
              <w:spacing w:after="160" w:line="360" w:lineRule="auto"/>
              <w:rPr>
                <w:szCs w:val="24"/>
              </w:rPr>
            </w:pPr>
          </w:p>
        </w:tc>
        <w:tc>
          <w:tcPr>
            <w:tcW w:w="3012" w:type="dxa"/>
            <w:shd w:val="clear" w:color="auto" w:fill="auto"/>
          </w:tcPr>
          <w:p w14:paraId="17E958DA" w14:textId="77777777" w:rsidR="0018124B" w:rsidRPr="00E81026" w:rsidRDefault="0018124B" w:rsidP="00EE7812">
            <w:pPr>
              <w:spacing w:line="360" w:lineRule="auto"/>
              <w:rPr>
                <w:szCs w:val="24"/>
              </w:rPr>
            </w:pPr>
          </w:p>
        </w:tc>
        <w:tc>
          <w:tcPr>
            <w:tcW w:w="2939" w:type="dxa"/>
            <w:shd w:val="clear" w:color="auto" w:fill="auto"/>
          </w:tcPr>
          <w:p w14:paraId="6E025B04" w14:textId="77777777" w:rsidR="0018124B" w:rsidRPr="00E81026" w:rsidRDefault="0018124B" w:rsidP="00EE7812">
            <w:pPr>
              <w:spacing w:line="360" w:lineRule="auto"/>
              <w:rPr>
                <w:szCs w:val="24"/>
              </w:rPr>
            </w:pPr>
          </w:p>
        </w:tc>
        <w:tc>
          <w:tcPr>
            <w:tcW w:w="3260" w:type="dxa"/>
            <w:shd w:val="clear" w:color="auto" w:fill="auto"/>
          </w:tcPr>
          <w:p w14:paraId="6B6A8EA7" w14:textId="77777777" w:rsidR="0018124B" w:rsidRPr="00E81026" w:rsidRDefault="0018124B" w:rsidP="00EE7812">
            <w:pPr>
              <w:spacing w:line="360" w:lineRule="auto"/>
              <w:rPr>
                <w:szCs w:val="24"/>
              </w:rPr>
            </w:pPr>
          </w:p>
        </w:tc>
      </w:tr>
    </w:tbl>
    <w:p w14:paraId="0EFD78CC" w14:textId="77777777" w:rsidR="0018124B" w:rsidRPr="00E81026" w:rsidRDefault="0018124B" w:rsidP="0018124B">
      <w:pPr>
        <w:spacing w:line="360" w:lineRule="auto"/>
        <w:rPr>
          <w:szCs w:val="24"/>
        </w:rPr>
      </w:pPr>
    </w:p>
    <w:p w14:paraId="2D0FF078" w14:textId="77777777" w:rsidR="0018124B" w:rsidRPr="00E81026" w:rsidRDefault="0018124B" w:rsidP="0018124B">
      <w:pPr>
        <w:spacing w:line="360" w:lineRule="auto"/>
        <w:jc w:val="center"/>
        <w:rPr>
          <w:szCs w:val="24"/>
          <w:u w:val="single"/>
        </w:rPr>
      </w:pPr>
      <w:r w:rsidRPr="00E81026">
        <w:rPr>
          <w:szCs w:val="24"/>
        </w:rPr>
        <w:t xml:space="preserve"> </w:t>
      </w:r>
      <w:r w:rsidRPr="00E81026">
        <w:rPr>
          <w:szCs w:val="24"/>
          <w:u w:val="single"/>
        </w:rPr>
        <w:tab/>
      </w:r>
      <w:r w:rsidRPr="00E81026">
        <w:rPr>
          <w:szCs w:val="24"/>
          <w:u w:val="single"/>
        </w:rPr>
        <w:tab/>
      </w:r>
    </w:p>
    <w:p w14:paraId="43FB7B95" w14:textId="29AEAFFA" w:rsidR="0018124B" w:rsidRPr="0018124B" w:rsidRDefault="0018124B" w:rsidP="0018124B">
      <w:pPr>
        <w:rPr>
          <w:b/>
          <w:szCs w:val="24"/>
        </w:rPr>
      </w:pPr>
    </w:p>
    <w:sectPr w:rsidR="0018124B" w:rsidRPr="0018124B"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F0CA" w14:textId="77777777" w:rsidR="002D04B5" w:rsidRDefault="002D04B5">
      <w:pPr>
        <w:rPr>
          <w:kern w:val="2"/>
          <w:sz w:val="22"/>
          <w:szCs w:val="22"/>
          <w:lang w:val="en-US"/>
        </w:rPr>
      </w:pPr>
      <w:r>
        <w:rPr>
          <w:kern w:val="2"/>
          <w:sz w:val="22"/>
          <w:szCs w:val="22"/>
          <w:lang w:val="en-US"/>
        </w:rPr>
        <w:separator/>
      </w:r>
    </w:p>
  </w:endnote>
  <w:endnote w:type="continuationSeparator" w:id="0">
    <w:p w14:paraId="22D52B51" w14:textId="77777777" w:rsidR="002D04B5" w:rsidRDefault="002D04B5">
      <w:pPr>
        <w:rPr>
          <w:kern w:val="2"/>
          <w:sz w:val="22"/>
          <w:szCs w:val="22"/>
          <w:lang w:val="en-US"/>
        </w:rPr>
      </w:pPr>
      <w:r>
        <w:rPr>
          <w:kern w:val="2"/>
          <w:sz w:val="22"/>
          <w:szCs w:val="22"/>
          <w:lang w:val="en-US"/>
        </w:rPr>
        <w:continuationSeparator/>
      </w:r>
    </w:p>
  </w:endnote>
  <w:endnote w:type="continuationNotice" w:id="1">
    <w:p w14:paraId="7330A3EA" w14:textId="77777777" w:rsidR="002D04B5" w:rsidRDefault="002D04B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4891" w14:textId="77777777" w:rsidR="002D04B5" w:rsidRDefault="002D04B5">
      <w:pPr>
        <w:rPr>
          <w:kern w:val="2"/>
          <w:sz w:val="22"/>
          <w:szCs w:val="22"/>
          <w:lang w:val="en-US"/>
        </w:rPr>
      </w:pPr>
      <w:r>
        <w:rPr>
          <w:kern w:val="2"/>
          <w:sz w:val="22"/>
          <w:szCs w:val="22"/>
          <w:lang w:val="en-US"/>
        </w:rPr>
        <w:separator/>
      </w:r>
    </w:p>
  </w:footnote>
  <w:footnote w:type="continuationSeparator" w:id="0">
    <w:p w14:paraId="136599FD" w14:textId="77777777" w:rsidR="002D04B5" w:rsidRDefault="002D04B5">
      <w:pPr>
        <w:rPr>
          <w:kern w:val="2"/>
          <w:sz w:val="22"/>
          <w:szCs w:val="22"/>
          <w:lang w:val="en-US"/>
        </w:rPr>
      </w:pPr>
      <w:r>
        <w:rPr>
          <w:kern w:val="2"/>
          <w:sz w:val="22"/>
          <w:szCs w:val="22"/>
          <w:lang w:val="en-US"/>
        </w:rPr>
        <w:continuationSeparator/>
      </w:r>
    </w:p>
  </w:footnote>
  <w:footnote w:type="continuationNotice" w:id="1">
    <w:p w14:paraId="655E3C6D" w14:textId="77777777" w:rsidR="002D04B5" w:rsidRDefault="002D04B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E39F1"/>
    <w:multiLevelType w:val="hybridMultilevel"/>
    <w:tmpl w:val="1B0AD4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69887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FB6"/>
    <w:rsid w:val="0018124B"/>
    <w:rsid w:val="002C0764"/>
    <w:rsid w:val="002D04B5"/>
    <w:rsid w:val="003106A9"/>
    <w:rsid w:val="00436E2C"/>
    <w:rsid w:val="004A6B7C"/>
    <w:rsid w:val="0059272C"/>
    <w:rsid w:val="005A5832"/>
    <w:rsid w:val="005B7A1D"/>
    <w:rsid w:val="005F5B23"/>
    <w:rsid w:val="006C5A28"/>
    <w:rsid w:val="00754905"/>
    <w:rsid w:val="00813B75"/>
    <w:rsid w:val="00826661"/>
    <w:rsid w:val="00842B60"/>
    <w:rsid w:val="008B372C"/>
    <w:rsid w:val="00A10867"/>
    <w:rsid w:val="00A35759"/>
    <w:rsid w:val="00AE1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9328</Words>
  <Characters>5317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Dambrauskienė</cp:lastModifiedBy>
  <cp:revision>11</cp:revision>
  <dcterms:created xsi:type="dcterms:W3CDTF">2024-02-09T05:02:00Z</dcterms:created>
  <dcterms:modified xsi:type="dcterms:W3CDTF">2025-07-10T06:05:00Z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