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1276" w:left="4253"/>
        <w:rPr>
          <w:bCs/>
          <w:caps/>
        </w:rPr>
      </w:pPr>
      <w:r>
        <w:rPr>
          <w:bCs/>
          <w:caps/>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b/>
          <w:bCs/>
          <w:caps/>
          <w:szCs w:val="24"/>
        </w:rPr>
      </w:pPr>
      <w:r>
        <w:rPr>
          <w:b/>
          <w:bCs/>
          <w:caps/>
          <w:szCs w:val="24"/>
        </w:rPr>
        <w:t>VERTIMO RAŠTU 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p>
      <w:pPr>
        <w:pStyle w:val="Normal"/>
        <w:tabs>
          <w:tab w:val="clear" w:pos="1296"/>
          <w:tab w:val="left" w:pos="5400" w:leader="none"/>
        </w:tabs>
        <w:textAlignment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3"/>
        <w:gridCol w:w="2183"/>
        <w:gridCol w:w="2360"/>
        <w:gridCol w:w="2571"/>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kern w:val="2"/>
                <w:szCs w:val="24"/>
              </w:rPr>
            </w:pPr>
            <w:r>
              <w:rPr>
                <w:b/>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kern w:val="2"/>
                <w:szCs w:val="24"/>
              </w:rPr>
            </w:pPr>
            <w:r>
              <w:rPr>
                <w:b/>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r>
          </w:p>
          <w:p>
            <w:pPr>
              <w:pStyle w:val="Normal"/>
              <w:widowControl w:val="false"/>
              <w:jc w:val="center"/>
              <w:rPr>
                <w:b/>
                <w:kern w:val="2"/>
                <w:szCs w:val="24"/>
              </w:rPr>
            </w:pPr>
            <w:r>
              <w:rPr>
                <w:b/>
                <w:kern w:val="2"/>
                <w:szCs w:val="24"/>
              </w:rPr>
            </w:r>
          </w:p>
          <w:p>
            <w:pPr>
              <w:pStyle w:val="Normal"/>
              <w:widowControl w:val="false"/>
              <w:jc w:val="center"/>
              <w:rPr>
                <w:b/>
                <w:kern w:val="2"/>
                <w:szCs w:val="24"/>
              </w:rPr>
            </w:pPr>
            <w:r>
              <w:rPr>
                <w:b/>
                <w:kern w:val="2"/>
                <w:szCs w:val="24"/>
              </w:rPr>
            </w:r>
          </w:p>
          <w:p>
            <w:pPr>
              <w:pStyle w:val="Normal"/>
              <w:widowControl w:val="false"/>
              <w:rPr>
                <w:b/>
                <w:kern w:val="2"/>
                <w:szCs w:val="24"/>
              </w:rPr>
            </w:pPr>
            <w:r>
              <w:rPr>
                <w:b/>
                <w:kern w:val="2"/>
                <w:szCs w:val="24"/>
              </w:rPr>
            </w:r>
          </w:p>
          <w:p>
            <w:pPr>
              <w:pStyle w:val="Normal"/>
              <w:widowControl w:val="false"/>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t>Lietuvos kriminalinės policijos biuras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BodyText1"/>
              <w:widowControl w:val="false"/>
              <w:tabs>
                <w:tab w:val="clear" w:pos="1296"/>
                <w:tab w:val="left" w:pos="0" w:leader="none"/>
                <w:tab w:val="left" w:pos="567" w:leader="none"/>
                <w:tab w:val="left" w:pos="1201" w:leader="none"/>
              </w:tabs>
              <w:ind w:hanging="0"/>
              <w:jc w:val="center"/>
              <w:rPr>
                <w:rFonts w:ascii="Times New Roman" w:hAnsi="Times New Roman"/>
                <w:kern w:val="2"/>
                <w:sz w:val="24"/>
                <w:szCs w:val="24"/>
                <w:lang w:val="lt-LT"/>
              </w:rPr>
            </w:pPr>
            <w:r>
              <w:rPr>
                <w:rFonts w:ascii="Times New Roman" w:hAnsi="Times New Roman"/>
                <w:kern w:val="2"/>
                <w:sz w:val="24"/>
                <w:szCs w:val="24"/>
                <w:lang w:val="lt-LT"/>
              </w:rPr>
              <w:t>188785270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BodyText1"/>
              <w:widowControl w:val="false"/>
              <w:tabs>
                <w:tab w:val="clear" w:pos="1296"/>
                <w:tab w:val="left" w:pos="0" w:leader="none"/>
                <w:tab w:val="left" w:pos="567" w:leader="none"/>
                <w:tab w:val="left" w:pos="1201" w:leader="none"/>
              </w:tabs>
              <w:ind w:hanging="0"/>
              <w:jc w:val="center"/>
              <w:rPr>
                <w:rFonts w:ascii="Times New Roman" w:hAnsi="Times New Roman"/>
                <w:kern w:val="2"/>
                <w:sz w:val="24"/>
                <w:szCs w:val="24"/>
              </w:rPr>
            </w:pPr>
            <w:r>
              <w:rPr>
                <w:rFonts w:ascii="Times New Roman" w:hAnsi="Times New Roman"/>
                <w:color w:val="000000"/>
                <w:sz w:val="24"/>
                <w:szCs w:val="24"/>
                <w:lang w:val="lt-LT"/>
              </w:rPr>
              <w:t>Saltoniškių g. 19, LT-08106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themeColor="text1" w:val="000000"/>
                <w:kern w:val="2"/>
                <w:szCs w:val="24"/>
              </w:rPr>
            </w:pPr>
            <w:r>
              <w:rPr>
                <w:color w:themeColor="text1" w:val="000000"/>
                <w:kern w:val="2"/>
                <w:szCs w:val="24"/>
              </w:rPr>
              <w:t>LT100003515514</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t xml:space="preserve">Nr. </w:t>
            </w:r>
            <w:r>
              <w:rPr>
                <w:color w:themeColor="text1" w:val="000000"/>
                <w:szCs w:val="24"/>
                <w:lang w:eastAsia="lt-LT"/>
              </w:rPr>
              <w:t>LT79 4040 0636 1000 1160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t>Lietuvos Respublikos finansų ministerija</w:t>
              <w:br/>
              <w:t>Finansų įstaigos kodas 40400</w:t>
            </w:r>
          </w:p>
          <w:p>
            <w:pPr>
              <w:pStyle w:val="Normal"/>
              <w:widowControl w:val="false"/>
              <w:rPr>
                <w:b w:val="false"/>
                <w:bCs w:val="false"/>
                <w:szCs w:val="24"/>
              </w:rPr>
            </w:pPr>
            <w:r>
              <w:rPr>
                <w:b w:val="false"/>
                <w:bCs w:val="false"/>
                <w:szCs w:val="24"/>
              </w:rPr>
              <w:t>SWIFT kodas: MFRLLT22XXX</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BodyText1"/>
              <w:widowControl w:val="false"/>
              <w:tabs>
                <w:tab w:val="clear" w:pos="1296"/>
                <w:tab w:val="left" w:pos="0" w:leader="none"/>
                <w:tab w:val="left" w:pos="567" w:leader="none"/>
                <w:tab w:val="left" w:pos="1201" w:leader="none"/>
              </w:tabs>
              <w:ind w:hanging="0"/>
              <w:jc w:val="center"/>
              <w:rPr>
                <w:rFonts w:ascii="Times New Roman" w:hAnsi="Times New Roman"/>
                <w:kern w:val="2"/>
                <w:sz w:val="24"/>
                <w:szCs w:val="24"/>
                <w:lang w:val="lt-LT"/>
              </w:rPr>
            </w:pPr>
            <w:r>
              <w:rPr>
                <w:rFonts w:ascii="Times New Roman" w:hAnsi="Times New Roman"/>
                <w:kern w:val="2"/>
                <w:sz w:val="24"/>
                <w:szCs w:val="24"/>
                <w:lang w:val="lt-LT"/>
              </w:rPr>
              <w:t>+370 700 60000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720" w:leader="none"/>
                <w:tab w:val="left" w:pos="993" w:leader="none"/>
                <w:tab w:val="left" w:pos="4580" w:leader="none"/>
                <w:tab w:val="left" w:pos="5496" w:leader="none"/>
                <w:tab w:val="left" w:pos="6412" w:leader="none"/>
                <w:tab w:val="left" w:pos="7328" w:leader="none"/>
                <w:tab w:val="left" w:pos="8244" w:leader="none"/>
                <w:tab w:val="left" w:pos="8505"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0" w:right="49"/>
              <w:contextualSpacing/>
              <w:jc w:val="center"/>
              <w:rPr>
                <w:color w:themeColor="text1" w:val="000000"/>
                <w:szCs w:val="24"/>
                <w:lang w:eastAsia="lt-LT"/>
              </w:rPr>
            </w:pPr>
            <w:hyperlink r:id="rId2">
              <w:r>
                <w:rPr>
                  <w:rStyle w:val="Style9"/>
                  <w:color w:themeColor="text1" w:val="000000"/>
                  <w:szCs w:val="24"/>
                  <w:u w:val="single"/>
                  <w:lang w:eastAsia="lt-LT"/>
                </w:rPr>
                <w:t>lkpb.rastine@policija.lt</w:t>
              </w:r>
            </w:hyperlink>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p>
            <w:pPr>
              <w:pStyle w:val="Normal"/>
              <w:widowControl w:val="false"/>
              <w:rPr>
                <w:b/>
                <w:kern w:val="2"/>
                <w:szCs w:val="24"/>
              </w:rPr>
            </w:pPr>
            <w:r>
              <w:rPr>
                <w:b/>
                <w:kern w:val="2"/>
                <w:szCs w:val="24"/>
              </w:rPr>
            </w:r>
          </w:p>
          <w:p>
            <w:pPr>
              <w:pStyle w:val="Normal"/>
              <w:widowControl w:val="false"/>
              <w:rPr>
                <w:b/>
                <w:kern w:val="2"/>
                <w:szCs w:val="24"/>
              </w:rPr>
            </w:pPr>
            <w:r>
              <w:rPr>
                <w:b/>
                <w:kern w:val="2"/>
                <w:szCs w:val="24"/>
              </w:rPr>
            </w:r>
          </w:p>
          <w:p>
            <w:pPr>
              <w:pStyle w:val="Normal"/>
              <w:widowControl w:val="false"/>
              <w:rPr>
                <w:b/>
                <w:kern w:val="2"/>
                <w:szCs w:val="24"/>
              </w:rPr>
            </w:pPr>
            <w:r>
              <w:rPr>
                <w:b/>
                <w:kern w:val="2"/>
                <w:szCs w:val="24"/>
              </w:rPr>
              <w:t>1.2. Tiekėjas</w:t>
            </w:r>
          </w:p>
          <w:p>
            <w:pPr>
              <w:pStyle w:val="Normal"/>
              <w:widowControl w:val="false"/>
              <w:rPr>
                <w:color w:val="4472C4"/>
                <w:kern w:val="2"/>
                <w:szCs w:val="24"/>
              </w:rPr>
            </w:pPr>
            <w:r>
              <w:rPr>
                <w:color w:val="4472C4"/>
                <w:kern w:val="2"/>
                <w:szCs w:val="24"/>
              </w:rPr>
              <w:t>(jei Tiekėjas yra fizinis asmuo, skiltys atitinkamai pakoreguojamos.</w:t>
            </w:r>
          </w:p>
          <w:p>
            <w:pPr>
              <w:pStyle w:val="Normal"/>
              <w:widowControl w:val="false"/>
              <w:rPr>
                <w:color w:val="4472C4"/>
                <w:kern w:val="2"/>
                <w:szCs w:val="24"/>
              </w:rPr>
            </w:pPr>
            <w:r>
              <w:rPr>
                <w:color w:val="4472C4"/>
                <w:kern w:val="2"/>
                <w:szCs w:val="24"/>
              </w:rPr>
              <w:t>Jei Tiekėjas yra tiekėjų grupė, skiltys pildomos įterpiant kiekvieno grupės nario informaciją)</w:t>
            </w:r>
          </w:p>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5"/>
        <w:gridCol w:w="40"/>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kern w:val="2"/>
                <w:szCs w:val="24"/>
              </w:rPr>
              <w:t xml:space="preserve">Tiekėjas įsipareigoja Sutartyje numatytomis sąlygomis suteikti Pirkėjui vertimo raštu </w:t>
            </w:r>
            <w:r>
              <w:rPr>
                <w:bCs/>
                <w:color w:val="000000"/>
                <w:kern w:val="2"/>
                <w:szCs w:val="24"/>
                <w:lang w:eastAsia="lt-LT"/>
              </w:rPr>
              <w:t>paslaugas (toliau – Paslaugos).</w:t>
            </w:r>
          </w:p>
          <w:p>
            <w:pPr>
              <w:pStyle w:val="Normal"/>
              <w:widowControl w:val="false"/>
              <w:rPr>
                <w:color w:val="000000"/>
                <w:kern w:val="2"/>
                <w:szCs w:val="24"/>
              </w:rPr>
            </w:pPr>
            <w:r>
              <w:rPr>
                <w:color w:val="000000"/>
                <w:kern w:val="2"/>
                <w:szCs w:val="24"/>
              </w:rPr>
              <w:t>Išsamus Paslaugų aprašymas ir kiti reikalavimai teikiamoms Paslaugoms nustatyti Sutarties priede Nr. 1 „Techninė specifikacija“ (toliau – Techninė specifikacija) bei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Vertimo raštu paslaugos, CVP IS ID _______</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t>Tiekėjas Paslaugas įsipareigoja teikti pagal Pirkėjo faktinį poreikį, nurodomą konkrečiame užsakyme.</w:t>
            </w:r>
          </w:p>
          <w:p>
            <w:pPr>
              <w:pStyle w:val="Normal"/>
              <w:widowControl w:val="false"/>
              <w:rPr>
                <w:szCs w:val="24"/>
              </w:rPr>
            </w:pPr>
            <w:r>
              <w:rPr>
                <w:szCs w:val="24"/>
              </w:rPr>
              <w:t xml:space="preserve">Paslaugų teikimo terminai ir būdai nurodyti </w:t>
            </w:r>
            <w:r>
              <w:rPr>
                <w:color w:val="000000"/>
                <w:kern w:val="2"/>
                <w:szCs w:val="24"/>
              </w:rPr>
              <w:t>Techninėje specifikacijoje.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color w:val="000000"/>
                <w:kern w:val="2"/>
                <w:szCs w:val="24"/>
              </w:rPr>
            </w:pPr>
            <w:r>
              <w:rPr>
                <w:color w:val="000000"/>
                <w:kern w:val="2"/>
                <w:szCs w:val="24"/>
              </w:rPr>
              <w:t>Paslaugų suteikimo termino pratęsimas galimas tik nuo Tiekėjo nepriklausančiais atvejais, nurodytais Techninėje specifikacijoje.</w:t>
            </w:r>
          </w:p>
          <w:p>
            <w:pPr>
              <w:pStyle w:val="Normal"/>
              <w:widowControl w:val="false"/>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kern w:val="2"/>
                <w:szCs w:val="24"/>
              </w:rPr>
              <w:t>Užsakymai teikiami Tiekėjo nurodytu elektroniniu paštu ar kitomis Šalims priimtinomis komunikacijos priemonėmis. Išsamiai užsakymų tvarka pateikiama Techninėje specifikacijoje.</w:t>
            </w:r>
          </w:p>
        </w:tc>
      </w:tr>
      <w:tr>
        <w:trPr>
          <w:trHeight w:val="862"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kern w:val="2"/>
                <w:szCs w:val="24"/>
              </w:rPr>
              <w:t>Turi būti pateikiami šie dokumentai: įvykdytas ir tinkamai patvirtintas užsakymas (vertimas); Paslaugų perdavimo-priėmimo aktas ir Sąskaita. Tiekėjui nepateikus nurodytų dokumentų, laikoma, kad Paslaugos neatitinka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Fiksuoto įkainio kainodara.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pPr>
              <w:pStyle w:val="Normal"/>
              <w:widowControl w:val="false"/>
              <w:rPr>
                <w:b/>
                <w:kern w:val="2"/>
                <w:szCs w:val="24"/>
              </w:rPr>
            </w:pPr>
            <w:r>
              <w:rPr>
                <w:b/>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pPr>
              <w:pStyle w:val="Normal"/>
              <w:widowControl w:val="false"/>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widowControl w:val="false"/>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pPr>
              <w:pStyle w:val="Normal"/>
              <w:widowControl w:val="false"/>
              <w:rPr>
                <w:kern w:val="2"/>
                <w:szCs w:val="24"/>
              </w:rPr>
            </w:pPr>
            <w:r>
              <w:rPr>
                <w:kern w:val="2"/>
                <w:szCs w:val="24"/>
              </w:rPr>
            </w:r>
          </w:p>
          <w:p>
            <w:pPr>
              <w:pStyle w:val="Normal"/>
              <w:widowControl w:val="false"/>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nurodytais įkainiais be PVM. Pirkėjas perka </w:t>
            </w:r>
            <w:r>
              <w:rPr>
                <w:color w:val="000000"/>
                <w:szCs w:val="24"/>
              </w:rPr>
              <w:t>Paslaugas</w:t>
            </w:r>
            <w:r>
              <w:rPr>
                <w:color w:val="000000"/>
                <w:kern w:val="2"/>
                <w:szCs w:val="24"/>
              </w:rPr>
              <w:t xml:space="preserve"> pagal poreikį Sutarties priede Nr. 2 „Pasiūlymas“ nurodytais įkainiais, neviršijant Sutarties kainos. Sutarties priede Nr. 2 „Pasiūlymas“ atskirose eilutėse nurodytas </w:t>
            </w:r>
            <w:r>
              <w:rPr>
                <w:color w:val="000000"/>
                <w:szCs w:val="24"/>
              </w:rPr>
              <w:t>Paslaugų</w:t>
            </w:r>
            <w:r>
              <w:rPr>
                <w:color w:val="000000"/>
                <w:kern w:val="2"/>
                <w:szCs w:val="24"/>
              </w:rPr>
              <w:t xml:space="preserve"> kiekis gali būti keičiamas (didėti ar mažėti). Pirkėjas neįsipareigoja išpirkti preliminaraus Paslaugų kiekio ar bet kokios jo dalies.</w:t>
            </w:r>
          </w:p>
        </w:tc>
      </w:tr>
      <w:tr>
        <w:trPr>
          <w:trHeight w:val="824"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kern w:val="2"/>
                <w:szCs w:val="24"/>
              </w:rPr>
              <w:t>Sutarties įkainiai bus perskaičiuojami:</w:t>
            </w:r>
          </w:p>
          <w:p>
            <w:pPr>
              <w:pStyle w:val="Normal"/>
              <w:widowControl w:val="false"/>
              <w:rPr/>
            </w:pPr>
            <w:r>
              <w:rPr>
                <w:color w:val="000000"/>
                <w:kern w:val="2"/>
                <w:szCs w:val="24"/>
              </w:rPr>
              <w:t>5.3.1. dėl PVM tarifo pasikeitimo;</w:t>
            </w:r>
          </w:p>
          <w:p>
            <w:pPr>
              <w:pStyle w:val="Normal"/>
              <w:widowControl w:val="false"/>
              <w:rPr/>
            </w:pPr>
            <w:r>
              <w:rPr>
                <w:color w:val="000000"/>
                <w:kern w:val="2"/>
                <w:szCs w:val="24"/>
              </w:rPr>
              <w:t>5.3.3. dėl kainų lygio pokyčio.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kern w:val="2"/>
                <w:szCs w:val="24"/>
              </w:rPr>
              <w:t>J</w:t>
            </w:r>
            <w:r>
              <w:rPr>
                <w:color w:val="000000"/>
                <w:kern w:val="2"/>
                <w:sz w:val="24"/>
                <w:szCs w:val="24"/>
                <w:shd w:fill="auto" w:val="clear"/>
              </w:rPr>
              <w:t>eigu Sutarties vykdymo metu pasikeičia PVM mokėjimą reglamentuojantys teisės aktai, darantys tiesioginę įtaką Tiekėjo tiekiamų Paslaugų Sutartyje nurodytiems įkainiams, Sutarties įkainiai perskaičiuojami nekeičiant Paslaugų įkainio be PVM.</w:t>
            </w:r>
          </w:p>
          <w:p>
            <w:pPr>
              <w:pStyle w:val="Normal"/>
              <w:widowControl w:val="false"/>
              <w:spacing w:before="0" w:after="160"/>
              <w:jc w:val="both"/>
              <w:rPr>
                <w:color w:val="auto"/>
                <w:sz w:val="24"/>
                <w:szCs w:val="24"/>
                <w:highlight w:val="none"/>
                <w:shd w:fill="auto" w:val="clear"/>
              </w:rPr>
            </w:pPr>
            <w:r>
              <w:rPr>
                <w:color w:val="000000"/>
                <w:kern w:val="2"/>
                <w:sz w:val="24"/>
                <w:szCs w:val="24"/>
                <w:shd w:fill="auto" w:val="clear"/>
              </w:rPr>
              <w:t xml:space="preserve">Perskaičiuoti Paslaugų įkainiai įforminami Susitarimu ir turi būti taikomi </w:t>
            </w:r>
            <w:r>
              <w:rPr>
                <w:color w:val="000000"/>
                <w:sz w:val="24"/>
                <w:szCs w:val="24"/>
                <w:shd w:fill="auto" w:val="clear"/>
              </w:rPr>
              <w:t xml:space="preserve"> t</w:t>
            </w:r>
            <w:r>
              <w:rPr>
                <w:b w:val="false"/>
                <w:i w:val="false"/>
                <w:caps w:val="false"/>
                <w:smallCaps w:val="false"/>
                <w:strike w:val="false"/>
                <w:dstrike w:val="false"/>
                <w:outline w:val="false"/>
                <w:shadow w:val="false"/>
                <w:color w:val="000000"/>
                <w:spacing w:val="0"/>
                <w:kern w:val="0"/>
                <w:sz w:val="24"/>
                <w:szCs w:val="24"/>
                <w:u w:val="none"/>
                <w:shd w:fill="auto" w:val="clear"/>
                <w:em w:val="none"/>
              </w:rPr>
              <w:t>ai Paslaugų daliai, kurios teikiamos po naujo PVM įvedimo datos</w:t>
            </w:r>
            <w:r>
              <w:rPr>
                <w:color w:val="000000"/>
                <w:kern w:val="2"/>
                <w:sz w:val="24"/>
                <w:szCs w:val="24"/>
                <w:shd w:fill="auto" w:val="clear"/>
              </w:rPr>
              <w:t xml:space="preserve"> (nepriklausomai nuo to, kada pasirašytas Susitarimas).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r>
              <w:rPr>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rPr>
                <w:b/>
                <w:kern w:val="2"/>
                <w:szCs w:val="24"/>
              </w:rPr>
            </w:pPr>
            <w:r>
              <w:rPr>
                <w:b/>
                <w:color w:val="000000"/>
              </w:rPr>
              <w:t>5.3.3. Sutarties kainos / įkainių peržiūra dėl kainų lygio pokyčio</w:t>
            </w:r>
          </w:p>
          <w:p>
            <w:pPr>
              <w:pStyle w:val="Normal"/>
              <w:widowControl w:val="false"/>
              <w:rPr>
                <w:b/>
                <w:kern w:val="2"/>
                <w:szCs w:val="24"/>
              </w:rPr>
            </w:pPr>
            <w:r>
              <w:rPr>
                <w:b/>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color w:val="000000"/>
              </w:rPr>
            </w:pPr>
            <w:r>
              <w:rPr>
                <w:color w:val="000000"/>
              </w:rPr>
              <w:t>5.3.3.1. Bet kuri Sutarties Šalis Sutarties galiojimo metu turi teisę inicijuoti Sutarties įkainių peržiūrą (keitimą) ne anksčiau kaip po 12 (dvylikos) mėnesių nuo  Sutarties įsigaliojimo dienos (jeigu peržiūra jau buvo atlikta – ne anksčiau kaip po 12 (dvylikos) mėnesių nuo Susitarimo dėl paskutinio perskaičiavimo pagal šį Specialiųjų sąlygų punktą įsigaliojimo dienos), jeigu Vartojimo prekių ir paslaugų kainų pokytis (k), apskaičiuotas kaip nustatyta 5.3.3.6 punkte, viršija 5</w:t>
            </w:r>
            <w:r>
              <w:rPr>
                <w:color w:val="4472C4"/>
              </w:rPr>
              <w:t> </w:t>
            </w:r>
            <w:r>
              <w:rPr>
                <w:color w:val="000000"/>
              </w:rPr>
              <w:t>procentus.</w:t>
            </w:r>
          </w:p>
          <w:p>
            <w:pPr>
              <w:pStyle w:val="BodyText"/>
              <w:widowControl w:val="false"/>
              <w:spacing w:before="0" w:after="0"/>
              <w:rPr>
                <w:color w:val="000000"/>
              </w:rPr>
            </w:pPr>
            <w:r>
              <w:rPr>
                <w:color w:val="000000"/>
              </w:rPr>
              <w:t>5.3.3.2. Sutarties įkainiai per</w:t>
            </w:r>
            <w:r>
              <w:rPr>
                <w:color w:val="000000"/>
                <w:shd w:fill="FFFFFF" w:val="clear"/>
              </w:rPr>
              <w:t>žiūrimi tik tai Sutarties daliai, kuri nėra išpirkta, t. y. Paslaugoms, kurios nėra priimtos ir apmokėtos. Vėlesnė Sutar</w:t>
            </w:r>
            <w:r>
              <w:rPr>
                <w:color w:val="000000"/>
              </w:rPr>
              <w:t>ties įkainių peržiūr</w:t>
            </w:r>
            <w:r>
              <w:rPr>
                <w:color w:val="000000"/>
                <w:shd w:fill="FFFFFF" w:val="clear"/>
              </w:rPr>
              <w:t>a negali apimti laikotarpio, už kurį jau buvo atlikta peržiūra.</w:t>
            </w:r>
          </w:p>
          <w:p>
            <w:pPr>
              <w:pStyle w:val="BodyText"/>
              <w:widowControl w:val="false"/>
              <w:spacing w:before="0" w:after="0"/>
              <w:rPr>
                <w:color w:val="000000"/>
              </w:rPr>
            </w:pPr>
            <w:r>
              <w:rPr>
                <w:color w:val="000000"/>
              </w:rPr>
              <w:t>5.3.3.3. </w:t>
            </w:r>
            <w:r>
              <w:rPr>
                <w:color w:val="000000"/>
                <w:shd w:fill="FFFFFF" w:val="clear"/>
              </w:rPr>
              <w:t>Jeigu P</w:t>
            </w:r>
            <w:r>
              <w:rPr>
                <w:color w:val="000000"/>
              </w:rPr>
              <w:t>aslaugų teikimas</w:t>
            </w:r>
            <w:r>
              <w:rPr>
                <w:color w:val="000000"/>
                <w:shd w:fill="FFFFFF" w:val="clear"/>
              </w:rPr>
              <w:t> vėluoja dėl Tiekėjo kaltės, uždelstų sute</w:t>
            </w:r>
            <w:r>
              <w:rPr>
                <w:color w:val="000000"/>
              </w:rPr>
              <w:t>ikti Paslaugų įkainiai nėra pe</w:t>
            </w:r>
            <w:r>
              <w:rPr>
                <w:color w:val="000000"/>
                <w:shd w:fill="FFFFFF" w:val="clear"/>
              </w:rPr>
              <w:t>rskaičiuojami dėl kainų lygio kilimo (gali būti mažinami, tačiau negali būti didinami).</w:t>
            </w:r>
          </w:p>
          <w:p>
            <w:pPr>
              <w:pStyle w:val="BodyText"/>
              <w:widowControl w:val="false"/>
              <w:spacing w:before="0" w:after="0"/>
              <w:rPr>
                <w:color w:val="000000"/>
              </w:rPr>
            </w:pPr>
            <w:r>
              <w:rPr>
                <w:color w:val="000000"/>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w:t>
            </w:r>
            <w:r>
              <w:rPr>
                <w:color w:val="000000"/>
                <w:shd w:fill="FFFFFF" w:val="clear"/>
              </w:rPr>
              <w:t xml:space="preserve"> institucijos išduoto dokumento ar patvirtinimo.</w:t>
            </w:r>
          </w:p>
          <w:p>
            <w:pPr>
              <w:pStyle w:val="BodyText"/>
              <w:widowControl w:val="false"/>
              <w:spacing w:before="0" w:after="0"/>
              <w:rPr>
                <w:color w:val="000000"/>
              </w:rPr>
            </w:pPr>
            <w:r>
              <w:rPr>
                <w:color w:val="000000"/>
                <w:shd w:fill="FFFFFF" w:val="clear"/>
              </w:rPr>
              <w:t>5.3.3.5. Šalys privalo Susitarime nurodyti vartojimo prekių ir paslaugų indekso reikšmę laikotarpio pradžioje ir jo nustatymo datą, indekso reikšmę laikotarpio pabaigoje ir jo nustatymo datą, kainų pokytį (k), perskaič</w:t>
            </w:r>
            <w:r>
              <w:rPr>
                <w:color w:val="000000"/>
              </w:rPr>
              <w:t>iuotus Sutarties įkainius, pers</w:t>
            </w:r>
            <w:r>
              <w:rPr>
                <w:color w:val="000000"/>
                <w:shd w:fill="FFFFFF" w:val="clear"/>
              </w:rPr>
              <w:t>kaičiuotą Pradinės Sutarties vertę.</w:t>
            </w:r>
          </w:p>
          <w:p>
            <w:pPr>
              <w:pStyle w:val="BodyText"/>
              <w:widowControl w:val="false"/>
              <w:spacing w:before="0" w:after="0"/>
              <w:rPr>
                <w:color w:val="000000"/>
              </w:rPr>
            </w:pPr>
            <w:r>
              <w:rPr>
                <w:color w:val="000000"/>
                <w:shd w:fill="FFFFFF" w:val="clear"/>
              </w:rPr>
              <w:t>5.3.3.6. Nauji Sutarti</w:t>
            </w:r>
            <w:r>
              <w:rPr>
                <w:color w:val="000000"/>
              </w:rPr>
              <w:t>es įkainiai apska</w:t>
            </w:r>
            <w:r>
              <w:rPr>
                <w:color w:val="000000"/>
                <w:shd w:fill="FFFFFF" w:val="clear"/>
              </w:rPr>
              <w:t>ičiuojami pagal žemiau pateiktą formulę:</w:t>
            </w:r>
          </w:p>
          <w:p>
            <w:pPr>
              <w:pStyle w:val="BodyText"/>
              <w:widowControl w:val="false"/>
              <w:spacing w:before="0" w:after="0"/>
              <w:rPr>
                <w:color w:val="000000"/>
              </w:rPr>
            </w:pPr>
            <w:r>
              <w:rPr>
                <w:color w:val="000000"/>
              </w:rPr>
            </w:r>
          </w:p>
          <w:p>
            <w:pPr>
              <w:pStyle w:val="BodyText"/>
              <w:widowControl w:val="false"/>
              <w:spacing w:before="0" w:after="0"/>
              <w:rPr>
                <w:color w:val="000000"/>
              </w:rPr>
            </w:pPr>
            <w:r>
              <w:rPr/>
              <w:drawing>
                <wp:inline distT="0" distB="0" distL="0" distR="0">
                  <wp:extent cx="1181100" cy="2762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1181100" cy="276225"/>
                          </a:xfrm>
                          <a:prstGeom prst="rect">
                            <a:avLst/>
                          </a:prstGeom>
                          <a:noFill/>
                        </pic:spPr>
                      </pic:pic>
                    </a:graphicData>
                  </a:graphic>
                </wp:inline>
              </w:drawing>
            </w:r>
            <w:r>
              <w:rPr>
                <w:color w:val="000000"/>
              </w:rPr>
              <w:t>, kur a – </w:t>
            </w:r>
            <w:r>
              <w:rPr>
                <w:color w:val="000000"/>
                <w:shd w:fill="auto" w:val="clear"/>
              </w:rPr>
              <w:t>įkainis (Eur be PVM) (jei peržiūra jau buvo atlikta, tai po paskutinio perskaičiavimo)</w:t>
            </w:r>
          </w:p>
          <w:p>
            <w:pPr>
              <w:pStyle w:val="BodyText"/>
              <w:widowControl w:val="false"/>
              <w:spacing w:before="0" w:after="0"/>
              <w:rPr>
                <w:color w:val="auto"/>
                <w:highlight w:val="none"/>
                <w:shd w:fill="auto" w:val="clear"/>
              </w:rPr>
            </w:pPr>
            <w:r>
              <w:rPr>
                <w:color w:val="000000"/>
                <w:shd w:fill="auto" w:val="clear"/>
              </w:rPr>
              <w:t>a1 – perskaičiuotas (pakeistas) įkainis (Eur be PVM)</w:t>
            </w:r>
          </w:p>
          <w:p>
            <w:pPr>
              <w:pStyle w:val="BodyText"/>
              <w:widowControl w:val="false"/>
              <w:spacing w:before="0" w:after="0"/>
              <w:rPr>
                <w:color w:val="000000"/>
              </w:rPr>
            </w:pPr>
            <w:r>
              <w:rPr>
                <w:color w:val="000000"/>
                <w:shd w:fill="auto" w:val="clear"/>
              </w:rPr>
              <w:t xml:space="preserve">k – pagal Vartojimo prekių ir paslaugų vartotojų kainų indeksą apskaičiuotas Vartojimo prekių </w:t>
            </w:r>
            <w:r>
              <w:rPr>
                <w:color w:val="000000"/>
              </w:rPr>
              <w:t>ir paslaugų kainų pokytis (padidėjimas arba sumažėjimas) (%). „k“ reikšmė skaičiuojama pagal formulę :</w:t>
            </w:r>
          </w:p>
          <w:p>
            <w:pPr>
              <w:pStyle w:val="BodyText"/>
              <w:widowControl w:val="false"/>
              <w:spacing w:before="0" w:after="0"/>
              <w:rPr>
                <w:color w:val="000000"/>
              </w:rPr>
            </w:pPr>
            <w:r>
              <w:rPr/>
              <w:drawing>
                <wp:inline distT="0" distB="0" distL="0" distR="0">
                  <wp:extent cx="1857375" cy="3143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1857375" cy="314325"/>
                          </a:xfrm>
                          <a:prstGeom prst="rect">
                            <a:avLst/>
                          </a:prstGeom>
                          <a:noFill/>
                        </pic:spPr>
                      </pic:pic>
                    </a:graphicData>
                  </a:graphic>
                </wp:inline>
              </w:drawing>
            </w:r>
            <w:r>
              <w:rPr>
                <w:color w:val="000000"/>
              </w:rPr>
              <w:t>, (proc.) kur</w:t>
            </w:r>
          </w:p>
          <w:p>
            <w:pPr>
              <w:pStyle w:val="BodyText"/>
              <w:widowControl w:val="false"/>
              <w:spacing w:before="0" w:after="0"/>
              <w:rPr>
                <w:color w:val="000000"/>
              </w:rPr>
            </w:pPr>
            <w:r>
              <w:rPr>
                <w:color w:val="000000"/>
              </w:rPr>
              <w:t>Ind naujausias – kreipimosi dėl</w:t>
            </w:r>
            <w:r>
              <w:rPr>
                <w:color w:val="auto"/>
              </w:rPr>
              <w:t>  įkainių peržiūros išsiuntimo kitai Šaliai dieną paskelbtas naujausias vartojimo prekių ir paslaugų indeksas .</w:t>
            </w:r>
          </w:p>
          <w:p>
            <w:pPr>
              <w:pStyle w:val="BodyText"/>
              <w:widowControl w:val="false"/>
              <w:spacing w:before="0" w:after="0"/>
              <w:rPr>
                <w:color w:val="auto"/>
              </w:rPr>
            </w:pPr>
            <w:r>
              <w:rPr>
                <w:color w:val="auto"/>
              </w:rPr>
              <w:t>Ind pradžia – laikotarpio pradžios datos (mėnesio) vartojimo prekių ir paslaugų indeksas . Pirmojo perskaičiavimo atveju laikotarpio pradžia (mėnuo) yra Sutarties įsigaliojimo dienos mėnuo </w:t>
            </w:r>
            <w:r>
              <w:rPr>
                <w:color w:val="000000"/>
                <w:shd w:fill="FFFFFF" w:val="clear"/>
              </w:rPr>
              <w:t>.</w:t>
            </w:r>
            <w:r>
              <w:rPr>
                <w:color w:val="auto"/>
              </w:rPr>
              <w:t> Antrojo perskaičiavimo atveju laikotarpio pradžia (mėnuo) yra paskutinio perskaičiavimo metu naudotos paskelbto atitinkamo indekso reikšmės mėnuo.</w:t>
            </w:r>
          </w:p>
          <w:p>
            <w:pPr>
              <w:pStyle w:val="BodyText"/>
              <w:widowControl w:val="false"/>
              <w:spacing w:before="0" w:after="0"/>
              <w:rPr>
                <w:color w:val="auto"/>
              </w:rPr>
            </w:pPr>
            <w:r>
              <w:rPr>
                <w:color w:val="auto"/>
              </w:rPr>
              <w:t>5.3.3.7. </w:t>
            </w:r>
            <w:r>
              <w:rPr>
                <w:color w:val="000000"/>
                <w:shd w:fill="FFFFFF" w:val="clear"/>
              </w:rPr>
              <w:t>Skaičiavimams indeksų reikšmės imamos </w:t>
            </w:r>
            <w:r>
              <w:rPr>
                <w:b/>
                <w:color w:val="000000"/>
                <w:shd w:fill="FFFFFF" w:val="clear"/>
              </w:rPr>
              <w:t>keturių</w:t>
            </w:r>
            <w:r>
              <w:rPr>
                <w:color w:val="000000"/>
                <w:shd w:fill="FFFFFF" w:val="clear"/>
              </w:rPr>
              <w:t> skaitmenų po kablelio tikslumu. Apskaičiuotas pokytis (k) tolimesniems skaičiavimams naudojamas suapvalinus iki </w:t>
            </w:r>
            <w:r>
              <w:rPr>
                <w:b/>
                <w:color w:val="000000"/>
                <w:shd w:fill="FFFFFF" w:val="clear"/>
              </w:rPr>
              <w:t>vieno</w:t>
            </w:r>
            <w:r>
              <w:rPr>
                <w:color w:val="000000"/>
                <w:shd w:fill="FFFFFF" w:val="clear"/>
              </w:rPr>
              <w:t>  skaitmens po kablelio, o apskaičiuotas įkainis „a1“ suapvalinamas iki </w:t>
            </w:r>
            <w:r>
              <w:rPr>
                <w:b/>
                <w:color w:val="000000"/>
                <w:shd w:fill="FFFFFF" w:val="clear"/>
              </w:rPr>
              <w:t>dviejų </w:t>
            </w:r>
            <w:r>
              <w:rPr>
                <w:color w:val="000000"/>
                <w:shd w:fill="FFFFFF" w:val="clear"/>
              </w:rPr>
              <w:t>skaitmenų po kablelio.</w:t>
            </w:r>
          </w:p>
          <w:p>
            <w:pPr>
              <w:pStyle w:val="BodyText"/>
              <w:widowControl w:val="false"/>
              <w:spacing w:before="0" w:after="0"/>
              <w:rPr>
                <w:color w:val="000000"/>
              </w:rPr>
            </w:pPr>
            <w:r>
              <w:rPr>
                <w:color w:val="000000"/>
                <w:shd w:fill="FFFFFF" w:val="clear"/>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000000"/>
              </w:rPr>
              <w:t>kitus oficialius šaltinių duomenis</w:t>
            </w:r>
            <w:r>
              <w:rPr>
                <w:color w:val="000000"/>
                <w:shd w:fill="FFFFFF" w:val="clear"/>
              </w:rPr>
              <w:t>, kita svarbi informacija. Prašyme Šalis neturi teisės nurodyti kito indekso ar prašyti perskaičiavimo pagal kitą indeksą nei nurodytas šioje procedūroje.</w:t>
            </w:r>
          </w:p>
          <w:p>
            <w:pPr>
              <w:pStyle w:val="BodyText"/>
              <w:widowControl w:val="false"/>
              <w:spacing w:before="0" w:after="0"/>
              <w:rPr>
                <w:color w:val="000000"/>
              </w:rPr>
            </w:pPr>
            <w:r>
              <w:rPr>
                <w:color w:val="000000"/>
                <w:shd w:fill="FFFFFF" w:val="clear"/>
              </w:rPr>
              <w:t>5</w:t>
            </w:r>
            <w:r>
              <w:rPr>
                <w:color w:val="000000"/>
              </w:rPr>
              <w:t>.3.3.9. </w:t>
            </w:r>
            <w:r>
              <w:rPr>
                <w:color w:val="000000"/>
                <w:shd w:fill="FFFFFF" w:val="clear"/>
              </w:rPr>
              <w:t>Susitarimas turi būti sudarytas per 10 (dešimt) dienų nuo Šalies pateikto tinkamo prašymo perskaičiuoti S</w:t>
            </w:r>
            <w:r>
              <w:rPr>
                <w:color w:val="000000"/>
              </w:rPr>
              <w:t>uta</w:t>
            </w:r>
            <w:r>
              <w:rPr>
                <w:color w:val="auto"/>
              </w:rPr>
              <w:t>rties </w:t>
            </w:r>
            <w:r>
              <w:rPr>
                <w:color w:val="000000"/>
                <w:shd w:fill="FFFFFF" w:val="clear"/>
              </w:rPr>
              <w:t>įkainius gavimo dienos.</w:t>
            </w:r>
          </w:p>
          <w:p>
            <w:pPr>
              <w:pStyle w:val="BodyText"/>
              <w:widowControl w:val="false"/>
              <w:spacing w:before="0" w:after="0"/>
              <w:rPr/>
            </w:pPr>
            <w:r>
              <w:rPr>
                <w:color w:val="000000"/>
                <w:shd w:fill="FFFFFF" w:val="clear"/>
              </w:rPr>
              <w:t>5.3.3.10. </w:t>
            </w:r>
            <w:r>
              <w:rPr>
                <w:color w:val="000000"/>
              </w:rPr>
              <w:t>Susitarimu Šalys neturi teisės keisti procedūroje nurodytos tvarkos ar kitų Sutarties nuostatų, išskyrus, jei keitimas atliekamas pagal VPĮ nuostatas.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r>
              <w:rPr>
                <w:color w:val="4472C4"/>
                <w:kern w:val="2"/>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auto"/>
              </w:rPr>
            </w:pPr>
            <w:r>
              <w:rPr>
                <w:color w:val="auto"/>
                <w:kern w:val="2"/>
                <w:szCs w:val="24"/>
              </w:rPr>
              <w:t>Pirkėjas esant poreikiui be atskiro Šalių susitarimo numato galimybę įsigyti Sutartimi įsigyjamų Paslaugų sąraše nenurodytų, tačiau su pirkimo objektu susijusių Paslaugų (toliau – Nenumatytos paslaugos) neviršijant 10 (dešimt) proc. Pradinės Sutarties vertės (jos nedidinant).</w:t>
            </w:r>
          </w:p>
          <w:p>
            <w:pPr>
              <w:pStyle w:val="Normal"/>
              <w:widowControl w:val="false"/>
              <w:rPr>
                <w:color w:val="auto"/>
              </w:rPr>
            </w:pPr>
            <w:r>
              <w:rPr>
                <w:color w:val="auto"/>
                <w:kern w:val="2"/>
                <w:szCs w:val="24"/>
              </w:rPr>
              <w:t xml:space="preserve">Už Nenumatytas </w:t>
            </w:r>
            <w:r>
              <w:rPr>
                <w:color w:val="auto"/>
                <w:szCs w:val="24"/>
              </w:rPr>
              <w:t xml:space="preserve">paslaugas </w:t>
            </w:r>
            <w:r>
              <w:rPr>
                <w:color w:val="auto"/>
                <w:kern w:val="2"/>
                <w:szCs w:val="24"/>
              </w:rPr>
              <w:t>bus apmokama ne didesnėmis nei Užsakymo dieną Tiekėjo pasiūlytomis, konkurencingomis ir rinką atitinkančiomis kainomis. Nenumatytų p</w:t>
            </w:r>
            <w:r>
              <w:rPr>
                <w:color w:val="auto"/>
                <w:szCs w:val="24"/>
              </w:rPr>
              <w:t>aslaugų</w:t>
            </w:r>
            <w:r>
              <w:rPr>
                <w:color w:val="auto"/>
                <w:kern w:val="2"/>
                <w:szCs w:val="24"/>
              </w:rPr>
              <w:t xml:space="preserve"> kaina su Pirkėju turi būti derinama iš anksto.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val="false"/>
                <w:bCs w:val="false"/>
                <w:color w:val="000000"/>
                <w:sz w:val="24"/>
                <w:szCs w:val="24"/>
                <w:shd w:fill="auto" w:val="clear"/>
              </w:rPr>
            </w:pPr>
            <w:r>
              <w:rPr>
                <w:color w:val="auto"/>
                <w:kern w:val="2"/>
                <w:szCs w:val="24"/>
              </w:rPr>
              <w:t>P</w:t>
            </w:r>
            <w:r>
              <w:rPr>
                <w:color w:val="000000"/>
                <w:kern w:val="2"/>
                <w:szCs w:val="24"/>
                <w:shd w:fill="auto" w:val="clear"/>
              </w:rPr>
              <w:t>irkėjas atsiskaito su Tiekėju ne vėliau kaip per 30 kalendorinių dienų nuo Sąskaitos ir Paslaugų perdavimo-priėmimo akto   gavimo dienos. Tiekėjas Sąskaitas teikia p</w:t>
            </w:r>
            <w:r>
              <w:rPr>
                <w:b w:val="false"/>
                <w:bCs w:val="false"/>
                <w:color w:val="000000"/>
                <w:kern w:val="2"/>
                <w:sz w:val="24"/>
                <w:szCs w:val="24"/>
                <w:shd w:fill="auto" w:val="clear"/>
              </w:rPr>
              <w:t xml:space="preserve">er </w:t>
            </w:r>
            <w:r>
              <w:rPr>
                <w:b w:val="false"/>
                <w:bCs w:val="false"/>
                <w:i w:val="false"/>
                <w:caps w:val="false"/>
                <w:smallCaps w:val="false"/>
                <w:color w:val="000000"/>
                <w:spacing w:val="0"/>
                <w:sz w:val="24"/>
                <w:szCs w:val="24"/>
                <w:shd w:fill="auto" w:val="clear"/>
              </w:rPr>
              <w:t>Sąskaitų administravimo bendrąją informacinę sistemą SABIS.</w:t>
            </w:r>
          </w:p>
          <w:p>
            <w:pPr>
              <w:pStyle w:val="Normal"/>
              <w:widowControl w:val="false"/>
              <w:rPr>
                <w:color w:val="auto"/>
                <w:kern w:val="2"/>
                <w:szCs w:val="24"/>
                <w:highlight w:val="none"/>
                <w:shd w:fill="auto" w:val="clear"/>
              </w:rPr>
            </w:pPr>
            <w:r>
              <w:rPr>
                <w:color w:val="000000"/>
                <w:kern w:val="2"/>
                <w:szCs w:val="24"/>
                <w:shd w:fill="auto" w:val="clear"/>
              </w:rPr>
            </w:r>
          </w:p>
          <w:p>
            <w:pPr>
              <w:pStyle w:val="Normal"/>
              <w:widowControl w:val="false"/>
              <w:rPr>
                <w:color w:val="auto"/>
              </w:rPr>
            </w:pPr>
            <w:r>
              <w:rPr>
                <w:color w:val="000000"/>
                <w:kern w:val="2"/>
                <w:szCs w:val="24"/>
                <w:shd w:fill="FFFFFF" w:val="clear"/>
              </w:rPr>
              <w:t>Apmokėjimo sąlygos: mokama kartą per mėnesį (už praėjusį mėnesį suteiktas Paslaugas) už konkretų kiekį / apimtį pagal nustatytus įkainius.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140"/>
              <w:rPr>
                <w:color w:val="000000"/>
                <w:kern w:val="2"/>
                <w:szCs w:val="24"/>
                <w:shd w:fill="FFFFFF" w:val="clear"/>
              </w:rPr>
            </w:pPr>
            <w:r>
              <w:rPr>
                <w:color w:val="000000"/>
                <w:kern w:val="2"/>
                <w:szCs w:val="24"/>
                <w:shd w:fill="FFFFFF" w:val="clear"/>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140"/>
              <w:rPr>
                <w:color w:val="000000"/>
                <w:kern w:val="2"/>
                <w:szCs w:val="24"/>
                <w:shd w:fill="FFFFFF" w:val="clear"/>
              </w:rPr>
            </w:pPr>
            <w:r>
              <w:rPr>
                <w:color w:val="000000"/>
                <w:kern w:val="2"/>
                <w:szCs w:val="24"/>
                <w:shd w:fill="FFFFFF" w:val="clea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140"/>
              <w:rPr>
                <w:kern w:val="2"/>
                <w:szCs w:val="24"/>
              </w:rPr>
            </w:pPr>
            <w:r>
              <w:rPr>
                <w:color w:val="000000"/>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140"/>
              <w:rPr>
                <w:kern w:val="2"/>
                <w:szCs w:val="24"/>
              </w:rPr>
            </w:pPr>
            <w:r>
              <w:rPr>
                <w:color w:val="000000"/>
                <w:kern w:val="2"/>
                <w:szCs w:val="24"/>
              </w:rPr>
              <w:t>Paslaugų teikimo trūkumų šalinimo terminai priklauso nuo užsakymo apimties ir konkrečiai nurodyti Techninės specifikacijos 14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szCs w:val="24"/>
              </w:rPr>
            </w:pPr>
            <w:r>
              <w:rPr>
                <w:b/>
                <w:szCs w:val="24"/>
              </w:rPr>
              <w:t xml:space="preserve">6.3. Kokybinių kriterijų įgyvendinimo </w:t>
            </w:r>
            <w:r>
              <w:rPr>
                <w:b/>
                <w:bCs/>
                <w:szCs w:val="24"/>
              </w:rPr>
              <w:t xml:space="preserve">ir </w:t>
            </w:r>
            <w:r>
              <w:rPr>
                <w:b/>
                <w:szCs w:val="24"/>
              </w:rPr>
              <w:t>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rPr>
                <w:color w:val="auto"/>
              </w:rPr>
            </w:pPr>
            <w:r>
              <w:rPr>
                <w:color w:val="auto"/>
                <w:kern w:val="2"/>
                <w:szCs w:val="24"/>
              </w:rPr>
              <w:t>Netaikoma  (tuo atveju, jeigu laimėjęs Tiekėjas neatitiko arba nesiūlė tam tikrų Kokybinių kriterijų).</w:t>
            </w:r>
          </w:p>
          <w:p>
            <w:pPr>
              <w:pStyle w:val="BodyText"/>
              <w:widowControl w:val="false"/>
              <w:spacing w:before="0" w:after="0"/>
              <w:rPr>
                <w:color w:val="auto"/>
                <w:kern w:val="2"/>
                <w:szCs w:val="24"/>
              </w:rPr>
            </w:pPr>
            <w:r>
              <w:rPr>
                <w:color w:val="auto"/>
                <w:kern w:val="2"/>
                <w:szCs w:val="24"/>
              </w:rPr>
            </w:r>
          </w:p>
          <w:p>
            <w:pPr>
              <w:pStyle w:val="BodyText"/>
              <w:widowControl w:val="false"/>
              <w:spacing w:before="0" w:after="0"/>
              <w:rPr>
                <w:color w:val="auto"/>
              </w:rPr>
            </w:pPr>
            <w:r>
              <w:rPr>
                <w:color w:val="auto"/>
                <w:kern w:val="2"/>
                <w:szCs w:val="24"/>
              </w:rPr>
              <w:t>arba</w:t>
            </w:r>
          </w:p>
          <w:p>
            <w:pPr>
              <w:pStyle w:val="BodyText"/>
              <w:widowControl w:val="false"/>
              <w:spacing w:before="0" w:after="0"/>
              <w:rPr>
                <w:color w:val="auto"/>
                <w:kern w:val="2"/>
                <w:szCs w:val="24"/>
              </w:rPr>
            </w:pPr>
            <w:r>
              <w:rPr>
                <w:color w:val="auto"/>
                <w:kern w:val="2"/>
                <w:szCs w:val="24"/>
              </w:rPr>
            </w:r>
          </w:p>
          <w:p>
            <w:pPr>
              <w:pStyle w:val="BodyText"/>
              <w:widowControl w:val="false"/>
              <w:spacing w:before="0" w:after="140"/>
              <w:rPr>
                <w:color w:val="auto"/>
              </w:rPr>
            </w:pPr>
            <w:r>
              <w:rPr>
                <w:color w:val="auto"/>
                <w:kern w:val="2"/>
                <w:szCs w:val="24"/>
              </w:rPr>
              <w:t>Turi atitikti visą Sutarties galiojimo laiką ir Pirkėjui per 5 (penkias) darbo dienas pateikti Kokybinių kriterijų įrodančius dokumentus (tuo atveju, jeigu laimėjęs Tiekėjas atitinka Kokybinį kriterijų).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vykdymui subtiekėjai ir (ar) specialistai nepasitelkiami.</w:t>
            </w:r>
          </w:p>
          <w:p>
            <w:pPr>
              <w:pStyle w:val="Normal"/>
              <w:widowControl w:val="false"/>
              <w:rPr>
                <w:kern w:val="2"/>
                <w:szCs w:val="24"/>
              </w:rPr>
            </w:pPr>
            <w:r>
              <w:rPr>
                <w:kern w:val="2"/>
                <w:szCs w:val="24"/>
              </w:rPr>
            </w:r>
          </w:p>
          <w:p>
            <w:pPr>
              <w:pStyle w:val="Normal"/>
              <w:widowControl w:val="false"/>
              <w:rPr>
                <w:color w:val="FF0000"/>
                <w:kern w:val="2"/>
                <w:szCs w:val="24"/>
              </w:rPr>
            </w:pPr>
            <w:r>
              <w:rPr>
                <w:color w:val="FF0000"/>
                <w:kern w:val="2"/>
                <w:szCs w:val="24"/>
              </w:rPr>
              <w:t>Arba (jei pasitelkiami)</w:t>
            </w:r>
          </w:p>
          <w:p>
            <w:pPr>
              <w:pStyle w:val="Normal"/>
              <w:widowControl w:val="false"/>
              <w:rPr>
                <w:kern w:val="2"/>
                <w:szCs w:val="24"/>
              </w:rPr>
            </w:pPr>
            <w:r>
              <w:rPr>
                <w:kern w:val="2"/>
                <w:szCs w:val="24"/>
              </w:rPr>
            </w:r>
          </w:p>
          <w:p>
            <w:pPr>
              <w:pStyle w:val="Normal"/>
              <w:widowControl w:val="false"/>
              <w:rPr>
                <w:b/>
                <w:kern w:val="2"/>
                <w:szCs w:val="24"/>
              </w:rPr>
            </w:pPr>
            <w:r>
              <w:rPr>
                <w:kern w:val="2"/>
                <w:szCs w:val="24"/>
              </w:rPr>
              <w:t>Sutarties vykdymui pasitelkiami subtiekėjai ir (ar) specialistai yra nurodyti Sutarties priede Nr. 2 „Pasiūlymas“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color w:val="000000"/>
                <w:kern w:val="2"/>
                <w:szCs w:val="24"/>
                <w:shd w:fill="auto" w:val="clear"/>
              </w:rPr>
              <w:t>Prievolių pa</w:t>
            </w:r>
            <w:r>
              <w:rPr>
                <w:kern w:val="2"/>
                <w:szCs w:val="24"/>
              </w:rPr>
              <w:t>gal Sutartį įvykdymas užtikrinamas 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140"/>
              <w:rPr/>
            </w:pPr>
            <w:r>
              <w:rPr>
                <w:color w:val="auto"/>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rPr>
                <w:color w:val="000000"/>
                <w:kern w:val="2"/>
                <w:szCs w:val="24"/>
              </w:rPr>
            </w:pPr>
            <w:r>
              <w:rPr>
                <w:color w:val="000000"/>
                <w:kern w:val="2"/>
                <w:szCs w:val="24"/>
              </w:rPr>
              <w:t>9.2.1. Jeigu Tiekėjas vėluoja suteikti Paslaugas arba nevykdo kitų s</w:t>
            </w:r>
            <w:r>
              <w:rPr>
                <w:color w:val="auto"/>
                <w:kern w:val="2"/>
                <w:szCs w:val="24"/>
              </w:rPr>
              <w:t>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pPr>
              <w:pStyle w:val="BodyText"/>
              <w:widowControl w:val="false"/>
              <w:spacing w:before="0" w:after="0"/>
              <w:rPr>
                <w:color w:val="000000"/>
                <w:kern w:val="2"/>
                <w:szCs w:val="24"/>
              </w:rPr>
            </w:pPr>
            <w:r>
              <w:rPr>
                <w:color w:val="000000"/>
                <w:kern w:val="2"/>
                <w:szCs w:val="24"/>
              </w:rPr>
              <w:t>9.2.2. Tiekėjas privalo sumokėti Pirkėjui netesybas per 10 (dešimt) darbo dienų nuo Pirkėjo pareikalavimo, jeigu netesybų suma nėra išskaitoma iš Tiekėjui mokėtinos sumos.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themeColor="text1" w:val="000000"/>
                <w:szCs w:val="24"/>
              </w:rPr>
            </w:pPr>
            <w:r>
              <w:rPr>
                <w:color w:themeColor="text1" w:val="000000"/>
                <w:kern w:val="2"/>
                <w:szCs w:val="24"/>
              </w:rPr>
              <w:t>9.3.1. Nutraukus Sutartį dėl esminio Sutarties pažeidimo, nustatyto Sutarties Specialiosiose sąlygose, mokama 5 procentų dydžio bauda nuo Pradinės Sutarties vertės be PVM,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kern w:val="2"/>
                <w:szCs w:val="24"/>
              </w:rPr>
            </w:pPr>
            <w:r>
              <w:rPr>
                <w:color w:val="000000"/>
                <w:kern w:val="2"/>
                <w:szCs w:val="24"/>
              </w:rPr>
              <w:t>Tiekėjui nesilaikant esamų subtiekėjų ar specialistų pakeitimo/naujų subtiekėjų pasitelkimo Bendrosiose sąlygose nurodytos keitimų tvarkos reikalavimų bus taikoma 0,5 procentų dydžio bauda nuo Pradinės Sutarties vertės be PVM, nurodytos Specialiųjų sąlygų 5.2 punkte.</w:t>
            </w:r>
          </w:p>
          <w:p>
            <w:pPr>
              <w:pStyle w:val="Normal"/>
              <w:widowControl w:val="false"/>
              <w:rPr>
                <w:color w:val="000000"/>
                <w:kern w:val="2"/>
                <w:szCs w:val="24"/>
              </w:rPr>
            </w:pPr>
            <w:r>
              <w:rPr>
                <w:color w:val="000000"/>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color w:val="auto"/>
              </w:rPr>
            </w:pPr>
            <w:r>
              <w:rPr>
                <w:color w:val="auto"/>
                <w:kern w:val="2"/>
                <w:szCs w:val="24"/>
              </w:rPr>
              <w:t>Tiekėjui nesilaikant aplinkosauginių kriterijų, nurodytų Specialiųjų sąlygų 13.2 skyriuje, bus taikoma 0,5 procentų dydžio bauda nuo Pradinės Sutarties vertės be PVM,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t>Tiekėjui arba Pirkėjui nesilaikant konfidencialumo reikalavimų bus taikoma 0,05 procentų dydžio bauda nuo Pradinės Sutarties vertės be PVM, nurodytos Specialiųjų sąlygų 5.2 punkte.</w:t>
            </w:r>
          </w:p>
          <w:p>
            <w:pPr>
              <w:pStyle w:val="Normal"/>
              <w:widowControl w:val="false"/>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rPr>
                <w:color w:val="auto"/>
              </w:rPr>
            </w:pPr>
            <w:r>
              <w:rPr>
                <w:color w:val="auto"/>
                <w:kern w:val="2"/>
                <w:szCs w:val="24"/>
              </w:rPr>
              <w:t>Netaikoma (tuo atveju, kai laimėjęs Tiekėjas neatitiko arba nesiūlė Kokybinių kriterijų)</w:t>
            </w:r>
          </w:p>
          <w:p>
            <w:pPr>
              <w:pStyle w:val="BodyText"/>
              <w:widowControl w:val="false"/>
              <w:spacing w:before="0" w:after="0"/>
              <w:rPr>
                <w:color w:val="000000"/>
                <w:kern w:val="2"/>
                <w:szCs w:val="24"/>
              </w:rPr>
            </w:pPr>
            <w:r>
              <w:rPr>
                <w:color w:val="000000"/>
                <w:kern w:val="2"/>
                <w:szCs w:val="24"/>
              </w:rPr>
            </w:r>
          </w:p>
          <w:p>
            <w:pPr>
              <w:pStyle w:val="BodyText"/>
              <w:widowControl w:val="false"/>
              <w:spacing w:before="0" w:after="0"/>
              <w:rPr>
                <w:color w:val="FF0000"/>
                <w:kern w:val="2"/>
                <w:szCs w:val="24"/>
              </w:rPr>
            </w:pPr>
            <w:r>
              <w:rPr>
                <w:color w:val="FF0000"/>
                <w:kern w:val="2"/>
                <w:szCs w:val="24"/>
              </w:rPr>
              <w:t>arba</w:t>
            </w:r>
          </w:p>
          <w:p>
            <w:pPr>
              <w:pStyle w:val="BodyText"/>
              <w:widowControl w:val="false"/>
              <w:spacing w:before="0" w:after="0"/>
              <w:rPr>
                <w:color w:val="000000"/>
                <w:kern w:val="2"/>
                <w:szCs w:val="24"/>
              </w:rPr>
            </w:pPr>
            <w:r>
              <w:rPr>
                <w:color w:val="000000"/>
                <w:kern w:val="2"/>
                <w:szCs w:val="24"/>
              </w:rPr>
            </w:r>
          </w:p>
          <w:p>
            <w:pPr>
              <w:pStyle w:val="BodyText"/>
              <w:widowControl w:val="false"/>
              <w:spacing w:before="0" w:after="0"/>
              <w:rPr>
                <w:color w:val="auto"/>
              </w:rPr>
            </w:pPr>
            <w:r>
              <w:rPr>
                <w:color w:val="auto"/>
                <w:kern w:val="2"/>
                <w:szCs w:val="24"/>
              </w:rPr>
              <w:t>Tiekėjui nesilaikant nustatytų kokybinių kriterijų bus taikoma 0,5 procentų dydžio bauda nuo Pradinės Sutarties vertės be PVM, nurodytos Specialiųjų sąlygų 5.2 punkte.</w:t>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9.8. Tiekėjui taikomos netesybos dėl Sutarties įvykdymo užtikrinimo </w:t>
            </w:r>
            <w:r>
              <w:rPr>
                <w:b/>
                <w:bCs/>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color w:val="4472C4"/>
                <w:kern w:val="2"/>
                <w:szCs w:val="24"/>
              </w:rPr>
            </w:pPr>
            <w:r>
              <w:rPr>
                <w:color w:val="4472C4"/>
                <w:kern w:val="2"/>
                <w:szCs w:val="24"/>
              </w:rPr>
            </w:r>
          </w:p>
        </w:tc>
      </w:tr>
      <w:tr>
        <w:trPr>
          <w:trHeight w:val="300" w:hRule="atLeast"/>
        </w:trPr>
        <w:tc>
          <w:tcPr>
            <w:tcW w:w="3095" w:type="dxa"/>
            <w:gridSpan w:val="2"/>
            <w:tcBorders>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9.</w:t>
            </w:r>
            <w:r>
              <w:rPr>
                <w:b/>
                <w:kern w:val="2"/>
                <w:szCs w:val="24"/>
                <w:lang w:val="lt-LT"/>
              </w:rPr>
              <w:t>10</w:t>
            </w:r>
            <w:r>
              <w:rPr>
                <w:b/>
                <w:kern w:val="2"/>
                <w:szCs w:val="24"/>
                <w:lang w:val="en-US"/>
              </w:rPr>
              <w:t xml:space="preserve">. </w:t>
            </w:r>
            <w:r>
              <w:rPr>
                <w:b/>
                <w:kern w:val="2"/>
                <w:szCs w:val="24"/>
              </w:rPr>
              <w:t>Kitos netesybos</w:t>
            </w:r>
          </w:p>
        </w:tc>
        <w:tc>
          <w:tcPr>
            <w:tcW w:w="6439" w:type="dxa"/>
            <w:gridSpan w:val="2"/>
            <w:tcBorders>
              <w:left w:val="single" w:sz="4" w:space="0" w:color="000000"/>
              <w:bottom w:val="single" w:sz="4" w:space="0" w:color="000000"/>
              <w:right w:val="single" w:sz="4" w:space="0" w:color="000000"/>
            </w:tcBorders>
          </w:tcPr>
          <w:p>
            <w:pPr>
              <w:pStyle w:val="Normal"/>
              <w:rPr>
                <w:color w:val="auto"/>
                <w:highlight w:val="none"/>
                <w:shd w:fill="auto" w:val="clear"/>
              </w:rPr>
            </w:pPr>
            <w:r>
              <w:rPr>
                <w:color w:val="000000"/>
                <w:kern w:val="2"/>
                <w:szCs w:val="24"/>
                <w:shd w:fill="auto" w:val="clear"/>
              </w:rPr>
              <w:t xml:space="preserve">Tiekėjui nesilaikant esminių Sutarties sąlygų </w:t>
            </w:r>
            <w:r>
              <w:rPr>
                <w:color w:val="000000"/>
                <w:kern w:val="2"/>
                <w:szCs w:val="24"/>
                <w:shd w:fill="auto" w:val="clear"/>
              </w:rPr>
              <w:t xml:space="preserve">ir vykdant Sutartį </w:t>
            </w:r>
            <w:r>
              <w:rPr>
                <w:color w:val="000000"/>
                <w:kern w:val="2"/>
                <w:szCs w:val="24"/>
                <w:shd w:fill="auto" w:val="clear"/>
              </w:rPr>
              <w:t>su dideliais ar nuolatiniai esminių Sutarties sąlygų vykdymo trūkumais</w:t>
            </w:r>
            <w:r>
              <w:rPr>
                <w:color w:val="000000"/>
                <w:kern w:val="2"/>
                <w:szCs w:val="24"/>
                <w:shd w:fill="auto" w:val="clear"/>
              </w:rPr>
              <w:t>, nustatyt</w:t>
            </w:r>
            <w:r>
              <w:rPr>
                <w:color w:val="000000"/>
                <w:kern w:val="2"/>
                <w:szCs w:val="24"/>
                <w:shd w:fill="auto" w:val="clear"/>
              </w:rPr>
              <w:t>ais Specialiųjų sąlygų 10.2</w:t>
            </w:r>
            <w:r>
              <w:rPr>
                <w:color w:val="000000"/>
                <w:kern w:val="2"/>
                <w:szCs w:val="24"/>
                <w:shd w:fill="auto" w:val="clear"/>
              </w:rPr>
              <w:t xml:space="preserve"> </w:t>
            </w:r>
            <w:r>
              <w:rPr>
                <w:color w:val="000000"/>
                <w:kern w:val="2"/>
                <w:szCs w:val="24"/>
                <w:shd w:fill="auto" w:val="clear"/>
              </w:rPr>
              <w:t>punkte</w:t>
            </w:r>
            <w:r>
              <w:rPr>
                <w:color w:val="000000"/>
                <w:kern w:val="2"/>
                <w:szCs w:val="24"/>
                <w:shd w:fill="auto" w:val="clear"/>
              </w:rPr>
              <w:t>, Tiekėj</w:t>
            </w:r>
            <w:r>
              <w:rPr>
                <w:color w:val="000000"/>
                <w:kern w:val="2"/>
                <w:szCs w:val="24"/>
                <w:shd w:fill="auto" w:val="clear"/>
              </w:rPr>
              <w:t>ui</w:t>
            </w:r>
            <w:r>
              <w:rPr>
                <w:color w:val="000000"/>
                <w:kern w:val="2"/>
                <w:szCs w:val="24"/>
                <w:shd w:fill="auto" w:val="clear"/>
              </w:rPr>
              <w:t xml:space="preserve"> </w:t>
            </w:r>
            <w:r>
              <w:rPr>
                <w:color w:val="000000"/>
                <w:kern w:val="2"/>
                <w:szCs w:val="24"/>
                <w:shd w:fill="auto" w:val="clear"/>
              </w:rPr>
              <w:t xml:space="preserve">bus taikoma </w:t>
            </w:r>
            <w:r>
              <w:rPr>
                <w:color w:val="000000"/>
                <w:kern w:val="2"/>
                <w:szCs w:val="24"/>
                <w:shd w:fill="auto" w:val="clear"/>
              </w:rPr>
              <w:t>1</w:t>
            </w:r>
            <w:r>
              <w:rPr>
                <w:color w:val="000000"/>
                <w:kern w:val="2"/>
                <w:szCs w:val="24"/>
                <w:shd w:fill="auto" w:val="clear"/>
              </w:rPr>
              <w:t xml:space="preserve"> </w:t>
            </w:r>
            <w:r>
              <w:rPr>
                <w:color w:val="000000"/>
                <w:kern w:val="2"/>
                <w:szCs w:val="24"/>
                <w:shd w:fill="auto" w:val="clear"/>
              </w:rPr>
              <w:t xml:space="preserve">(vieno) </w:t>
            </w:r>
            <w:r>
              <w:rPr>
                <w:color w:val="000000"/>
                <w:kern w:val="2"/>
                <w:szCs w:val="24"/>
                <w:shd w:fill="auto" w:val="clear"/>
              </w:rPr>
              <w:t>procent</w:t>
            </w:r>
            <w:r>
              <w:rPr>
                <w:color w:val="000000"/>
                <w:kern w:val="2"/>
                <w:szCs w:val="24"/>
                <w:shd w:fill="auto" w:val="clear"/>
              </w:rPr>
              <w:t>o</w:t>
            </w:r>
            <w:r>
              <w:rPr>
                <w:color w:val="000000"/>
                <w:kern w:val="2"/>
                <w:szCs w:val="24"/>
                <w:shd w:fill="auto" w:val="clear"/>
              </w:rPr>
              <w:t xml:space="preserve"> dydžio bauda nuo Pradinės Sutarties vertės be PVM, nurodytos Specialiųjų sąlygų 5.2 punkte.</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4472C4"/>
                <w:kern w:val="2"/>
                <w:szCs w:val="24"/>
              </w:rPr>
            </w:pPr>
            <w:r>
              <w:rPr>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rFonts w:eastAsia="0" w:ascii="TimesNewRomanPSMT" w:hAnsi="TimesNewRomanPSMT"/>
                <w:color w:val="000000"/>
                <w:kern w:val="2"/>
                <w:szCs w:val="24"/>
              </w:rPr>
              <w:t>10.1.1. Sutarties kaina ir kainodaros taisyklės;</w:t>
            </w:r>
          </w:p>
          <w:p>
            <w:pPr>
              <w:pStyle w:val="Normal"/>
              <w:widowControl w:val="false"/>
              <w:jc w:val="both"/>
              <w:rPr>
                <w:szCs w:val="24"/>
              </w:rPr>
            </w:pPr>
            <w:r>
              <w:rPr/>
              <w:t>10.1.2. apmokėjimo sąlygos ir tvarka;</w:t>
            </w:r>
          </w:p>
          <w:p>
            <w:pPr>
              <w:pStyle w:val="Normal"/>
              <w:widowControl w:val="false"/>
              <w:jc w:val="both"/>
              <w:rPr>
                <w:szCs w:val="24"/>
              </w:rPr>
            </w:pPr>
            <w:r>
              <w:rPr>
                <w:rFonts w:eastAsia="0" w:ascii="TimesNewRomanPSMT" w:hAnsi="TimesNewRomanPSMT"/>
                <w:color w:val="000000"/>
                <w:kern w:val="2"/>
                <w:szCs w:val="24"/>
              </w:rPr>
              <w:t>10.1.3. subtiekėjo (-ų) ir (arba) specialistų, keitimo tvarka.</w:t>
            </w:r>
          </w:p>
        </w:tc>
      </w:tr>
      <w:tr>
        <w:trPr>
          <w:trHeight w:val="300" w:hRule="atLeast"/>
        </w:trPr>
        <w:tc>
          <w:tcPr>
            <w:tcW w:w="3095" w:type="dxa"/>
            <w:gridSpan w:val="2"/>
            <w:tcBorders>
              <w:left w:val="single" w:sz="4" w:space="0" w:color="000000"/>
              <w:bottom w:val="single" w:sz="4" w:space="0" w:color="000000"/>
              <w:right w:val="single" w:sz="4" w:space="0" w:color="000000"/>
            </w:tcBorders>
          </w:tcPr>
          <w:p>
            <w:pPr>
              <w:pStyle w:val="Normal"/>
              <w:widowControl w:val="false"/>
              <w:rPr>
                <w:b/>
                <w:bCs/>
                <w:kern w:val="2"/>
                <w:szCs w:val="24"/>
              </w:rPr>
            </w:pPr>
            <w:r>
              <w:rPr>
                <w:b/>
                <w:bCs/>
                <w:color w:val="000000"/>
                <w:kern w:val="2"/>
                <w:szCs w:val="24"/>
              </w:rPr>
              <w:t>10.2. Dideli arba nuolatiniai esminės Sutarties sąlygos vykdymo trūkumai</w:t>
            </w:r>
          </w:p>
        </w:tc>
        <w:tc>
          <w:tcPr>
            <w:tcW w:w="6439" w:type="dxa"/>
            <w:gridSpan w:val="2"/>
            <w:tcBorders>
              <w:left w:val="single" w:sz="4" w:space="0" w:color="000000"/>
              <w:bottom w:val="single" w:sz="4" w:space="0" w:color="000000"/>
              <w:right w:val="single" w:sz="4" w:space="0" w:color="000000"/>
            </w:tcBorders>
          </w:tcPr>
          <w:p>
            <w:pPr>
              <w:pStyle w:val="BodyText"/>
              <w:widowControl w:val="false"/>
              <w:spacing w:lineRule="atLeast" w:line="216" w:before="0" w:after="0"/>
              <w:jc w:val="both"/>
              <w:rPr>
                <w:rFonts w:ascii="Times New Roman" w:hAnsi="Times New Roman"/>
                <w:color w:val="auto"/>
                <w:szCs w:val="24"/>
                <w:shd w:fill="auto" w:val="clear"/>
              </w:rPr>
            </w:pPr>
            <w:r>
              <w:rPr>
                <w:color w:val="000000"/>
                <w:szCs w:val="24"/>
                <w:shd w:fill="auto" w:val="clear"/>
              </w:rPr>
              <w:t>10.2.1. Tiekėjas vienašališkai nesilaikydamas Sutartyje nustatytos tvarkos padidina Sutartyje nustatytus įkainius arba atsisako teikti Paslaugas Sutartyje nustatytais įkainiais;</w:t>
            </w:r>
          </w:p>
          <w:p>
            <w:pPr>
              <w:pStyle w:val="BodyText"/>
              <w:widowControl w:val="false"/>
              <w:spacing w:lineRule="atLeast" w:line="216" w:before="0" w:after="0"/>
              <w:jc w:val="both"/>
              <w:rPr>
                <w:rFonts w:ascii="Times New Roman" w:hAnsi="Times New Roman"/>
                <w:color w:val="auto"/>
                <w:kern w:val="2"/>
                <w:szCs w:val="24"/>
                <w:shd w:fill="auto" w:val="clear"/>
              </w:rPr>
            </w:pPr>
            <w:r>
              <w:rPr>
                <w:color w:val="000000"/>
                <w:kern w:val="2"/>
                <w:szCs w:val="24"/>
                <w:shd w:fill="auto" w:val="clear"/>
              </w:rPr>
              <w:t>10.2.2. Tiekėjas 2 (du) ir daugiau kartų atsisako teikti Sąskaitas per informacinę sistemą SABIS;</w:t>
            </w:r>
          </w:p>
          <w:p>
            <w:pPr>
              <w:pStyle w:val="BodyText"/>
              <w:widowControl w:val="false"/>
              <w:spacing w:lineRule="atLeast" w:line="216" w:before="0" w:after="0"/>
              <w:jc w:val="both"/>
              <w:rPr>
                <w:rFonts w:ascii="Times New Roman" w:hAnsi="Times New Roman"/>
                <w:color w:val="auto"/>
                <w:kern w:val="2"/>
                <w:szCs w:val="24"/>
                <w:shd w:fill="auto" w:val="clear"/>
              </w:rPr>
            </w:pPr>
            <w:r>
              <w:rPr>
                <w:color w:val="000000"/>
                <w:kern w:val="2"/>
                <w:szCs w:val="24"/>
                <w:shd w:fill="auto" w:val="clear"/>
              </w:rPr>
              <w:t xml:space="preserve">10.2.3. Tiekėjas nesilaiko Sutartyje nustatytos </w:t>
            </w:r>
            <w:r>
              <w:rPr>
                <w:rFonts w:eastAsia="0"/>
                <w:color w:val="000000"/>
                <w:kern w:val="2"/>
                <w:szCs w:val="24"/>
                <w:shd w:fill="auto" w:val="clear"/>
              </w:rPr>
              <w:t>subtiekėjo (-ų) ir (arba) specialistų, keitimo tvarkos.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Ši Sutartis laikoma sudaryta ir įsigalioja nuo Sutarties pasirašymo dienos (antrosios Šalies pasirašymo dieną).</w:t>
            </w:r>
          </w:p>
          <w:p>
            <w:pPr>
              <w:pStyle w:val="Normal"/>
              <w:widowControl w:val="false"/>
              <w:rPr>
                <w:color w:val="4472C4"/>
                <w:kern w:val="2"/>
                <w:szCs w:val="24"/>
              </w:rPr>
            </w:pPr>
            <w:r>
              <w:rPr>
                <w:color w:val="000000"/>
                <w:kern w:val="2"/>
                <w:szCs w:val="24"/>
              </w:rPr>
              <w:t>Sutartis galioja iki visiško prievolių įvykdymo (kol bus išnaudota Pradinės Sutarties vertė, bet jos terminas negali būti ilgesnis kaip 25 mėnesiai (įskaitant vieną (paskutinį) mėnesį atsiskaitymui už Tiekėjo suteiktas Paslaugas).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140"/>
              <w:rPr>
                <w:rFonts w:eastAsia="Calibri"/>
                <w:color w:val="auto"/>
                <w:kern w:val="2"/>
                <w:szCs w:val="24"/>
              </w:rPr>
            </w:pPr>
            <w:r>
              <w:rPr>
                <w:rFonts w:eastAsia="Calibri"/>
                <w:color w:val="auto"/>
                <w:kern w:val="2"/>
                <w:szCs w:val="24"/>
                <w:lang w:val="lt-LT" w:eastAsia="en-US" w:bidi="ar-SA"/>
              </w:rPr>
              <w:t xml:space="preserve">Šalių abipusiu rašytiniu Susitarimu Sutartis tomis pačiomis sąlygomis nedidinant Sutarties kainos gali būti pratęsta 2 (du) kartus, kiekvieną kartą 6 (šešių) mėnesių laikotarpiui, jei nėra išnaudota Sutarties kaina, bet bendras Sutarties terminas negali </w:t>
            </w:r>
            <w:r>
              <w:rPr>
                <w:rFonts w:eastAsia="Calibri"/>
                <w:color w:val="000000"/>
                <w:kern w:val="2"/>
                <w:szCs w:val="24"/>
                <w:lang w:val="lt-LT" w:eastAsia="en-US" w:bidi="ar-SA"/>
              </w:rPr>
              <w:t>būti ilgesnis kaip 37 mėnesiai (įskaitant vieną (paskutinį) mėnesį atsiskaitymui už Tiekėjo suteiktas Paslaugas).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 xml:space="preserve">12.2. Esminiai Sutarties </w:t>
            </w:r>
            <w:r>
              <w:rPr>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themeColor="text1" w:val="000000"/>
                <w:kern w:val="2"/>
                <w:szCs w:val="24"/>
              </w:rPr>
            </w:pPr>
            <w:r>
              <w:rPr>
                <w:color w:themeColor="text1" w:val="000000"/>
                <w:kern w:val="2"/>
                <w:szCs w:val="24"/>
              </w:rPr>
              <w:t xml:space="preserve">12.2.1. </w:t>
            </w:r>
            <w:r>
              <w:rPr>
                <w:rFonts w:eastAsia="Arial"/>
                <w:color w:themeColor="text1" w:val="000000"/>
                <w:kern w:val="2"/>
                <w:szCs w:val="24"/>
                <w:lang w:val="lt-LT"/>
              </w:rPr>
              <w:t>jeigu Tiekėjas nesilaiko Sutartyje nustatytų Paslaugų teikimo terminų 2 (du) kartus iš eilės;</w:t>
            </w:r>
          </w:p>
          <w:p>
            <w:pPr>
              <w:pStyle w:val="Normal"/>
              <w:widowControl w:val="false"/>
              <w:tabs>
                <w:tab w:val="clear" w:pos="1296"/>
                <w:tab w:val="left" w:pos="567" w:leader="none"/>
                <w:tab w:val="left" w:pos="851" w:leader="none"/>
                <w:tab w:val="left" w:pos="992" w:leader="none"/>
                <w:tab w:val="left" w:pos="1134" w:leader="none"/>
              </w:tabs>
              <w:spacing w:lineRule="auto" w:line="257"/>
              <w:jc w:val="both"/>
              <w:rPr>
                <w:rFonts w:eastAsia="Arial"/>
                <w:color w:themeColor="text1" w:val="000000"/>
                <w:kern w:val="2"/>
                <w:szCs w:val="24"/>
                <w:lang w:val="lt-LT"/>
              </w:rPr>
            </w:pPr>
            <w:r>
              <w:rPr>
                <w:rFonts w:eastAsia="Arial"/>
                <w:color w:themeColor="text1" w:val="000000"/>
                <w:kern w:val="2"/>
                <w:szCs w:val="24"/>
                <w:lang w:val="lt-LT"/>
              </w:rPr>
              <w:t>12.2.2. jeigu Tiekėjas pažeidžia Paslaugų suteikimo terminus ir priskaičiuotų netesybų už vėlavimą suma viršija 20 (dvidešimt) proc. Pradinės sutarties vertės;</w:t>
            </w:r>
          </w:p>
          <w:p>
            <w:pPr>
              <w:pStyle w:val="Normal"/>
              <w:widowControl w:val="false"/>
              <w:tabs>
                <w:tab w:val="clear" w:pos="1296"/>
                <w:tab w:val="left" w:pos="567" w:leader="none"/>
                <w:tab w:val="left" w:pos="851" w:leader="none"/>
                <w:tab w:val="left" w:pos="992" w:leader="none"/>
                <w:tab w:val="left" w:pos="1134" w:leader="none"/>
              </w:tabs>
              <w:spacing w:lineRule="auto" w:line="257"/>
              <w:jc w:val="both"/>
              <w:rPr>
                <w:rFonts w:eastAsia="Arial"/>
                <w:color w:themeColor="text1" w:val="000000"/>
                <w:kern w:val="2"/>
                <w:szCs w:val="24"/>
                <w:lang w:val="lt-LT"/>
              </w:rPr>
            </w:pPr>
            <w:r>
              <w:rPr>
                <w:rFonts w:eastAsia="Arial"/>
                <w:color w:themeColor="text1" w:val="000000"/>
                <w:kern w:val="2"/>
                <w:szCs w:val="24"/>
                <w:lang w:val="lt-LT"/>
              </w:rPr>
              <w:t>12.2.3. Tiekėjas pažeidžia Paslaugų suteikimo terminus ir dėl Paslaugų suteikimo vėlavimo Paslaugos tampa nebereikalingos;</w:t>
            </w:r>
          </w:p>
          <w:p>
            <w:pPr>
              <w:pStyle w:val="Normal"/>
              <w:widowControl w:val="false"/>
              <w:tabs>
                <w:tab w:val="clear" w:pos="1296"/>
                <w:tab w:val="left" w:pos="567" w:leader="none"/>
                <w:tab w:val="left" w:pos="851" w:leader="none"/>
                <w:tab w:val="left" w:pos="992" w:leader="none"/>
                <w:tab w:val="left" w:pos="1134" w:leader="none"/>
              </w:tabs>
              <w:spacing w:lineRule="auto" w:line="257"/>
              <w:jc w:val="both"/>
              <w:rPr>
                <w:rFonts w:eastAsia="Arial"/>
                <w:color w:themeColor="text1" w:val="000000"/>
                <w:kern w:val="2"/>
                <w:szCs w:val="24"/>
                <w:lang w:val="lt-LT"/>
              </w:rPr>
            </w:pPr>
            <w:r>
              <w:rPr>
                <w:rFonts w:eastAsia="Arial"/>
                <w:color w:themeColor="text1" w:val="000000"/>
                <w:kern w:val="2"/>
                <w:szCs w:val="24"/>
                <w:lang w:val="lt-LT"/>
              </w:rPr>
              <w:t>12.2.4. Tiekėjas daugiau kaip 2 (du) kartus suteikia Paslaugas, kurios neatitinka Sutartyje ir (ar) įstatymuose nustatytų reikalavimų Paslaugoms;</w:t>
            </w:r>
          </w:p>
          <w:p>
            <w:pPr>
              <w:pStyle w:val="Normal"/>
              <w:widowControl w:val="false"/>
              <w:tabs>
                <w:tab w:val="clear" w:pos="1296"/>
                <w:tab w:val="left" w:pos="567" w:leader="none"/>
                <w:tab w:val="left" w:pos="851" w:leader="none"/>
                <w:tab w:val="left" w:pos="992" w:leader="none"/>
                <w:tab w:val="left" w:pos="1134" w:leader="none"/>
              </w:tabs>
              <w:spacing w:lineRule="auto" w:line="257"/>
              <w:jc w:val="both"/>
              <w:rPr>
                <w:rFonts w:eastAsia="Arial"/>
                <w:color w:themeColor="text1" w:val="000000"/>
                <w:kern w:val="2"/>
                <w:szCs w:val="24"/>
                <w:lang w:val="lt-LT"/>
              </w:rPr>
            </w:pPr>
            <w:r>
              <w:rPr>
                <w:rFonts w:eastAsia="Arial"/>
                <w:color w:themeColor="text1" w:val="000000"/>
                <w:kern w:val="2"/>
                <w:szCs w:val="24"/>
                <w:lang w:val="lt-LT"/>
              </w:rPr>
              <w:t>12.2.5. Tiekėjas pažeidžia šios Sutarties nuostatas, reglamentuojančias konkurenciją, intelektinės nuosavybės ar konfidencialios informacijos valdymą;</w:t>
            </w:r>
          </w:p>
          <w:p>
            <w:pPr>
              <w:pStyle w:val="Normal"/>
              <w:widowControl w:val="false"/>
              <w:spacing w:lineRule="auto" w:line="257"/>
              <w:jc w:val="both"/>
              <w:rPr>
                <w:rFonts w:eastAsia="Arial"/>
                <w:color w:themeColor="text1" w:val="000000"/>
                <w:kern w:val="2"/>
                <w:szCs w:val="24"/>
                <w:lang w:val="lt-LT"/>
              </w:rPr>
            </w:pPr>
            <w:r>
              <w:rPr>
                <w:rFonts w:eastAsia="Arial"/>
                <w:color w:themeColor="text1" w:val="000000"/>
                <w:kern w:val="2"/>
                <w:szCs w:val="24"/>
                <w:lang w:val="lt-LT"/>
              </w:rPr>
              <w:t>12.2.6. Tiekėjas 2 (du) kartus pažeidžia esminę Sutarties sąlygą.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b/>
                <w:kern w:val="2"/>
                <w:szCs w:val="24"/>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kern w:val="2"/>
                <w:sz w:val="24"/>
                <w:szCs w:val="24"/>
                <w:shd w:fill="FFFFFF" w:val="clear"/>
              </w:rPr>
            </w:pPr>
            <w:r>
              <w:rPr>
                <w:color w:val="000000"/>
                <w:kern w:val="2"/>
                <w:sz w:val="24"/>
                <w:szCs w:val="24"/>
                <w:shd w:fill="FFFFFF" w:val="clear"/>
              </w:rPr>
              <w:t>Aplinkosauginiai kriterijai nustatomi vadovaujantis Lietuvos Respublikos aplinkos ministro 2011 m. birželio 28 d. įsakymo Nr. D1-508 „Dėl Aplinkos apsaugos kriterijų taikymo, vykdant žaliuosius pirkimus, tvarkos aprašo patvirtinimo“ 4.3; 4.4.3 ir 4.4.4 punktais:</w:t>
            </w:r>
          </w:p>
          <w:p>
            <w:pPr>
              <w:pStyle w:val="Normal"/>
              <w:widowControl w:val="false"/>
              <w:jc w:val="both"/>
              <w:rPr>
                <w:color w:val="000000"/>
                <w:kern w:val="2"/>
                <w:sz w:val="24"/>
                <w:szCs w:val="24"/>
                <w:shd w:fill="FFFFFF" w:val="clear"/>
              </w:rPr>
            </w:pPr>
            <w:r>
              <w:rPr>
                <w:color w:val="000000"/>
                <w:kern w:val="2"/>
                <w:sz w:val="24"/>
                <w:szCs w:val="24"/>
                <w:shd w:fill="FFFFFF" w:val="clear"/>
              </w:rPr>
              <w:t>13.1. privalomi kriterijai:</w:t>
            </w:r>
          </w:p>
          <w:p>
            <w:pPr>
              <w:pStyle w:val="Normal"/>
              <w:widowControl w:val="false"/>
              <w:jc w:val="both"/>
              <w:rPr>
                <w:sz w:val="24"/>
                <w:szCs w:val="24"/>
              </w:rPr>
            </w:pPr>
            <w:r>
              <w:rPr>
                <w:color w:val="000000"/>
                <w:kern w:val="2"/>
                <w:sz w:val="24"/>
                <w:szCs w:val="24"/>
                <w:shd w:fill="FFFFFF" w:val="clear"/>
              </w:rPr>
              <w:t xml:space="preserve"> </w:t>
            </w:r>
            <w:r>
              <w:rPr>
                <w:color w:val="000000"/>
                <w:kern w:val="2"/>
                <w:sz w:val="24"/>
                <w:szCs w:val="24"/>
                <w:shd w:fill="FFFFFF" w:val="clear"/>
              </w:rPr>
              <w:t>- perkama tik nematerialaus pobūdžio paslauga, nesusijusi su materialaus objekto sukūrimu;</w:t>
            </w:r>
          </w:p>
          <w:p>
            <w:pPr>
              <w:pStyle w:val="Normal"/>
              <w:widowControl w:val="false"/>
              <w:jc w:val="both"/>
              <w:rPr>
                <w:sz w:val="24"/>
                <w:szCs w:val="24"/>
              </w:rPr>
            </w:pPr>
            <w:r>
              <w:rPr>
                <w:color w:val="000000"/>
                <w:sz w:val="24"/>
                <w:szCs w:val="24"/>
              </w:rPr>
              <w:t xml:space="preserve"> </w:t>
            </w:r>
            <w:r>
              <w:rPr>
                <w:color w:val="000000"/>
                <w:sz w:val="24"/>
                <w:szCs w:val="24"/>
              </w:rPr>
              <w:t>- mažinti popieriaus sunaudojimą, atsisakyti nebūtino dokumentų kopijavimo ir spausdinimo, rengiama dokumentacija Užsakovui turi būti pateikti tik elektroniniu formatu, o dokumentacija, kuri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pPr>
              <w:pStyle w:val="Normal"/>
              <w:widowControl w:val="false"/>
              <w:rPr>
                <w:sz w:val="24"/>
                <w:szCs w:val="24"/>
              </w:rPr>
            </w:pPr>
            <w:r>
              <w:rPr>
                <w:sz w:val="24"/>
                <w:szCs w:val="24"/>
              </w:rPr>
              <w:t>13.2.  privalom</w:t>
            </w:r>
            <w:r>
              <w:rPr>
                <w:sz w:val="24"/>
                <w:szCs w:val="24"/>
              </w:rPr>
              <w:t>as kriterijus</w:t>
            </w:r>
            <w:r>
              <w:rPr>
                <w:sz w:val="24"/>
                <w:szCs w:val="24"/>
              </w:rPr>
              <w:t xml:space="preserve"> tuo atveju</w:t>
            </w:r>
            <w:r>
              <w:rPr>
                <w:color w:val="auto"/>
                <w:kern w:val="2"/>
                <w:sz w:val="24"/>
                <w:szCs w:val="24"/>
              </w:rPr>
              <w:t>, kai laimėjęs Tiekėjas pasiūlyme nurodė atitikimą šiam Kokybiniam kriterijui:</w:t>
            </w:r>
          </w:p>
          <w:p>
            <w:pPr>
              <w:pStyle w:val="Normal"/>
              <w:widowControl w:val="false"/>
              <w:bidi w:val="0"/>
              <w:jc w:val="left"/>
              <w:rPr>
                <w:sz w:val="24"/>
                <w:szCs w:val="24"/>
              </w:rPr>
            </w:pPr>
            <w:r>
              <w:rPr>
                <w:b w:val="false"/>
                <w:i w:val="false"/>
                <w:strike w:val="false"/>
                <w:dstrike w:val="false"/>
                <w:outline w:val="false"/>
                <w:shadow w:val="false"/>
                <w:color w:val="000000"/>
                <w:sz w:val="24"/>
                <w:szCs w:val="24"/>
                <w:u w:val="none"/>
                <w:em w:val="none"/>
              </w:rPr>
              <w:t>Tiekėjas teikdamas Paslaugas laikosi Europos Sąjungos aplinkos apsaugos vadybos ir audito sistemos (EMAS) arba aplinkos apsaugos vadybos sistemos LST EN ISO 14001, arba kitos lygiavertės aplinkos apsaugos vadybos sistemos standartų reikalavimų. Aplinkos apsaugos vadybos sistemos standartų turi būti laikomasi visuose Tiekėjo padaliniuose, jei tokių yra, kurie teiks paslaugas, nepriklausomai nuo padalinių teisinės formos.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color w:val="0070C0"/>
                <w:kern w:val="2"/>
                <w:szCs w:val="24"/>
              </w:rPr>
            </w:pPr>
            <w:r>
              <w:rPr>
                <w:color w:val="000000"/>
                <w:kern w:val="2"/>
                <w:szCs w:val="24"/>
                <w:shd w:fill="FFFFFF" w:val="clea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14. BENDRŲJŲ SĄLYGŲ PAKEITIMAI IR PAPILDYMAI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auto"/>
                <w:kern w:val="2"/>
                <w:szCs w:val="24"/>
              </w:rPr>
              <w:t>Netaikoma.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rPr>
                <w:b/>
                <w:kern w:val="2"/>
                <w:szCs w:val="24"/>
              </w:rPr>
            </w:pPr>
            <w:r>
              <w:rPr>
                <w:b/>
                <w:kern w:val="2"/>
                <w:szCs w:val="24"/>
              </w:rPr>
              <w:t>14.2.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Pasiūlymas</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kern w:val="2"/>
                <w:szCs w:val="24"/>
              </w:rPr>
            </w:pPr>
            <w:r>
              <w:rPr>
                <w:color w:val="4472C4"/>
                <w:kern w:val="2"/>
                <w:szCs w:val="2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4472C4"/>
                <w:kern w:val="2"/>
                <w:szCs w:val="24"/>
              </w:rPr>
            </w:pPr>
            <w:r>
              <w:rPr>
                <w:b/>
                <w:color w:val="4472C4"/>
                <w:kern w:val="2"/>
                <w:szCs w:val="24"/>
              </w:rPr>
            </w:r>
          </w:p>
          <w:p>
            <w:pPr>
              <w:pStyle w:val="Normal"/>
              <w:widowControl w:val="false"/>
              <w:jc w:val="center"/>
              <w:rPr>
                <w:b/>
                <w:color w:val="4472C4"/>
                <w:kern w:val="2"/>
                <w:szCs w:val="24"/>
              </w:rPr>
            </w:pPr>
            <w:r>
              <w:rPr>
                <w:b/>
                <w:color w:val="4472C4"/>
                <w:kern w:val="2"/>
                <w:szCs w:val="24"/>
              </w:rPr>
              <w:t>(parašas)</w:t>
            </w:r>
          </w:p>
          <w:p>
            <w:pPr>
              <w:pStyle w:val="Normal"/>
              <w:widowControl w:val="false"/>
              <w:jc w:val="center"/>
              <w:rPr>
                <w:b/>
                <w:color w:val="4472C4"/>
                <w:kern w:val="2"/>
                <w:szCs w:val="24"/>
              </w:rPr>
            </w:pPr>
            <w:r>
              <w:rPr>
                <w:b/>
                <w:color w:val="4472C4"/>
                <w:kern w:val="2"/>
                <w:szCs w:val="24"/>
              </w:rPr>
            </w:r>
          </w:p>
          <w:p>
            <w:pPr>
              <w:pStyle w:val="Normal"/>
              <w:widowControl w:val="false"/>
              <w:jc w:val="center"/>
              <w:rPr>
                <w:b/>
                <w:color w:val="4472C4"/>
                <w:kern w:val="2"/>
                <w:szCs w:val="24"/>
              </w:rPr>
            </w:pPr>
            <w:r>
              <w:rPr>
                <w:b/>
                <w:color w:val="4472C4"/>
                <w:kern w:val="2"/>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4472C4"/>
                <w:kern w:val="2"/>
                <w:szCs w:val="24"/>
              </w:rPr>
            </w:pPr>
            <w:r>
              <w:rPr>
                <w:b/>
                <w:color w:val="4472C4"/>
                <w:kern w:val="2"/>
                <w:szCs w:val="24"/>
              </w:rPr>
            </w:r>
          </w:p>
          <w:p>
            <w:pPr>
              <w:pStyle w:val="Normal"/>
              <w:widowControl w:val="false"/>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p>
      <w:pPr>
        <w:pStyle w:val="Normal"/>
        <w:tabs>
          <w:tab w:val="clear" w:pos="1296"/>
          <w:tab w:val="left" w:pos="5400" w:leader="none"/>
        </w:tabs>
        <w:jc w:val="center"/>
        <w:textAlignment w:val="center"/>
        <w:rPr>
          <w:b/>
          <w:bCs/>
        </w:rPr>
      </w:pPr>
      <w:r>
        <w:rPr>
          <w:b/>
          <w:bCs/>
        </w:rPr>
      </w:r>
      <w:r>
        <w:br w:type="page"/>
      </w:r>
    </w:p>
    <w:p>
      <w:pPr>
        <w:pStyle w:val="Normal"/>
        <w:tabs>
          <w:tab w:val="clear" w:pos="1296"/>
          <w:tab w:val="left" w:pos="5400" w:leader="none"/>
        </w:tabs>
        <w:spacing w:before="0" w:after="0"/>
        <w:jc w:val="center"/>
        <w:textAlignment w:val="center"/>
        <w:rPr>
          <w:b/>
          <w:bCs/>
        </w:rPr>
      </w:pPr>
      <w:r>
        <w:rPr>
          <w:b/>
          <w:bCs/>
        </w:rPr>
      </w:r>
    </w:p>
    <w:p>
      <w:pPr>
        <w:pStyle w:val="Normal"/>
        <w:widowControl w:val="false"/>
        <w:tabs>
          <w:tab w:val="clear" w:pos="1296"/>
          <w:tab w:val="left" w:pos="567" w:leader="none"/>
          <w:tab w:val="left" w:pos="851" w:leader="none"/>
        </w:tabs>
        <w:jc w:val="center"/>
        <w:textAlignment w:val="center"/>
        <w:rPr>
          <w:b/>
          <w:bCs/>
          <w:caps/>
          <w:szCs w:val="24"/>
        </w:rPr>
      </w:pPr>
      <w:r>
        <w:rPr>
          <w:b/>
          <w:bCs/>
          <w:caps/>
          <w:szCs w:val="24"/>
        </w:rPr>
        <w:t>VERTIMO RAŠTU paslaugų pirkimo-pardavimo sutarties</w:t>
      </w:r>
      <w:r>
        <w:rPr>
          <w:b/>
          <w:caps/>
        </w:rPr>
        <w:t xml:space="preserve">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hanging="0"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rFonts w:eastAsia="Arial"/>
        </w:rPr>
        <w:t>l</w:t>
      </w:r>
      <w:r>
        <w:rPr>
          <w:rFonts w:eastAsia="Arial"/>
          <w:lang w:eastAsia="lt-LT"/>
        </w:rPr>
        <w:t xml:space="preserve">aikytųsi Tiekėjo pasiūlyme nurodytų įsipareigojimų, įskaitant, bet neapsiribojant – atitiktų Tiekėjo </w:t>
      </w:r>
      <w:r>
        <w:rPr>
          <w:rFonts w:eastAsia="Arial"/>
        </w:rPr>
        <w:t xml:space="preserve">pasiūlyme nurodytų kriterijų, dėl kurių jo pasiūlymas buvo išrinktas ekonomiškai naudingiausiu </w:t>
      </w:r>
      <w:r>
        <w:rPr>
          <w:rFonts w:eastAsia="Arial"/>
          <w:lang w:eastAsia="lt-LT"/>
        </w:rPr>
        <w:t>(toliau – </w:t>
      </w:r>
      <w:r>
        <w:rPr>
          <w:rFonts w:eastAsia="Arial"/>
          <w:b/>
          <w:bCs/>
          <w:lang w:eastAsia="lt-LT"/>
        </w:rPr>
        <w:t>Kokybiniai kriterijai</w:t>
      </w:r>
      <w:r>
        <w:rPr>
          <w:rFonts w:eastAsia="Arial"/>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rPr>
        <w:t>Tiekėjas gali keisti ir (ar) pasitelkti subtiekėjus ir (ar) specialistus šiame Sutarties poskyryje nustatytais atvejais ir tvarka.</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shd w:fill="FFFFFF" w:val="clear"/>
        </w:rPr>
        <w:t>(jei taikoma) ir Tiekėjo pasiūlyme nurodytų sąlygų pirkimo dokumentuose nustatytiems Kokybiniams</w:t>
      </w:r>
      <w:r>
        <w:rPr>
          <w:rFonts w:eastAsia="Cambria"/>
          <w:b/>
          <w:bCs/>
          <w:shd w:fill="FFFFFF" w:val="clear"/>
        </w:rPr>
        <w:t xml:space="preserve"> </w:t>
      </w:r>
      <w:r>
        <w:rPr>
          <w:rFonts w:eastAsia="Cambria"/>
          <w:shd w:fill="FFFFFF" w:val="clear"/>
        </w:rPr>
        <w:t>kriterijams pagrįsti (jei taikoma),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3.2.12. N</w:t>
      </w:r>
      <w:r>
        <w:rPr>
          <w:rFonts w:eastAsia="Cambria"/>
          <w:color w:val="000000"/>
          <w:kern w:val="2"/>
          <w:szCs w:val="24"/>
          <w:shd w:fill="FFFFFF" w:val="clear"/>
        </w:rPr>
        <w:t>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rFonts w:eastAsia="Cambria"/>
          <w:szCs w:val="24"/>
          <w:shd w:fill="FFFFFF" w:val="clear"/>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22.2.6. Pirkėjas turi teisę vienašališkai nutraukti Sutartį ir kitais Specialiosiose sąlygose (jei taikoma) ir įstatymuose bei kituose teisės aktuose įtvirtintais atvejais.</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22.3.5. J</w:t>
      </w:r>
      <w:r>
        <w:rPr>
          <w:szCs w:val="24"/>
          <w:lang w:eastAsia="lt-LT"/>
        </w:rPr>
        <w:t xml:space="preserve">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0"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0"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tabs>
          <w:tab w:val="clear" w:pos="1296"/>
          <w:tab w:val="left" w:pos="5400" w:leader="none"/>
        </w:tabs>
        <w:spacing w:lineRule="auto" w:line="276"/>
        <w:jc w:val="center"/>
        <w:textAlignment w:val="center"/>
        <w:rPr/>
      </w:pPr>
      <w:r>
        <w:rPr>
          <w:b/>
          <w:bCs/>
        </w:rPr>
        <w:t>__________</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TimesLT">
    <w:charset w:val="01"/>
    <w:family w:val="roman"/>
    <w:pitch w:val="default"/>
  </w:font>
  <w:font w:name="TimesNewRomanPSMT">
    <w:charset w:val="01"/>
    <w:family w:val="roman"/>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9</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1296"/>
  <w:autoHyphenation w:val="true"/>
  <w:doNotHyphenateCaps/>
  <w:hyphenationZone w:val="396"/>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EndnoteCharactersuser" w:customStyle="1">
    <w:name w:val="Endnote Characters (user)"/>
    <w:qFormat/>
    <w:rPr/>
  </w:style>
  <w:style w:type="character" w:styleId="Internetosaitas">
    <w:name w:val="Interneto saitas"/>
    <w:qFormat/>
    <w:rPr>
      <w:color w:val="0563C1"/>
      <w:u w:val="single"/>
    </w:rPr>
  </w:style>
  <w:style w:type="character" w:styleId="Eiluinumeravimas">
    <w:name w:val="Eilučių numeravimas"/>
    <w:qFormat/>
    <w:rPr/>
  </w:style>
  <w:style w:type="character" w:styleId="Hyperlink">
    <w:name w:val="Hyperlink"/>
    <w:rPr>
      <w:color w:val="000080"/>
      <w:u w:val="single"/>
    </w:rPr>
  </w:style>
  <w:style w:type="character" w:styleId="LineNumber">
    <w:name w:val="line number"/>
    <w:rPr/>
  </w:style>
  <w:style w:type="paragraph" w:styleId="Heading">
    <w:name w:val="Heading"/>
    <w:basedOn w:val="Normal"/>
    <w:next w:val="BodyText"/>
    <w:qFormat/>
    <w:pPr>
      <w:keepNext w:val="true"/>
      <w:spacing w:before="240" w:after="120"/>
    </w:pPr>
    <w:rPr>
      <w:rFonts w:ascii="Times New Roman" w:hAnsi="Times New Roman"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Cs w:val="24"/>
    </w:rPr>
  </w:style>
  <w:style w:type="paragraph" w:styleId="Index">
    <w:name w:val="Index"/>
    <w:basedOn w:val="Normal"/>
    <w:qFormat/>
    <w:pPr>
      <w:suppressLineNumbers/>
    </w:pPr>
    <w:rPr>
      <w:rFonts w:ascii="Times New Roman" w:hAnsi="Times New Roman" w:cs="Arial"/>
    </w:rPr>
  </w:style>
  <w:style w:type="paragraph" w:styleId="Antrat" w:customStyle="1">
    <w:name w:val="Antraštė"/>
    <w:basedOn w:val="Normal"/>
    <w:next w:val="BodyText"/>
    <w:qFormat/>
    <w:pPr>
      <w:keepNext w:val="true"/>
      <w:spacing w:before="240" w:after="120"/>
    </w:pPr>
    <w:rPr>
      <w:rFonts w:eastAsia="Microsoft YaHei" w:cs="Arial"/>
      <w:sz w:val="28"/>
      <w:szCs w:val="28"/>
    </w:rPr>
  </w:style>
  <w:style w:type="paragraph" w:styleId="Rodykl" w:customStyle="1">
    <w:name w:val="Rodyklė"/>
    <w:basedOn w:val="Normal"/>
    <w:qFormat/>
    <w:pPr>
      <w:suppressLineNumbers/>
    </w:pPr>
    <w:rPr>
      <w:rFonts w:cs="Arial"/>
    </w:rPr>
  </w:style>
  <w:style w:type="paragraph" w:styleId="Puslapinantratirporat" w:customStyle="1">
    <w:name w:val="Puslapinė antraštė ir poraštė"/>
    <w:basedOn w:val="Normal"/>
    <w:qFormat/>
    <w:pPr/>
    <w:rPr/>
  </w:style>
  <w:style w:type="paragraph" w:styleId="HeaderandFooter">
    <w:name w:val="Header and Footer"/>
    <w:basedOn w:val="Normal"/>
    <w:qFormat/>
    <w:pPr/>
    <w:rPr/>
  </w:style>
  <w:style w:type="paragraph" w:styleId="Header">
    <w:name w:val="header"/>
    <w:basedOn w:val="Puslapinantratirporat"/>
    <w:pPr/>
    <w:rPr/>
  </w:style>
  <w:style w:type="paragraph" w:styleId="Footer">
    <w:name w:val="footer"/>
    <w:basedOn w:val="Puslapinantratirporat"/>
    <w:pPr/>
    <w:rPr/>
  </w:style>
  <w:style w:type="paragraph" w:styleId="BodyText1" w:customStyle="1">
    <w:name w:val="Body Text1"/>
    <w:qFormat/>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kpb.rastine@policija.lt"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756</TotalTime>
  <Application>LibreOffice/25.2.4.3$Windows_X86_64 LibreOffice_project/33e196637044ead23f5c3226cde09b47731f7e27</Application>
  <AppVersion>15.0000</AppVersion>
  <Pages>37</Pages>
  <Words>13326</Words>
  <Characters>94977</Characters>
  <CharactersWithSpaces>107742</CharactersWithSpaces>
  <Paragraphs>590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2025-01-10T07:10:00Z</dcterms:created>
  <dc:creator>Rasa Politikienė</dc:creator>
  <dc:description/>
  <dc:language>lt-LT</dc:language>
  <cp:lastModifiedBy/>
  <cp:lastPrinted>2025-07-08T16:42:05Z</cp:lastPrinted>
  <dcterms:modified xsi:type="dcterms:W3CDTF">2025-07-09T08:54:37Z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