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w:t>
      </w:r>
      <w:r w:rsidR="00891769" w:rsidRPr="00891769">
        <w:rPr>
          <w:rFonts w:ascii="Cambria" w:hAnsi="Cambria"/>
          <w:sz w:val="22"/>
          <w:lang w:val="en-US"/>
        </w:rPr>
        <w:t>+370 37 32 63 60, +370 37 32 69 75</w:t>
      </w:r>
    </w:p>
    <w:p w:rsidR="00B35758" w:rsidRPr="00854972" w:rsidRDefault="00891769" w:rsidP="00B35758">
      <w:pPr>
        <w:pStyle w:val="Default"/>
        <w:jc w:val="center"/>
        <w:rPr>
          <w:rFonts w:ascii="Cambria" w:hAnsi="Cambria"/>
          <w:sz w:val="22"/>
        </w:rPr>
      </w:pPr>
      <w:r>
        <w:rPr>
          <w:rFonts w:ascii="Cambria" w:hAnsi="Cambria"/>
          <w:sz w:val="22"/>
        </w:rPr>
        <w:t>faks. +370 37</w:t>
      </w:r>
      <w:r w:rsidR="00B35758" w:rsidRPr="00854972">
        <w:rPr>
          <w:rFonts w:ascii="Cambria" w:hAnsi="Cambria"/>
          <w:sz w:val="22"/>
        </w:rPr>
        <w:t xml:space="preserve">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891769" w:rsidP="00B35758">
      <w:pPr>
        <w:jc w:val="center"/>
        <w:rPr>
          <w:rFonts w:ascii="Cambria" w:hAnsi="Cambria"/>
          <w:b/>
          <w:sz w:val="22"/>
          <w:szCs w:val="22"/>
        </w:rPr>
      </w:pPr>
      <w:r>
        <w:rPr>
          <w:rFonts w:ascii="Cambria" w:hAnsi="Cambria"/>
          <w:b/>
          <w:sz w:val="22"/>
          <w:szCs w:val="22"/>
        </w:rPr>
        <w:t>GIPSO IR AKMENS VATOS GAMINIAI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891769">
        <w:rPr>
          <w:rFonts w:ascii="Cambria" w:hAnsi="Cambria" w:cs="Times New Roman"/>
          <w:b/>
          <w:color w:val="548DD4" w:themeColor="text2" w:themeTint="99"/>
          <w:sz w:val="22"/>
          <w:szCs w:val="22"/>
          <w:lang w:val="lt-LT"/>
        </w:rPr>
        <w:t>gipso ir akmens vatos gaminius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891769">
        <w:rPr>
          <w:rFonts w:ascii="Cambria" w:hAnsi="Cambria"/>
          <w:b/>
          <w:color w:val="548DD4" w:themeColor="text2" w:themeTint="99"/>
        </w:rPr>
        <w:t>gipso ir akmens vatos gaminiai</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891769">
        <w:rPr>
          <w:rFonts w:ascii="Cambria" w:hAnsi="Cambria"/>
          <w:iCs/>
          <w:sz w:val="22"/>
          <w:szCs w:val="22"/>
        </w:rPr>
        <w:t>gipso ir vatos akmens gaminių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891769">
        <w:rPr>
          <w:rFonts w:ascii="Cambria" w:hAnsi="Cambria"/>
          <w:iCs/>
          <w:sz w:val="22"/>
          <w:szCs w:val="22"/>
          <w:lang w:val="en-US"/>
        </w:rPr>
        <w:t>3025910</w:t>
      </w:r>
      <w:r w:rsidR="002A2874" w:rsidRPr="00854972">
        <w:rPr>
          <w:rFonts w:ascii="Cambria" w:hAnsi="Cambria"/>
          <w:iCs/>
          <w:sz w:val="22"/>
          <w:szCs w:val="22"/>
        </w:rPr>
        <w:t>.​</w:t>
      </w:r>
    </w:p>
    <w:p w:rsidR="003F314D" w:rsidRPr="00DE2B67"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u w:val="single"/>
          <w:lang w:eastAsia="ar-SA"/>
        </w:rPr>
      </w:pPr>
      <w:r w:rsidRPr="003F314D">
        <w:rPr>
          <w:rFonts w:ascii="Cambria" w:hAnsi="Cambria"/>
          <w:lang w:eastAsia="lt-LT"/>
        </w:rPr>
        <w:t xml:space="preserve">Šis pirkimas </w:t>
      </w:r>
      <w:r w:rsidR="00891769">
        <w:rPr>
          <w:rFonts w:ascii="Cambria" w:hAnsi="Cambria"/>
          <w:lang w:eastAsia="lt-LT"/>
        </w:rPr>
        <w:t xml:space="preserve">yra skirstomas </w:t>
      </w:r>
      <w:r w:rsidRPr="003F314D">
        <w:rPr>
          <w:rFonts w:ascii="Cambria" w:hAnsi="Cambria"/>
          <w:lang w:eastAsia="lt-LT"/>
        </w:rPr>
        <w:t xml:space="preserve">į </w:t>
      </w:r>
      <w:r w:rsidR="00891769">
        <w:rPr>
          <w:rFonts w:ascii="Cambria" w:hAnsi="Cambria"/>
          <w:lang w:eastAsia="lt-LT"/>
        </w:rPr>
        <w:t xml:space="preserve">atskiras pirkimo </w:t>
      </w:r>
      <w:r w:rsidRPr="003F314D">
        <w:rPr>
          <w:rFonts w:ascii="Cambria" w:hAnsi="Cambria"/>
          <w:lang w:eastAsia="lt-LT"/>
        </w:rPr>
        <w:t xml:space="preserve">dalis </w:t>
      </w:r>
      <w:r w:rsidRPr="003F314D">
        <w:rPr>
          <w:rFonts w:ascii="Cambria" w:hAnsi="Cambria"/>
          <w:b/>
          <w:lang w:eastAsia="lt-LT"/>
        </w:rPr>
        <w:t xml:space="preserve">(viso </w:t>
      </w:r>
      <w:r w:rsidR="00DE2B67">
        <w:rPr>
          <w:rFonts w:ascii="Cambria" w:hAnsi="Cambria"/>
          <w:b/>
          <w:lang w:eastAsia="lt-LT"/>
        </w:rPr>
        <w:t>dvi</w:t>
      </w:r>
      <w:r w:rsidR="004F4664">
        <w:rPr>
          <w:rFonts w:ascii="Cambria" w:hAnsi="Cambria"/>
          <w:b/>
          <w:lang w:eastAsia="lt-LT"/>
        </w:rPr>
        <w:t xml:space="preserve"> pirkimo daly</w:t>
      </w:r>
      <w:r w:rsidRPr="003F314D">
        <w:rPr>
          <w:rFonts w:ascii="Cambria" w:hAnsi="Cambria"/>
          <w:b/>
          <w:lang w:eastAsia="lt-LT"/>
        </w:rPr>
        <w:t>s</w:t>
      </w:r>
      <w:r w:rsidR="00DE2B67">
        <w:rPr>
          <w:rFonts w:ascii="Cambria" w:hAnsi="Cambria"/>
          <w:b/>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DE2B67">
        <w:rPr>
          <w:rFonts w:ascii="Cambria" w:hAnsi="Cambria"/>
          <w:lang w:eastAsia="lt-LT"/>
        </w:rPr>
        <w:t>2.4.1. I pirkimo dalis – Gipskartonio plokštės ir profiliai;</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u w:val="single"/>
          <w:lang w:eastAsia="ar-SA"/>
        </w:rPr>
      </w:pPr>
      <w:r w:rsidRPr="00DE2B67">
        <w:rPr>
          <w:rFonts w:ascii="Cambria" w:hAnsi="Cambria"/>
          <w:lang w:eastAsia="lt-LT"/>
        </w:rPr>
        <w:t>2.4.2. II pirkimo dalis – Pakabinamos lubos ir jų dalys.</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00DE2B67" w:rsidRPr="00DE2B67">
        <w:rPr>
          <w:rFonts w:ascii="Cambria" w:eastAsia="Times New Roman" w:hAnsi="Cambria"/>
          <w:color w:val="000000"/>
          <w:lang w:eastAsia="lt-LT"/>
        </w:rPr>
        <w:t>Dalyvis gali pateikti pasiūlymą vienai pirkimo daliai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Lietuvos sveikatos mokslų universiteto ligoninė Kauno klinikos adresas Eivenių g. 2, Kaunas</w:t>
      </w:r>
      <w:r w:rsidR="00DE2B67">
        <w:rPr>
          <w:rFonts w:ascii="Cambria" w:hAnsi="Cambria"/>
          <w:iCs/>
        </w:rPr>
        <w:t xml:space="preserve"> ir filialai: Onkologijos ligoninė adresas Volungių g. 16, Kaunas, Romainių ligoninė adresas Šilainių pl. 21, Kaunas, Kulautuvos reabilitacijos ligoninė adresas Akacijų al. 18, Kulautuva, Kauno r</w:t>
      </w:r>
      <w:r w:rsidR="00317A16" w:rsidRPr="00317A16">
        <w:rPr>
          <w:rFonts w:ascii="Cambria" w:hAnsi="Cambria"/>
          <w:iCs/>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317A16" w:rsidRPr="006A0BE1" w:rsidRDefault="00F704E1" w:rsidP="00317A16">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w:t>
      </w:r>
      <w:r w:rsidRPr="00854972">
        <w:rPr>
          <w:rFonts w:ascii="Cambria" w:eastAsia="Arial Unicode MS" w:hAnsi="Cambria"/>
          <w:color w:val="000000"/>
          <w:sz w:val="22"/>
          <w:szCs w:val="22"/>
          <w:bdr w:val="nil"/>
          <w:lang w:val="en-US" w:eastAsia="lt-LT"/>
        </w:rPr>
        <w:lastRenderedPageBreak/>
        <w:t xml:space="preserve">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w:t>
            </w:r>
            <w:r w:rsidRPr="00380358">
              <w:rPr>
                <w:rFonts w:asciiTheme="majorHAnsi" w:eastAsia="Arial Unicode MS" w:hAnsiTheme="majorHAnsi"/>
                <w:bdr w:val="nil"/>
                <w:lang w:val="en-US"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w:t>
            </w:r>
            <w:r w:rsidRPr="00380358">
              <w:rPr>
                <w:rFonts w:asciiTheme="majorHAnsi" w:eastAsia="Arial Unicode MS" w:hAnsiTheme="majorHAnsi"/>
                <w:bdr w:val="nil"/>
                <w:lang w:val="en-US"/>
              </w:rPr>
              <w:lastRenderedPageBreak/>
              <w:t xml:space="preserve">(turinčių) teisę surašyti ir pasirašyti tiekėjo finansinės 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 xml:space="preserve">1) tiekėjo, kuris yra fizinis asmuo, per pastaruosius 5 metus buvo priimtas ir įsiteisėjęs apkaltinamasis teismo nuosprendis </w:t>
            </w:r>
            <w:r w:rsidRPr="00380358">
              <w:rPr>
                <w:rFonts w:asciiTheme="majorHAnsi" w:eastAsia="Arial Unicode MS" w:hAnsiTheme="majorHAnsi"/>
                <w:bCs/>
                <w:bdr w:val="nil"/>
                <w:lang w:val="en-US" w:eastAsia="lt-LT"/>
              </w:rPr>
              <w:lastRenderedPageBreak/>
              <w:t>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w:t>
            </w:r>
            <w:r w:rsidRPr="00380358">
              <w:rPr>
                <w:rFonts w:asciiTheme="majorHAnsi" w:eastAsia="Arial Unicode MS" w:hAnsiTheme="majorHAnsi"/>
                <w:bCs/>
                <w:color w:val="000000"/>
                <w:bdr w:val="nil"/>
                <w:lang w:val="en-US"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Pažeista konkurencija, kaip nustatyta VPĮ 27 straipsnio 3 ir 4 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r w:rsidRPr="00380358">
              <w:rPr>
                <w:rFonts w:asciiTheme="majorHAnsi" w:eastAsia="Arial Unicode MS" w:hAnsiTheme="majorHAnsi"/>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8357D7" w:rsidP="00380358">
            <w:pPr>
              <w:suppressAutoHyphens/>
              <w:spacing w:after="40"/>
              <w:jc w:val="both"/>
              <w:rPr>
                <w:rFonts w:asciiTheme="majorHAnsi" w:eastAsia="Arial Unicode MS" w:hAnsiTheme="majorHAnsi"/>
                <w:b/>
                <w:bCs/>
                <w:color w:val="000000"/>
                <w:bdr w:val="nil"/>
                <w:lang w:val="en-US" w:eastAsia="lt-LT"/>
              </w:rPr>
            </w:pPr>
            <w:hyperlink r:id="rId16"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w:t>
            </w:r>
            <w:r w:rsidRPr="00380358">
              <w:rPr>
                <w:rFonts w:asciiTheme="majorHAnsi" w:eastAsia="Arial Unicode MS" w:hAnsiTheme="majorHAnsi"/>
                <w:bdr w:val="nil"/>
                <w:lang w:val="en-US"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8357D7" w:rsidP="00380358">
            <w:pPr>
              <w:suppressAutoHyphens/>
              <w:spacing w:after="40"/>
              <w:jc w:val="both"/>
              <w:rPr>
                <w:rFonts w:asciiTheme="majorHAnsi" w:eastAsia="Arial Unicode MS" w:hAnsiTheme="majorHAnsi"/>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8357D7"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1" w:name="part_030e6c6c64ba4f96a23474e439d1b80c"/>
            <w:bookmarkEnd w:id="1"/>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19"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8357D7" w:rsidP="00380358">
            <w:pPr>
              <w:suppressAutoHyphens/>
              <w:spacing w:after="40"/>
              <w:jc w:val="both"/>
              <w:rPr>
                <w:rFonts w:asciiTheme="majorHAnsi" w:eastAsia="Arial Unicode MS" w:hAnsiTheme="majorHAnsi"/>
                <w:color w:val="000000"/>
                <w:bdr w:val="nil"/>
                <w:lang w:val="en-US" w:eastAsia="lt-LT"/>
              </w:rPr>
            </w:pPr>
            <w:hyperlink r:id="rId20"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1">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8357D7" w:rsidP="00380358">
            <w:pPr>
              <w:rPr>
                <w:rFonts w:asciiTheme="majorHAnsi" w:eastAsia="Times New Roman" w:hAnsiTheme="majorHAnsi"/>
                <w:bCs/>
                <w:iCs/>
                <w:bdr w:val="nil"/>
                <w:lang w:val="en-US"/>
              </w:rPr>
            </w:pPr>
            <w:hyperlink r:id="rId22" w:history="1">
              <w:r w:rsidR="00380358" w:rsidRPr="00380358">
                <w:rPr>
                  <w:rFonts w:asciiTheme="majorHAnsi" w:eastAsia="Arial Unicode MS" w:hAnsiTheme="majorHAnsi"/>
                  <w:u w:val="single"/>
                  <w:bdr w:val="nil"/>
                  <w:lang w:val="en-US"/>
                </w:rPr>
                <w:t>https://kt.gov.lt/lt/atviri-duomenys/diskvalifikavimas-is-</w:t>
              </w:r>
              <w:r w:rsidR="00380358" w:rsidRPr="00380358">
                <w:rPr>
                  <w:rFonts w:asciiTheme="majorHAnsi" w:eastAsia="Arial Unicode MS" w:hAnsiTheme="majorHAnsi"/>
                  <w:u w:val="single"/>
                  <w:bdr w:val="nil"/>
                  <w:lang w:val="en-US"/>
                </w:rPr>
                <w:lastRenderedPageBreak/>
                <w:t>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 xml:space="preserve">ės </w:t>
      </w:r>
      <w:r w:rsidRPr="00854972">
        <w:rPr>
          <w:rFonts w:ascii="Cambria" w:hAnsi="Cambria" w:cs="Times New Roman"/>
          <w:sz w:val="22"/>
          <w:szCs w:val="22"/>
          <w:lang w:val="de-DE"/>
        </w:rPr>
        <w:lastRenderedPageBreak/>
        <w:t>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DE2B67" w:rsidRPr="00DE2B67">
        <w:rPr>
          <w:rFonts w:ascii="Cambria" w:hAnsi="Cambria"/>
          <w:sz w:val="22"/>
          <w:szCs w:val="22"/>
          <w:lang w:val="lt-LT"/>
        </w:rPr>
        <w:t>Tiekėjas vienai pirkimo daliai gali pateikti tik vieną pasiūlymą. Jei tiekėjas pateikia daugiau kaip vieną pasiūlymą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DE2B67">
        <w:rPr>
          <w:rFonts w:ascii="Cambria" w:hAnsi="Cambria" w:cs="Times New Roman"/>
          <w:b/>
          <w:iCs/>
          <w:color w:val="548DD4" w:themeColor="text2" w:themeTint="99"/>
          <w:sz w:val="22"/>
          <w:szCs w:val="22"/>
        </w:rPr>
        <w:t>m. rugpjūčip</w:t>
      </w:r>
      <w:r w:rsidR="003B7AD1" w:rsidRPr="00854972">
        <w:rPr>
          <w:rFonts w:ascii="Cambria" w:hAnsi="Cambria" w:cs="Times New Roman"/>
          <w:b/>
          <w:iCs/>
          <w:color w:val="548DD4" w:themeColor="text2" w:themeTint="99"/>
          <w:sz w:val="22"/>
          <w:szCs w:val="22"/>
        </w:rPr>
        <w:t xml:space="preserve"> </w:t>
      </w:r>
      <w:r w:rsidR="00DE2B67">
        <w:rPr>
          <w:rFonts w:ascii="Cambria" w:hAnsi="Cambria" w:cs="Times New Roman"/>
          <w:b/>
          <w:iCs/>
          <w:color w:val="548DD4" w:themeColor="text2" w:themeTint="99"/>
          <w:sz w:val="22"/>
          <w:szCs w:val="22"/>
        </w:rPr>
        <w:t>1</w:t>
      </w:r>
      <w:r w:rsidR="00C95E97">
        <w:rPr>
          <w:rFonts w:ascii="Cambria" w:hAnsi="Cambria" w:cs="Times New Roman"/>
          <w:b/>
          <w:iCs/>
          <w:color w:val="548DD4" w:themeColor="text2" w:themeTint="99"/>
          <w:sz w:val="22"/>
          <w:szCs w:val="22"/>
        </w:rPr>
        <w:t>9</w:t>
      </w:r>
      <w:r w:rsidRPr="00854972">
        <w:rPr>
          <w:rFonts w:ascii="Cambria" w:hAnsi="Cambria" w:cs="Times New Roman"/>
          <w:b/>
          <w:iCs/>
          <w:color w:val="548DD4" w:themeColor="text2" w:themeTint="99"/>
          <w:sz w:val="22"/>
          <w:szCs w:val="22"/>
        </w:rPr>
        <w:t xml:space="preserve"> d. </w:t>
      </w:r>
      <w:r w:rsidR="003E7651" w:rsidRPr="003E7651">
        <w:rPr>
          <w:rFonts w:ascii="Cambria" w:hAnsi="Cambria" w:cs="Times New Roman"/>
          <w:b/>
          <w:iCs/>
          <w:color w:val="548DD4" w:themeColor="text2" w:themeTint="99"/>
          <w:sz w:val="22"/>
          <w:szCs w:val="22"/>
        </w:rPr>
        <w:t>09 val. 3</w:t>
      </w:r>
      <w:r w:rsidRPr="003E7651">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lastRenderedPageBreak/>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1E4E25"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937BD4" w:rsidRDefault="00C31329" w:rsidP="00937BD4">
      <w:pPr>
        <w:pStyle w:val="Body2"/>
        <w:rPr>
          <w:rFonts w:ascii="Cambria" w:hAnsi="Cambria"/>
          <w:b/>
          <w:sz w:val="22"/>
          <w:szCs w:val="22"/>
        </w:rPr>
      </w:pPr>
      <w:r>
        <w:rPr>
          <w:rFonts w:ascii="Cambria" w:hAnsi="Cambria" w:cs="Times New Roman"/>
          <w:sz w:val="22"/>
          <w:szCs w:val="22"/>
        </w:rPr>
        <w:t xml:space="preserve">             </w:t>
      </w:r>
      <w:r w:rsidR="00E32486">
        <w:rPr>
          <w:rFonts w:ascii="Cambria" w:hAnsi="Cambria" w:cs="Times New Roman"/>
          <w:sz w:val="22"/>
          <w:szCs w:val="22"/>
        </w:rPr>
        <w:t>5.11.4</w:t>
      </w:r>
      <w:r w:rsidR="00AC0849">
        <w:rPr>
          <w:rFonts w:ascii="Cambria" w:hAnsi="Cambria" w:cs="Times New Roman"/>
          <w:sz w:val="22"/>
          <w:szCs w:val="22"/>
        </w:rPr>
        <w:t xml:space="preserve">. </w:t>
      </w:r>
      <w:r w:rsidR="006A0BE1">
        <w:rPr>
          <w:rFonts w:ascii="Cambria" w:hAnsi="Cambria"/>
          <w:sz w:val="22"/>
          <w:szCs w:val="22"/>
          <w:lang w:val="lt-LT"/>
        </w:rPr>
        <w:t xml:space="preserve">Užpildyta </w:t>
      </w:r>
      <w:r w:rsidR="00C828CA">
        <w:rPr>
          <w:rFonts w:ascii="Cambria" w:hAnsi="Cambria"/>
          <w:sz w:val="22"/>
          <w:szCs w:val="22"/>
          <w:lang w:val="lt-LT"/>
        </w:rPr>
        <w:t>Kainų pasiūlymo lentelė</w:t>
      </w:r>
      <w:r w:rsidR="001E4E25" w:rsidRPr="001E4E25">
        <w:rPr>
          <w:rFonts w:ascii="Cambria" w:hAnsi="Cambria"/>
          <w:sz w:val="22"/>
          <w:szCs w:val="22"/>
          <w:lang w:val="lt-LT"/>
        </w:rPr>
        <w:t xml:space="preserve"> </w:t>
      </w:r>
      <w:r w:rsidR="001E4E25">
        <w:rPr>
          <w:rFonts w:ascii="Cambria" w:hAnsi="Cambria"/>
          <w:b/>
          <w:sz w:val="22"/>
          <w:szCs w:val="22"/>
          <w:lang w:val="lt-LT"/>
        </w:rPr>
        <w:t>(</w:t>
      </w:r>
      <w:r w:rsidR="00C828CA">
        <w:rPr>
          <w:rFonts w:ascii="Cambria" w:hAnsi="Cambria"/>
          <w:b/>
          <w:sz w:val="22"/>
          <w:szCs w:val="22"/>
          <w:lang w:val="lt-LT"/>
        </w:rPr>
        <w:t>5</w:t>
      </w:r>
      <w:r w:rsidR="001E4E25" w:rsidRPr="001E4E25">
        <w:rPr>
          <w:rFonts w:ascii="Cambria" w:hAnsi="Cambria"/>
          <w:b/>
          <w:sz w:val="22"/>
          <w:szCs w:val="22"/>
          <w:lang w:val="lt-LT"/>
        </w:rPr>
        <w:t xml:space="preserve"> priedas)</w:t>
      </w:r>
      <w:r w:rsidR="00AC0849" w:rsidRPr="00AC0849">
        <w:rPr>
          <w:rFonts w:ascii="Cambria" w:hAnsi="Cambria"/>
          <w:b/>
          <w:sz w:val="22"/>
          <w:szCs w:val="22"/>
          <w:lang w:val="lt-LT"/>
        </w:rPr>
        <w:t>.</w:t>
      </w:r>
      <w:r w:rsidR="00937BD4" w:rsidRPr="00937BD4">
        <w:rPr>
          <w:rFonts w:ascii="Cambria" w:eastAsia="Times New Roman" w:hAnsi="Cambria"/>
          <w:sz w:val="22"/>
          <w:szCs w:val="22"/>
          <w:lang w:eastAsia="lt-LT"/>
        </w:rPr>
        <w:t xml:space="preserve"> </w:t>
      </w:r>
      <w:r w:rsidR="00937BD4" w:rsidRPr="00937BD4">
        <w:rPr>
          <w:rFonts w:ascii="Cambria" w:hAnsi="Cambria"/>
          <w:sz w:val="22"/>
          <w:szCs w:val="22"/>
        </w:rPr>
        <w:t>Tiekėjas privalo nurodyti siūlomų prekių technines charakteristikas.</w:t>
      </w:r>
      <w:r w:rsidR="00937BD4" w:rsidRPr="00937BD4">
        <w:rPr>
          <w:rFonts w:ascii="Cambria" w:hAnsi="Cambria"/>
          <w:b/>
          <w:sz w:val="22"/>
          <w:szCs w:val="22"/>
        </w:rPr>
        <w:t xml:space="preserve"> Grafoje </w:t>
      </w:r>
      <w:r w:rsidR="00937BD4">
        <w:rPr>
          <w:rFonts w:ascii="Cambria" w:hAnsi="Cambria"/>
          <w:b/>
          <w:sz w:val="22"/>
          <w:szCs w:val="22"/>
        </w:rPr>
        <w:t>„</w:t>
      </w:r>
      <w:r w:rsidR="00DE2B67" w:rsidRPr="00DE2B67">
        <w:rPr>
          <w:rFonts w:ascii="Cambria" w:hAnsi="Cambria"/>
          <w:b/>
          <w:sz w:val="22"/>
          <w:szCs w:val="22"/>
        </w:rPr>
        <w:t>Siūlomos prekės pavadinimas ir techninė specifikacija, gamintojas ir modelis</w:t>
      </w:r>
      <w:r w:rsidR="00937BD4" w:rsidRPr="00937BD4">
        <w:rPr>
          <w:rFonts w:ascii="Cambria" w:hAnsi="Cambria"/>
          <w:b/>
          <w:sz w:val="22"/>
          <w:szCs w:val="22"/>
        </w:rPr>
        <w:t>“</w:t>
      </w:r>
      <w:r w:rsidR="00937BD4" w:rsidRPr="00937BD4">
        <w:rPr>
          <w:rFonts w:ascii="Cambria" w:hAnsi="Cambria"/>
          <w:b/>
          <w:i/>
          <w:sz w:val="22"/>
          <w:szCs w:val="22"/>
        </w:rPr>
        <w:t xml:space="preserve"> </w:t>
      </w:r>
      <w:r w:rsidR="00937BD4" w:rsidRPr="00937BD4">
        <w:rPr>
          <w:rFonts w:ascii="Cambria" w:hAnsi="Cambria"/>
          <w:b/>
          <w:sz w:val="22"/>
          <w:szCs w:val="22"/>
        </w:rPr>
        <w:t xml:space="preserve">turi būti </w:t>
      </w:r>
      <w:r w:rsidR="00937BD4"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00937BD4" w:rsidRPr="00937BD4">
        <w:rPr>
          <w:rFonts w:ascii="Cambria" w:hAnsi="Cambria"/>
          <w:b/>
          <w:i/>
          <w:sz w:val="22"/>
          <w:szCs w:val="22"/>
        </w:rPr>
        <w:t xml:space="preserve"> Rašyti „Taip“, „Atitinka</w:t>
      </w:r>
      <w:proofErr w:type="gramStart"/>
      <w:r w:rsidR="00937BD4" w:rsidRPr="00937BD4">
        <w:rPr>
          <w:rFonts w:ascii="Cambria" w:hAnsi="Cambria"/>
          <w:b/>
          <w:i/>
          <w:sz w:val="22"/>
          <w:szCs w:val="22"/>
        </w:rPr>
        <w:t>“ ar</w:t>
      </w:r>
      <w:proofErr w:type="gramEnd"/>
      <w:r w:rsidR="00937BD4" w:rsidRPr="00937BD4">
        <w:rPr>
          <w:rFonts w:ascii="Cambria" w:hAnsi="Cambria"/>
          <w:b/>
          <w:i/>
          <w:sz w:val="22"/>
          <w:szCs w:val="22"/>
        </w:rPr>
        <w:t xml:space="preserve"> nukopijuoti ir įrašyti perkančiosios organizacijos konkursui parengtus reikalavimus neleidžiama.</w:t>
      </w:r>
      <w:r w:rsidR="00937BD4" w:rsidRPr="00937BD4">
        <w:rPr>
          <w:rFonts w:ascii="Cambria" w:hAnsi="Cambria"/>
          <w:b/>
          <w:sz w:val="22"/>
          <w:szCs w:val="22"/>
        </w:rPr>
        <w:t xml:space="preserve"> </w:t>
      </w:r>
      <w:r w:rsidR="00937BD4" w:rsidRPr="00937BD4">
        <w:rPr>
          <w:rFonts w:ascii="Cambria" w:hAnsi="Cambria"/>
          <w:b/>
          <w:color w:val="FF0000"/>
          <w:sz w:val="22"/>
          <w:szCs w:val="22"/>
        </w:rPr>
        <w:t xml:space="preserve">Užpildytas dokumentas privalo būti pateiktas ne skenuota forma, bet prisegant atskirudokumentu Microsoft Word ar kita visuotinai prieinama teksto redagavimo programa. </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5.11.5</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E32486">
        <w:rPr>
          <w:rFonts w:ascii="Cambria" w:hAnsi="Cambria" w:cs="Times New Roman"/>
          <w:b/>
          <w:color w:val="auto"/>
          <w:sz w:val="22"/>
          <w:szCs w:val="22"/>
        </w:rPr>
        <w:t>5.11.6</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E063AC">
        <w:rPr>
          <w:rFonts w:ascii="Cambria" w:hAnsi="Cambria"/>
          <w:b/>
          <w:sz w:val="22"/>
          <w:szCs w:val="22"/>
        </w:rPr>
        <w:t>5.11.7</w:t>
      </w:r>
      <w:r w:rsidR="000729DE" w:rsidRPr="00E646AF">
        <w:rPr>
          <w:rFonts w:ascii="Cambria" w:hAnsi="Cambria"/>
          <w:b/>
          <w:sz w:val="22"/>
          <w:szCs w:val="22"/>
        </w:rPr>
        <w:t xml:space="preserve">. Užpildyta deklaracija </w:t>
      </w:r>
      <w:proofErr w:type="gramStart"/>
      <w:r w:rsidR="000729DE" w:rsidRPr="00E646AF">
        <w:rPr>
          <w:rFonts w:ascii="Cambria" w:hAnsi="Cambria"/>
          <w:b/>
          <w:sz w:val="22"/>
          <w:szCs w:val="22"/>
        </w:rPr>
        <w:t>dėl</w:t>
      </w:r>
      <w:proofErr w:type="gramEnd"/>
      <w:r w:rsidR="000729DE" w:rsidRPr="00E646AF">
        <w:rPr>
          <w:rFonts w:ascii="Cambria" w:hAnsi="Cambria"/>
          <w:b/>
          <w:sz w:val="22"/>
          <w:szCs w:val="22"/>
        </w:rPr>
        <w:t xml:space="preserve">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E063AC">
        <w:rPr>
          <w:rFonts w:ascii="Cambria" w:eastAsia="Arial Unicode MS" w:hAnsi="Cambria"/>
          <w:b/>
          <w:sz w:val="22"/>
          <w:szCs w:val="22"/>
          <w:bdr w:val="nil"/>
          <w:lang w:eastAsia="en-GB"/>
        </w:rPr>
        <w:t>.11.8</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5.11.10</w:t>
      </w:r>
      <w:r w:rsidRPr="00854972">
        <w:rPr>
          <w:rFonts w:ascii="Cambria" w:hAnsi="Cambria"/>
          <w:sz w:val="22"/>
          <w:szCs w:val="22"/>
        </w:rPr>
        <w:t>. Galimybę pasinaudoti kitų ūkio subjektų ištekliais patvirtinantys dokumentai (jei taikoma);</w:t>
      </w:r>
    </w:p>
    <w:p w:rsidR="0050768A" w:rsidRPr="00937BD4" w:rsidRDefault="00E063AC" w:rsidP="00937BD4">
      <w:pPr>
        <w:pStyle w:val="Body2"/>
        <w:tabs>
          <w:tab w:val="left" w:pos="567"/>
          <w:tab w:val="left" w:pos="1134"/>
        </w:tabs>
        <w:ind w:firstLine="567"/>
        <w:rPr>
          <w:rFonts w:ascii="Cambria" w:hAnsi="Cambria"/>
          <w:b/>
          <w:sz w:val="22"/>
          <w:szCs w:val="22"/>
          <w:lang w:val="lt-LT"/>
        </w:rPr>
      </w:pPr>
      <w:r w:rsidRPr="008E18E6">
        <w:rPr>
          <w:rFonts w:ascii="Cambria" w:hAnsi="Cambria" w:cs="Times New Roman"/>
          <w:color w:val="auto"/>
          <w:sz w:val="22"/>
          <w:szCs w:val="22"/>
        </w:rPr>
        <w:t>5.11</w:t>
      </w:r>
      <w:r w:rsidR="0050768A" w:rsidRPr="008E18E6">
        <w:rPr>
          <w:rFonts w:ascii="Cambria" w:hAnsi="Cambria" w:cs="Times New Roman"/>
          <w:color w:val="auto"/>
          <w:sz w:val="22"/>
          <w:szCs w:val="22"/>
        </w:rPr>
        <w:t>.</w:t>
      </w:r>
      <w:r w:rsidRPr="008E18E6">
        <w:rPr>
          <w:rFonts w:ascii="Cambria" w:hAnsi="Cambria" w:cs="Times New Roman"/>
          <w:color w:val="auto"/>
          <w:sz w:val="22"/>
          <w:szCs w:val="22"/>
        </w:rPr>
        <w:t>11.</w:t>
      </w:r>
      <w:r w:rsidR="0050768A" w:rsidRPr="00E646AF">
        <w:rPr>
          <w:rFonts w:ascii="Cambria" w:hAnsi="Cambria" w:cs="Times New Roman"/>
          <w:b/>
          <w:color w:val="auto"/>
          <w:sz w:val="22"/>
          <w:szCs w:val="22"/>
        </w:rPr>
        <w:t xml:space="preserve"> </w:t>
      </w:r>
      <w:r w:rsidR="00937BD4" w:rsidRPr="00937BD4">
        <w:rPr>
          <w:rFonts w:ascii="Cambria" w:hAnsi="Cambria"/>
          <w:b/>
          <w:sz w:val="22"/>
          <w:szCs w:val="22"/>
          <w:lang w:val="lt-LT"/>
        </w:rPr>
        <w:t xml:space="preserve">Kartu su pasiūlymu </w:t>
      </w:r>
      <w:r w:rsidR="00DE2B67">
        <w:rPr>
          <w:rFonts w:ascii="Cambria" w:hAnsi="Cambria"/>
          <w:b/>
          <w:sz w:val="22"/>
          <w:szCs w:val="22"/>
          <w:lang w:val="lt-LT"/>
        </w:rPr>
        <w:t xml:space="preserve">turi būti pateikti techninės specifikacijos papildomų reikalavimų </w:t>
      </w:r>
      <w:r w:rsidR="00DD554E">
        <w:rPr>
          <w:rFonts w:ascii="Cambria" w:hAnsi="Cambria"/>
          <w:b/>
          <w:sz w:val="22"/>
          <w:szCs w:val="22"/>
          <w:lang w:val="lt-LT"/>
        </w:rPr>
        <w:t>5 punkte nurodyto reikalavimo atitikimą patvirtinantys dokumentai (skaitmeninės jų kopijos)</w:t>
      </w:r>
      <w:r w:rsidR="00937BD4" w:rsidRPr="00937BD4">
        <w:rPr>
          <w:rFonts w:ascii="Cambria" w:hAnsi="Cambria"/>
          <w:b/>
          <w:sz w:val="22"/>
          <w:szCs w:val="22"/>
          <w:lang w:val="lt-LT"/>
        </w:rPr>
        <w:t xml:space="preserve">. </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DD554E"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sidRPr="00DD554E">
        <w:rPr>
          <w:rFonts w:ascii="Cambria" w:hAnsi="Cambria" w:cs="Times New Roman"/>
          <w:b/>
          <w:sz w:val="22"/>
          <w:szCs w:val="22"/>
        </w:rPr>
        <w:t>5.13</w:t>
      </w:r>
      <w:r w:rsidRPr="00DD554E">
        <w:rPr>
          <w:rFonts w:ascii="Cambria" w:hAnsi="Cambria" w:cs="Times New Roman"/>
          <w:b/>
          <w:sz w:val="22"/>
          <w:szCs w:val="22"/>
        </w:rPr>
        <w:t>. Pasiūlymas turi būti pasiraš</w:t>
      </w:r>
      <w:r w:rsidRPr="00DD554E">
        <w:rPr>
          <w:rFonts w:ascii="Cambria" w:hAnsi="Cambria" w:cs="Times New Roman"/>
          <w:b/>
          <w:sz w:val="22"/>
          <w:szCs w:val="22"/>
          <w:lang w:val="sv-SE"/>
        </w:rPr>
        <w:t xml:space="preserve">ytas </w:t>
      </w:r>
      <w:r w:rsidR="001A033D" w:rsidRPr="00DD554E">
        <w:rPr>
          <w:rFonts w:ascii="Cambria" w:hAnsi="Cambria" w:cs="Times New Roman"/>
          <w:b/>
          <w:sz w:val="22"/>
          <w:szCs w:val="22"/>
        </w:rPr>
        <w:t>parašu.</w:t>
      </w:r>
      <w:r w:rsidR="00AC0849" w:rsidRPr="00DD554E">
        <w:rPr>
          <w:rFonts w:ascii="Cambria" w:hAnsi="Cambria" w:cs="Times New Roman"/>
          <w:b/>
          <w:sz w:val="22"/>
          <w:szCs w:val="22"/>
        </w:rPr>
        <w:t xml:space="preserve"> </w:t>
      </w:r>
      <w:r w:rsidR="00AC0849" w:rsidRPr="00DD554E">
        <w:rPr>
          <w:rFonts w:ascii="Cambria" w:hAnsi="Cambria"/>
          <w:b/>
          <w:sz w:val="22"/>
          <w:szCs w:val="22"/>
        </w:rPr>
        <w:t>Jei pasiūlymą pateikia ir pasirašo įgaliotas asmuo, kartu su pasiūlymu turi būti pateiktas įgaliojim</w:t>
      </w:r>
      <w:r w:rsidR="00937BD4" w:rsidRPr="00DD554E">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 xml:space="preserve">ali būti, pavyzdžiui, komercinė (gamybinė) paslaptis ir konfidencialieji </w:t>
      </w:r>
      <w:r w:rsidR="00323E1A" w:rsidRPr="00854972">
        <w:rPr>
          <w:rFonts w:ascii="Cambria" w:hAnsi="Cambria" w:cs="Times New Roman"/>
          <w:sz w:val="22"/>
          <w:szCs w:val="22"/>
        </w:rPr>
        <w:lastRenderedPageBreak/>
        <w:t>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E063AC" w:rsidP="003D5E00">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DD554E">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lastRenderedPageBreak/>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B35758" w:rsidRDefault="00B35758" w:rsidP="00937BD4">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reikalaujami. </w:t>
      </w:r>
    </w:p>
    <w:p w:rsidR="00D657F5" w:rsidRPr="00937BD4" w:rsidRDefault="00D657F5" w:rsidP="00937BD4">
      <w:pPr>
        <w:pStyle w:val="Body2"/>
        <w:ind w:firstLine="567"/>
        <w:rPr>
          <w:rFonts w:ascii="Cambria" w:hAnsi="Cambria"/>
          <w:sz w:val="22"/>
          <w:szCs w:val="22"/>
          <w:lang w:val="lt-L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DD554E">
        <w:rPr>
          <w:rFonts w:ascii="Cambria" w:hAnsi="Cambria"/>
          <w:b/>
          <w:iCs/>
          <w:color w:val="548DD4" w:themeColor="text2" w:themeTint="99"/>
          <w:sz w:val="22"/>
          <w:szCs w:val="22"/>
        </w:rPr>
        <w:t>rugpjūčio</w:t>
      </w:r>
      <w:r w:rsidR="000706F8" w:rsidRPr="00854972">
        <w:rPr>
          <w:rFonts w:ascii="Cambria" w:hAnsi="Cambria"/>
          <w:b/>
          <w:iCs/>
          <w:color w:val="548DD4" w:themeColor="text2" w:themeTint="99"/>
          <w:sz w:val="22"/>
          <w:szCs w:val="22"/>
        </w:rPr>
        <w:t xml:space="preserve"> </w:t>
      </w:r>
      <w:r w:rsidR="00DD554E">
        <w:rPr>
          <w:rFonts w:ascii="Cambria" w:hAnsi="Cambria"/>
          <w:b/>
          <w:iCs/>
          <w:color w:val="548DD4" w:themeColor="text2" w:themeTint="99"/>
          <w:sz w:val="22"/>
          <w:szCs w:val="22"/>
        </w:rPr>
        <w:t>1</w:t>
      </w:r>
      <w:r w:rsidR="00C95E97">
        <w:rPr>
          <w:rFonts w:ascii="Cambria" w:hAnsi="Cambria"/>
          <w:b/>
          <w:iCs/>
          <w:color w:val="548DD4" w:themeColor="text2" w:themeTint="99"/>
          <w:sz w:val="22"/>
          <w:szCs w:val="22"/>
        </w:rPr>
        <w:t>9</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3E7651" w:rsidRPr="003E7651">
        <w:rPr>
          <w:rFonts w:ascii="Cambria" w:hAnsi="Cambria"/>
          <w:b/>
          <w:iCs/>
          <w:color w:val="548DD4" w:themeColor="text2" w:themeTint="99"/>
          <w:sz w:val="22"/>
          <w:szCs w:val="22"/>
        </w:rPr>
        <w:t>10</w:t>
      </w:r>
      <w:r w:rsidR="002E02D3" w:rsidRPr="003E7651">
        <w:rPr>
          <w:rFonts w:ascii="Cambria" w:hAnsi="Cambria"/>
          <w:b/>
          <w:iCs/>
          <w:color w:val="548DD4" w:themeColor="text2" w:themeTint="99"/>
          <w:sz w:val="22"/>
          <w:szCs w:val="22"/>
        </w:rPr>
        <w:t xml:space="preserve"> </w:t>
      </w:r>
      <w:r w:rsidR="003E7651" w:rsidRPr="003E7651">
        <w:rPr>
          <w:rFonts w:ascii="Cambria" w:hAnsi="Cambria"/>
          <w:b/>
          <w:iCs/>
          <w:color w:val="548DD4" w:themeColor="text2" w:themeTint="99"/>
          <w:sz w:val="22"/>
          <w:szCs w:val="22"/>
        </w:rPr>
        <w:t>val. 0</w:t>
      </w:r>
      <w:r w:rsidR="006173BA" w:rsidRPr="003E7651">
        <w:rPr>
          <w:rFonts w:ascii="Cambria" w:hAnsi="Cambria"/>
          <w:b/>
          <w:iCs/>
          <w:color w:val="548DD4" w:themeColor="text2" w:themeTint="99"/>
          <w:sz w:val="22"/>
          <w:szCs w:val="22"/>
        </w:rPr>
        <w:t>0</w:t>
      </w:r>
      <w:r w:rsidR="00BE6A62" w:rsidRPr="003E7651">
        <w:rPr>
          <w:rFonts w:ascii="Cambria" w:hAnsi="Cambria"/>
          <w:b/>
          <w:iCs/>
          <w:color w:val="548DD4" w:themeColor="text2" w:themeTint="99"/>
          <w:sz w:val="22"/>
          <w:szCs w:val="22"/>
        </w:rPr>
        <w:t xml:space="preserve"> </w:t>
      </w:r>
      <w:r w:rsidRPr="003E7651">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DD554E">
        <w:rPr>
          <w:rFonts w:ascii="Cambria" w:hAnsi="Cambria"/>
          <w:b/>
          <w:iCs/>
          <w:color w:val="548DD4" w:themeColor="text2" w:themeTint="99"/>
          <w:sz w:val="22"/>
          <w:szCs w:val="22"/>
          <w:u w:val="single"/>
        </w:rPr>
        <w:t xml:space="preserve"> rugpjūčio</w:t>
      </w:r>
      <w:r w:rsidR="002A5A44" w:rsidRPr="00854972">
        <w:rPr>
          <w:rFonts w:ascii="Cambria" w:hAnsi="Cambria"/>
          <w:b/>
          <w:iCs/>
          <w:color w:val="548DD4" w:themeColor="text2" w:themeTint="99"/>
          <w:sz w:val="22"/>
          <w:szCs w:val="22"/>
          <w:u w:val="single"/>
        </w:rPr>
        <w:t xml:space="preserve"> </w:t>
      </w:r>
      <w:r w:rsidR="00DD554E">
        <w:rPr>
          <w:rFonts w:ascii="Cambria" w:hAnsi="Cambria"/>
          <w:b/>
          <w:iCs/>
          <w:color w:val="548DD4" w:themeColor="text2" w:themeTint="99"/>
          <w:sz w:val="22"/>
          <w:szCs w:val="22"/>
          <w:u w:val="single"/>
        </w:rPr>
        <w:t>1</w:t>
      </w:r>
      <w:r w:rsidR="00C95E97">
        <w:rPr>
          <w:rFonts w:ascii="Cambria" w:hAnsi="Cambria"/>
          <w:b/>
          <w:iCs/>
          <w:color w:val="548DD4" w:themeColor="text2" w:themeTint="99"/>
          <w:sz w:val="22"/>
          <w:szCs w:val="22"/>
          <w:u w:val="single"/>
        </w:rPr>
        <w:t>9</w:t>
      </w:r>
      <w:bookmarkStart w:id="2" w:name="_GoBack"/>
      <w:bookmarkEnd w:id="2"/>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3E7651">
        <w:rPr>
          <w:rFonts w:ascii="Cambria" w:hAnsi="Cambria"/>
          <w:b/>
          <w:iCs/>
          <w:color w:val="548DD4" w:themeColor="text2" w:themeTint="99"/>
          <w:sz w:val="22"/>
          <w:szCs w:val="22"/>
          <w:u w:val="single"/>
        </w:rPr>
        <w:t>09</w:t>
      </w:r>
      <w:r w:rsidR="003E7651" w:rsidRPr="003E7651">
        <w:rPr>
          <w:rFonts w:ascii="Cambria" w:hAnsi="Cambria"/>
          <w:b/>
          <w:iCs/>
          <w:color w:val="548DD4" w:themeColor="text2" w:themeTint="99"/>
          <w:sz w:val="22"/>
          <w:szCs w:val="22"/>
          <w:u w:val="single"/>
        </w:rPr>
        <w:t>.3</w:t>
      </w:r>
      <w:r w:rsidRPr="003E7651">
        <w:rPr>
          <w:rFonts w:ascii="Cambria" w:hAnsi="Cambria"/>
          <w:b/>
          <w:iCs/>
          <w:color w:val="548DD4" w:themeColor="text2" w:themeTint="99"/>
          <w:sz w:val="22"/>
          <w:szCs w:val="22"/>
          <w:u w:val="single"/>
        </w:rPr>
        <w:t xml:space="preserve">0 – </w:t>
      </w:r>
      <w:r w:rsidR="003E7651" w:rsidRPr="003E7651">
        <w:rPr>
          <w:rFonts w:ascii="Cambria" w:hAnsi="Cambria"/>
          <w:b/>
          <w:iCs/>
          <w:color w:val="548DD4" w:themeColor="text2" w:themeTint="99"/>
          <w:sz w:val="22"/>
          <w:szCs w:val="22"/>
          <w:u w:val="single"/>
        </w:rPr>
        <w:t>10.0</w:t>
      </w:r>
      <w:r w:rsidR="00683987" w:rsidRPr="003E7651">
        <w:rPr>
          <w:rFonts w:ascii="Cambria" w:hAnsi="Cambria"/>
          <w:b/>
          <w:iCs/>
          <w:color w:val="548DD4" w:themeColor="text2" w:themeTint="99"/>
          <w:sz w:val="22"/>
          <w:szCs w:val="22"/>
          <w:u w:val="single"/>
        </w:rPr>
        <w:t>0</w:t>
      </w:r>
      <w:r w:rsidRPr="003E7651">
        <w:rPr>
          <w:rFonts w:ascii="Cambria" w:hAnsi="Cambria"/>
          <w:b/>
          <w:iCs/>
          <w:color w:val="548DD4" w:themeColor="text2" w:themeTint="99"/>
          <w:sz w:val="22"/>
          <w:szCs w:val="22"/>
          <w:u w:val="single"/>
        </w:rPr>
        <w:t xml:space="preserve"> val.</w:t>
      </w:r>
      <w:r w:rsidRPr="00DD554E">
        <w:rPr>
          <w:rFonts w:ascii="Cambria" w:hAnsi="Cambria"/>
          <w:b/>
          <w:iCs/>
          <w:color w:val="FF0000"/>
          <w:sz w:val="22"/>
          <w:szCs w:val="22"/>
          <w:u w:val="single"/>
        </w:rPr>
        <w:t xml:space="preserve"> </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w:t>
      </w:r>
      <w:r w:rsidRPr="00854972">
        <w:rPr>
          <w:rFonts w:ascii="Cambria" w:hAnsi="Cambria" w:cs="Times New Roman"/>
          <w:color w:val="auto"/>
          <w:sz w:val="22"/>
          <w:szCs w:val="22"/>
          <w:lang w:val="lt-LT"/>
        </w:rPr>
        <w:lastRenderedPageBreak/>
        <w:t>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3D663F" w:rsidRDefault="003D663F"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3D663F">
        <w:rPr>
          <w:rFonts w:ascii="Cambria" w:hAnsi="Cambria"/>
          <w:color w:val="000000"/>
          <w:sz w:val="22"/>
          <w:szCs w:val="22"/>
          <w:lang w:val="sv-SE" w:eastAsia="lt-LT"/>
        </w:rPr>
        <w:t>Perkan</w:t>
      </w:r>
      <w:r w:rsidRPr="003D663F">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3D663F">
        <w:rPr>
          <w:rFonts w:ascii="Cambria" w:hAnsi="Cambria"/>
          <w:color w:val="000000"/>
          <w:sz w:val="22"/>
          <w:szCs w:val="22"/>
          <w:lang w:val="fr-FR" w:eastAsia="lt-LT"/>
        </w:rPr>
        <w:t>iant susipa</w:t>
      </w:r>
      <w:r w:rsidRPr="003D663F">
        <w:rPr>
          <w:rFonts w:ascii="Cambria" w:hAnsi="Cambria"/>
          <w:color w:val="000000"/>
          <w:sz w:val="22"/>
          <w:szCs w:val="22"/>
          <w:lang w:eastAsia="lt-LT"/>
        </w:rPr>
        <w:t>ž</w:t>
      </w:r>
      <w:r w:rsidRPr="003D663F">
        <w:rPr>
          <w:rFonts w:ascii="Cambria" w:hAnsi="Cambria"/>
          <w:color w:val="000000"/>
          <w:sz w:val="22"/>
          <w:szCs w:val="22"/>
          <w:lang w:val="es-ES_tradnl" w:eastAsia="lt-LT"/>
        </w:rPr>
        <w:t>inimo su pasi</w:t>
      </w:r>
      <w:r w:rsidRPr="003D663F">
        <w:rPr>
          <w:rFonts w:ascii="Cambria" w:hAnsi="Cambria"/>
          <w:color w:val="000000"/>
          <w:sz w:val="22"/>
          <w:szCs w:val="22"/>
          <w:lang w:eastAsia="lt-LT"/>
        </w:rPr>
        <w:t>ū</w:t>
      </w:r>
      <w:r w:rsidRPr="003D663F">
        <w:rPr>
          <w:rFonts w:ascii="Cambria" w:hAnsi="Cambria"/>
          <w:color w:val="000000"/>
          <w:sz w:val="22"/>
          <w:szCs w:val="22"/>
          <w:lang w:val="fr-FR" w:eastAsia="lt-LT"/>
        </w:rPr>
        <w:t>lymais metu u</w:t>
      </w:r>
      <w:r w:rsidRPr="003D663F">
        <w:rPr>
          <w:rFonts w:ascii="Cambria" w:hAnsi="Cambria"/>
          <w:color w:val="000000"/>
          <w:sz w:val="22"/>
          <w:szCs w:val="22"/>
          <w:lang w:eastAsia="lt-LT"/>
        </w:rPr>
        <w:t>žfiksuotos kainos ar sąnaudų</w:t>
      </w:r>
      <w:r w:rsidRPr="003D663F">
        <w:rPr>
          <w:rFonts w:ascii="Cambria" w:hAnsi="Cambria"/>
          <w:color w:val="000000"/>
          <w:sz w:val="22"/>
          <w:szCs w:val="22"/>
          <w:lang w:val="es-ES_tradnl" w:eastAsia="lt-LT"/>
        </w:rPr>
        <w:t>. Taisydamas pasi</w:t>
      </w:r>
      <w:r w:rsidRPr="003D663F">
        <w:rPr>
          <w:rFonts w:ascii="Cambria" w:hAnsi="Cambria"/>
          <w:color w:val="000000"/>
          <w:sz w:val="22"/>
          <w:szCs w:val="22"/>
          <w:lang w:eastAsia="lt-LT"/>
        </w:rPr>
        <w:t xml:space="preserve">ūlyme nurodytas aritmetines klaidas, dalyvis gali taisyti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ą</w:t>
      </w:r>
      <w:r w:rsidRPr="003D663F">
        <w:rPr>
          <w:rFonts w:ascii="Cambria" w:hAnsi="Cambria"/>
          <w:color w:val="000000"/>
          <w:sz w:val="22"/>
          <w:szCs w:val="22"/>
          <w:lang w:val="pt-PT" w:eastAsia="lt-LT"/>
        </w:rPr>
        <w:t>sias dalis, ta</w:t>
      </w:r>
      <w:r w:rsidRPr="003D663F">
        <w:rPr>
          <w:rFonts w:ascii="Cambria" w:hAnsi="Cambria"/>
          <w:color w:val="000000"/>
          <w:sz w:val="22"/>
          <w:szCs w:val="22"/>
          <w:lang w:eastAsia="lt-LT"/>
        </w:rPr>
        <w:t xml:space="preserve">čiau neturi teisės atsisakyti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 xml:space="preserve">ųjų </w:t>
      </w:r>
      <w:r w:rsidRPr="003D663F">
        <w:rPr>
          <w:rFonts w:ascii="Cambria" w:hAnsi="Cambria"/>
          <w:color w:val="000000"/>
          <w:sz w:val="22"/>
          <w:szCs w:val="22"/>
          <w:lang w:val="it-IT" w:eastAsia="lt-LT"/>
        </w:rPr>
        <w:t>dali</w:t>
      </w:r>
      <w:r w:rsidRPr="003D663F">
        <w:rPr>
          <w:rFonts w:ascii="Cambria" w:hAnsi="Cambria"/>
          <w:color w:val="000000"/>
          <w:sz w:val="22"/>
          <w:szCs w:val="22"/>
          <w:lang w:eastAsia="lt-LT"/>
        </w:rPr>
        <w:t>ų arba papildyti kainą ar są</w:t>
      </w:r>
      <w:r w:rsidRPr="003D663F">
        <w:rPr>
          <w:rFonts w:ascii="Cambria" w:hAnsi="Cambria"/>
          <w:color w:val="000000"/>
          <w:sz w:val="22"/>
          <w:szCs w:val="22"/>
          <w:lang w:val="fr-FR" w:eastAsia="lt-LT"/>
        </w:rPr>
        <w:t>naudas naujomis dalimis.</w:t>
      </w:r>
    </w:p>
    <w:p w:rsidR="00E32486" w:rsidRPr="00E32486" w:rsidRDefault="003D663F"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 xml:space="preserve">Iškilus klausimams </w:t>
      </w:r>
      <w:proofErr w:type="gramStart"/>
      <w:r w:rsidR="00E32486" w:rsidRPr="00E32486">
        <w:rPr>
          <w:rFonts w:ascii="Cambria" w:hAnsi="Cambria"/>
          <w:color w:val="000000"/>
          <w:sz w:val="22"/>
          <w:szCs w:val="22"/>
          <w:lang w:val="en-US" w:eastAsia="lt-LT"/>
        </w:rPr>
        <w:t>dė</w:t>
      </w:r>
      <w:r w:rsidR="00E32486" w:rsidRPr="00E32486">
        <w:rPr>
          <w:rFonts w:ascii="Cambria" w:hAnsi="Cambria"/>
          <w:color w:val="000000"/>
          <w:sz w:val="22"/>
          <w:szCs w:val="22"/>
          <w:lang w:val="es-ES_tradnl" w:eastAsia="lt-LT"/>
        </w:rPr>
        <w:t>l</w:t>
      </w:r>
      <w:proofErr w:type="gramEnd"/>
      <w:r w:rsidR="00E32486" w:rsidRPr="00E32486">
        <w:rPr>
          <w:rFonts w:ascii="Cambria" w:hAnsi="Cambria"/>
          <w:color w:val="000000"/>
          <w:sz w:val="22"/>
          <w:szCs w:val="22"/>
          <w:lang w:val="es-ES_tradnl" w:eastAsia="lt-LT"/>
        </w:rPr>
        <w:t xml:space="preserve">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w:t>
      </w:r>
      <w:r w:rsidR="003D663F">
        <w:rPr>
          <w:rFonts w:ascii="Cambria" w:hAnsi="Cambria"/>
          <w:color w:val="000000"/>
          <w:sz w:val="22"/>
          <w:szCs w:val="22"/>
          <w:lang w:eastAsia="lt-LT"/>
        </w:rPr>
        <w:t>6</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3D663F">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657F5" w:rsidRDefault="00D657F5" w:rsidP="00D657F5">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3D663F">
        <w:rPr>
          <w:rFonts w:ascii="Cambria" w:hAnsi="Cambria"/>
          <w:color w:val="000000"/>
          <w:sz w:val="22"/>
          <w:szCs w:val="22"/>
          <w:lang w:eastAsia="lt-LT"/>
        </w:rPr>
        <w:t>8</w:t>
      </w:r>
      <w:r>
        <w:rPr>
          <w:rFonts w:ascii="Cambria" w:hAnsi="Cambria"/>
          <w:color w:val="000000"/>
          <w:sz w:val="22"/>
          <w:szCs w:val="22"/>
          <w:lang w:eastAsia="lt-LT"/>
        </w:rPr>
        <w:t xml:space="preserve">. </w:t>
      </w:r>
      <w:r w:rsidRPr="00D657F5">
        <w:rPr>
          <w:rFonts w:ascii="Cambria" w:hAnsi="Cambria"/>
          <w:color w:val="000000"/>
          <w:sz w:val="22"/>
          <w:szCs w:val="22"/>
          <w:lang w:eastAsia="lt-LT"/>
        </w:rPr>
        <w:t>Perkančioji organizacija atmes tiekėjo pasiūlymą, kaip neatitinkantį pirkimo dokumentuose nustatytų reikalavimų, jeigu kartu su pasiūlymu nebus pateikti pirkimo sąlygų 5.11.2, 5.11.</w:t>
      </w:r>
      <w:r w:rsidR="008E18E6">
        <w:rPr>
          <w:rFonts w:ascii="Cambria" w:hAnsi="Cambria"/>
          <w:color w:val="000000"/>
          <w:sz w:val="22"/>
          <w:szCs w:val="22"/>
          <w:lang w:eastAsia="lt-LT"/>
        </w:rPr>
        <w:t>9</w:t>
      </w:r>
      <w:r w:rsidRPr="00D657F5">
        <w:rPr>
          <w:rFonts w:ascii="Cambria" w:hAnsi="Cambria"/>
          <w:color w:val="000000"/>
          <w:sz w:val="22"/>
          <w:szCs w:val="22"/>
          <w:lang w:eastAsia="lt-LT"/>
        </w:rPr>
        <w:t>, 5.11.1</w:t>
      </w:r>
      <w:r w:rsidR="008E18E6">
        <w:rPr>
          <w:rFonts w:ascii="Cambria" w:hAnsi="Cambria"/>
          <w:color w:val="000000"/>
          <w:sz w:val="22"/>
          <w:szCs w:val="22"/>
          <w:lang w:eastAsia="lt-LT"/>
        </w:rPr>
        <w:t xml:space="preserve">1 </w:t>
      </w:r>
      <w:r w:rsidRPr="00D657F5">
        <w:rPr>
          <w:rFonts w:ascii="Cambria" w:hAnsi="Cambria"/>
          <w:color w:val="000000"/>
          <w:sz w:val="22"/>
          <w:szCs w:val="22"/>
          <w:lang w:eastAsia="lt-LT"/>
        </w:rPr>
        <w:t xml:space="preserve">punktuose nurodyti dokumentai. </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3D663F" w:rsidRDefault="003D663F" w:rsidP="009033D4">
      <w:pPr>
        <w:pStyle w:val="Body2"/>
        <w:tabs>
          <w:tab w:val="left" w:pos="567"/>
        </w:tabs>
        <w:spacing w:after="0"/>
        <w:rPr>
          <w:rFonts w:ascii="Cambria" w:hAnsi="Cambria" w:cs="Times New Roman"/>
          <w:color w:val="auto"/>
          <w:sz w:val="22"/>
          <w:szCs w:val="22"/>
        </w:rPr>
      </w:pPr>
    </w:p>
    <w:p w:rsidR="003D663F" w:rsidRDefault="003D663F" w:rsidP="009033D4">
      <w:pPr>
        <w:pStyle w:val="Body2"/>
        <w:tabs>
          <w:tab w:val="left" w:pos="567"/>
        </w:tabs>
        <w:spacing w:after="0"/>
        <w:rPr>
          <w:rFonts w:ascii="Cambria" w:hAnsi="Cambria" w:cs="Times New Roman"/>
          <w:color w:val="auto"/>
          <w:sz w:val="22"/>
          <w:szCs w:val="22"/>
        </w:rPr>
      </w:pP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 xml:space="preserve">13.1.7. </w:t>
      </w:r>
      <w:proofErr w:type="gramStart"/>
      <w:r w:rsidR="00D657F5" w:rsidRPr="00D657F5">
        <w:rPr>
          <w:rFonts w:ascii="Cambria" w:hAnsi="Cambria"/>
          <w:color w:val="000000"/>
          <w:sz w:val="22"/>
          <w:szCs w:val="22"/>
          <w:lang w:eastAsia="lt-LT"/>
        </w:rPr>
        <w:t>pasiūlymas</w:t>
      </w:r>
      <w:proofErr w:type="gramEnd"/>
      <w:r w:rsidR="00D657F5" w:rsidRPr="00D657F5">
        <w:rPr>
          <w:rFonts w:ascii="Cambria" w:hAnsi="Cambria"/>
          <w:color w:val="000000"/>
          <w:sz w:val="22"/>
          <w:szCs w:val="22"/>
          <w:lang w:eastAsia="lt-LT"/>
        </w:rPr>
        <w:t xml:space="preserve"> neatitinka pirkimo dokumentuose nustatytų reikalavimų</w:t>
      </w:r>
      <w:r w:rsidRPr="00E32486">
        <w:rPr>
          <w:rFonts w:ascii="Cambria" w:hAnsi="Cambria"/>
          <w:color w:val="000000"/>
          <w:sz w:val="22"/>
          <w:szCs w:val="22"/>
          <w:lang w:val="en-US" w:eastAsia="lt-LT"/>
        </w:rPr>
        <w:t>;</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lastRenderedPageBreak/>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82408C" w:rsidRPr="0082408C">
        <w:rPr>
          <w:rFonts w:ascii="Cambria" w:hAnsi="Cambria"/>
          <w:color w:val="000000"/>
          <w:sz w:val="22"/>
          <w:szCs w:val="22"/>
          <w:lang w:val="en-US" w:eastAsia="lt-LT"/>
        </w:rPr>
        <w:t>Prekių viešojo pirkimo–pardavimo sutarties specialiosios sąlygos</w:t>
      </w:r>
      <w:r w:rsidR="0082408C" w:rsidRPr="0082408C">
        <w:rPr>
          <w:rFonts w:ascii="Cambria" w:hAnsi="Cambria"/>
          <w:color w:val="000000"/>
          <w:sz w:val="22"/>
          <w:szCs w:val="22"/>
          <w:lang w:eastAsia="lt-LT"/>
        </w:rPr>
        <w:t xml:space="preserve"> (2 priedas) ir p</w:t>
      </w:r>
      <w:r w:rsidR="0082408C" w:rsidRPr="0082408C">
        <w:rPr>
          <w:rFonts w:ascii="Cambria" w:hAnsi="Cambria"/>
          <w:color w:val="000000"/>
          <w:sz w:val="22"/>
          <w:szCs w:val="22"/>
          <w:lang w:val="en-US" w:eastAsia="lt-LT"/>
        </w:rPr>
        <w:t>rekių pirkimo–pardavimo sutarties bendrosios sąlygos</w:t>
      </w:r>
      <w:r w:rsidR="0082408C">
        <w:rPr>
          <w:rFonts w:ascii="Cambria" w:hAnsi="Cambria"/>
          <w:color w:val="000000"/>
          <w:sz w:val="22"/>
          <w:szCs w:val="22"/>
          <w:lang w:eastAsia="lt-LT"/>
        </w:rPr>
        <w:t xml:space="preserve"> (</w:t>
      </w:r>
      <w:r w:rsidR="0082408C">
        <w:rPr>
          <w:rFonts w:ascii="Cambria" w:hAnsi="Cambria"/>
          <w:color w:val="000000"/>
          <w:sz w:val="22"/>
          <w:szCs w:val="22"/>
          <w:lang w:val="en-US" w:eastAsia="lt-LT"/>
        </w:rPr>
        <w:t>8</w:t>
      </w:r>
      <w:r w:rsidR="0082408C" w:rsidRPr="0082408C">
        <w:rPr>
          <w:rFonts w:ascii="Cambria" w:hAnsi="Cambria"/>
          <w:color w:val="000000"/>
          <w:sz w:val="22"/>
          <w:szCs w:val="22"/>
          <w:lang w:eastAsia="lt-LT"/>
        </w:rPr>
        <w:t xml:space="preserve"> priedas).</w:t>
      </w:r>
    </w:p>
    <w:p w:rsidR="00DD554E"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ali pradinės sutarties vertė</w:t>
      </w:r>
      <w:r w:rsidR="00DD554E">
        <w:rPr>
          <w:rFonts w:ascii="Cambria" w:hAnsi="Cambria"/>
          <w:color w:val="000000"/>
          <w:sz w:val="22"/>
          <w:szCs w:val="22"/>
          <w:lang w:val="en-US" w:eastAsia="lt-LT"/>
        </w:rPr>
        <w:t>:</w:t>
      </w:r>
    </w:p>
    <w:p w:rsid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17.3.1.</w:t>
      </w:r>
      <w:r w:rsidR="00937BD4">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I pirkimo </w:t>
      </w:r>
      <w:proofErr w:type="gramStart"/>
      <w:r>
        <w:rPr>
          <w:rFonts w:ascii="Cambria" w:hAnsi="Cambria"/>
          <w:color w:val="000000"/>
          <w:sz w:val="22"/>
          <w:szCs w:val="22"/>
          <w:lang w:val="en-US" w:eastAsia="lt-LT"/>
        </w:rPr>
        <w:t>dalis</w:t>
      </w:r>
      <w:proofErr w:type="gramEnd"/>
      <w:r>
        <w:rPr>
          <w:rFonts w:ascii="Cambria" w:hAnsi="Cambria"/>
          <w:color w:val="000000"/>
          <w:sz w:val="22"/>
          <w:szCs w:val="22"/>
          <w:lang w:val="en-US" w:eastAsia="lt-LT"/>
        </w:rPr>
        <w:t>. Gipskartonio plokštės ir profiliai 4</w:t>
      </w:r>
      <w:r w:rsidR="008E18E6">
        <w:rPr>
          <w:rFonts w:ascii="Cambria" w:hAnsi="Cambria"/>
          <w:color w:val="000000"/>
          <w:sz w:val="22"/>
          <w:szCs w:val="22"/>
          <w:lang w:val="en-US" w:eastAsia="lt-LT"/>
        </w:rPr>
        <w:t>5</w:t>
      </w:r>
      <w:r>
        <w:rPr>
          <w:rFonts w:ascii="Cambria" w:hAnsi="Cambria"/>
          <w:color w:val="000000"/>
          <w:sz w:val="22"/>
          <w:szCs w:val="22"/>
          <w:lang w:val="en-US" w:eastAsia="lt-LT"/>
        </w:rPr>
        <w:t>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DD554E" w:rsidRP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 xml:space="preserve">17.3.2. II pirkimo </w:t>
      </w:r>
      <w:proofErr w:type="gramStart"/>
      <w:r>
        <w:rPr>
          <w:rFonts w:ascii="Cambria" w:hAnsi="Cambria"/>
          <w:color w:val="000000"/>
          <w:sz w:val="22"/>
          <w:szCs w:val="22"/>
          <w:lang w:val="en-US" w:eastAsia="lt-LT"/>
        </w:rPr>
        <w:t>dalis</w:t>
      </w:r>
      <w:proofErr w:type="gramEnd"/>
      <w:r>
        <w:rPr>
          <w:rFonts w:ascii="Cambria" w:hAnsi="Cambria"/>
          <w:color w:val="000000"/>
          <w:sz w:val="22"/>
          <w:szCs w:val="22"/>
          <w:lang w:val="en-US" w:eastAsia="lt-LT"/>
        </w:rPr>
        <w:t>. Pakabinamos lubos ir jų dalys 85 000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DD554E">
        <w:rPr>
          <w:rFonts w:ascii="Cambria" w:hAnsi="Cambria"/>
          <w:b/>
          <w:bCs/>
          <w:sz w:val="22"/>
          <w:szCs w:val="22"/>
        </w:rPr>
        <w:t>GIPSO IR AKMENS VATOS GAMINIŲ</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Pr="008E18E6"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lastRenderedPageBreak/>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937BD4" w:rsidRPr="00104F0C" w:rsidRDefault="00937BD4" w:rsidP="00937BD4">
      <w:pPr>
        <w:jc w:val="center"/>
        <w:rPr>
          <w:rFonts w:ascii="Cambria" w:hAnsi="Cambria"/>
          <w:b/>
          <w:color w:val="FF0000"/>
          <w:sz w:val="22"/>
          <w:szCs w:val="22"/>
          <w:u w:val="single"/>
        </w:rPr>
      </w:pPr>
      <w:r w:rsidRPr="00104F0C">
        <w:rPr>
          <w:rFonts w:ascii="Cambria" w:hAnsi="Cambria"/>
          <w:b/>
          <w:color w:val="FF0000"/>
          <w:sz w:val="22"/>
          <w:szCs w:val="22"/>
          <w:u w:val="single"/>
        </w:rPr>
        <w:t>Pildoma pasiūlymo lentelė „Kainų pasiūlymo lentelė“ (5 priedas).</w:t>
      </w:r>
    </w:p>
    <w:p w:rsidR="00937BD4" w:rsidRDefault="00937BD4" w:rsidP="00937BD4">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w:t>
      </w:r>
      <w:r w:rsidR="00F7443D">
        <w:rPr>
          <w:rFonts w:ascii="Cambria" w:eastAsia="Times New Roman" w:hAnsi="Cambria"/>
          <w:b/>
          <w:sz w:val="22"/>
          <w:szCs w:val="22"/>
          <w:u w:val="single"/>
        </w:rPr>
        <w:t>Kainų pasiūlymo lentelė</w:t>
      </w:r>
      <w:r w:rsidRPr="00164C2C">
        <w:rPr>
          <w:rFonts w:ascii="Cambria" w:eastAsia="Times New Roman" w:hAnsi="Cambria"/>
          <w:b/>
          <w:sz w:val="22"/>
          <w:szCs w:val="22"/>
          <w:u w:val="single"/>
        </w:rPr>
        <w:t>“ (</w:t>
      </w:r>
      <w:r w:rsidR="00F7443D">
        <w:rPr>
          <w:rFonts w:ascii="Cambria" w:eastAsia="Times New Roman" w:hAnsi="Cambria"/>
          <w:b/>
          <w:sz w:val="22"/>
          <w:szCs w:val="22"/>
          <w:u w:val="single"/>
        </w:rPr>
        <w:t>5</w:t>
      </w:r>
      <w:r w:rsidRPr="00164C2C">
        <w:rPr>
          <w:rFonts w:ascii="Cambria" w:eastAsia="Times New Roman" w:hAnsi="Cambria"/>
          <w:b/>
          <w:sz w:val="22"/>
          <w:szCs w:val="22"/>
          <w:u w:val="single"/>
        </w:rPr>
        <w:t xml:space="preserve">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Lentelė privalo būti pildoma pagal visus pirkimo dokumentuose nurodytus klausimus/reikalav</w:t>
      </w:r>
      <w:r w:rsidR="00DD554E">
        <w:rPr>
          <w:rFonts w:ascii="Cambria" w:eastAsia="Times New Roman" w:hAnsi="Cambria"/>
          <w:i/>
          <w:sz w:val="22"/>
          <w:szCs w:val="22"/>
        </w:rPr>
        <w:t xml:space="preserve">imus </w:t>
      </w:r>
      <w:r w:rsidRPr="00164C2C">
        <w:rPr>
          <w:rFonts w:ascii="Cambria" w:eastAsia="Times New Roman" w:hAnsi="Cambria"/>
          <w:i/>
          <w:sz w:val="22"/>
          <w:szCs w:val="22"/>
        </w:rPr>
        <w:t xml:space="preserve">jų eilės tvarka, būtina išsamiai aprašyti siūlomos prekės visas savybes pagal visus techninės specifikacijos reikalavimų punktus, nurodant konkrečias siūlomos prekės charakteristikas.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AB50A2">
        <w:rPr>
          <w:rFonts w:ascii="Cambria" w:eastAsia="Calibri" w:hAnsi="Cambria"/>
          <w:b/>
          <w:i/>
          <w:sz w:val="22"/>
          <w:szCs w:val="22"/>
        </w:rPr>
        <w:t>„</w:t>
      </w:r>
      <w:r w:rsidR="00DD554E" w:rsidRPr="00DD554E">
        <w:rPr>
          <w:rFonts w:ascii="Cambria" w:eastAsia="Calibri" w:hAnsi="Cambria"/>
          <w:b/>
          <w:i/>
          <w:sz w:val="22"/>
          <w:szCs w:val="22"/>
        </w:rPr>
        <w:t>Siūlomos prekės pavadinimas ir techninė specifikacija, gamintojas ir modelis</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937BD4" w:rsidRPr="00104F0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937BD4" w:rsidP="00937BD4">
            <w:pPr>
              <w:ind w:right="34"/>
              <w:jc w:val="both"/>
              <w:rPr>
                <w:rFonts w:ascii="Cambria" w:hAnsi="Cambria"/>
                <w:sz w:val="22"/>
                <w:szCs w:val="22"/>
              </w:rPr>
            </w:pPr>
            <w:r w:rsidRPr="00164C2C">
              <w:rPr>
                <w:rFonts w:ascii="Cambria" w:hAnsi="Cambria"/>
                <w:sz w:val="22"/>
                <w:szCs w:val="22"/>
              </w:rPr>
              <w:t xml:space="preserve">            </w:t>
            </w:r>
            <w:r w:rsidR="00D841A8">
              <w:rPr>
                <w:rFonts w:ascii="Cambria" w:hAnsi="Cambria"/>
                <w:sz w:val="22"/>
                <w:szCs w:val="22"/>
              </w:rPr>
              <w:t xml:space="preserve">Pastaba: </w:t>
            </w:r>
            <w:r w:rsidR="00D841A8" w:rsidRPr="00D841A8">
              <w:rPr>
                <w:rFonts w:ascii="Cambria" w:hAnsi="Cambria"/>
                <w:b/>
                <w:sz w:val="22"/>
                <w:szCs w:val="22"/>
              </w:rPr>
              <w:t>Perkančioji organizacija atmes tiekėjo pasiūlymą</w:t>
            </w:r>
            <w:r w:rsidR="00D841A8">
              <w:rPr>
                <w:rFonts w:ascii="Cambria" w:hAnsi="Cambria"/>
                <w:sz w:val="22"/>
                <w:szCs w:val="22"/>
              </w:rPr>
              <w:t xml:space="preserve">, kaip neatitinkantį pirkimo dokumentuose nustatytų reikalavimų, </w:t>
            </w:r>
            <w:r w:rsidR="00D841A8" w:rsidRPr="00D841A8">
              <w:rPr>
                <w:rFonts w:ascii="Cambria" w:hAnsi="Cambria"/>
                <w:b/>
                <w:sz w:val="22"/>
                <w:szCs w:val="22"/>
              </w:rPr>
              <w:t>jeigu kartu su pasiūlymus nebus pateikti pirkimo s</w:t>
            </w:r>
            <w:r w:rsidR="00D841A8">
              <w:rPr>
                <w:rFonts w:ascii="Cambria" w:hAnsi="Cambria"/>
                <w:b/>
                <w:sz w:val="22"/>
                <w:szCs w:val="22"/>
              </w:rPr>
              <w:t>ąlygų 5.11.2., 5.11.9., 5.11.11</w:t>
            </w:r>
            <w:r w:rsidR="00D841A8">
              <w:rPr>
                <w:rFonts w:ascii="Cambria" w:hAnsi="Cambria"/>
                <w:sz w:val="22"/>
                <w:szCs w:val="22"/>
              </w:rPr>
              <w:t xml:space="preserve"> punktuose nurodyti dokumentai.</w:t>
            </w:r>
            <w:r w:rsidRPr="00164C2C">
              <w:rPr>
                <w:rFonts w:ascii="Cambria" w:hAnsi="Cambria"/>
                <w:sz w:val="22"/>
                <w:szCs w:val="22"/>
              </w:rPr>
              <w:t xml:space="preserve">  </w:t>
            </w:r>
          </w:p>
          <w:p w:rsidR="00D841A8" w:rsidRDefault="00D841A8"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DD554E" w:rsidRPr="00164C2C" w:rsidRDefault="00DD554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D7" w:rsidRDefault="008357D7" w:rsidP="00D348FD">
      <w:r>
        <w:separator/>
      </w:r>
    </w:p>
  </w:endnote>
  <w:endnote w:type="continuationSeparator" w:id="0">
    <w:p w:rsidR="008357D7" w:rsidRDefault="008357D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Default="00891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Default="00891769">
    <w:pPr>
      <w:pStyle w:val="Footer"/>
      <w:jc w:val="right"/>
    </w:pPr>
  </w:p>
  <w:p w:rsidR="00891769" w:rsidRDefault="00891769">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Default="00891769">
    <w:pPr>
      <w:pStyle w:val="Footer"/>
      <w:jc w:val="right"/>
    </w:pPr>
  </w:p>
  <w:p w:rsidR="00891769" w:rsidRDefault="00891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D7" w:rsidRDefault="008357D7" w:rsidP="00D348FD">
      <w:r>
        <w:separator/>
      </w:r>
    </w:p>
  </w:footnote>
  <w:footnote w:type="continuationSeparator" w:id="0">
    <w:p w:rsidR="008357D7" w:rsidRDefault="008357D7" w:rsidP="00D348FD">
      <w:r>
        <w:continuationSeparator/>
      </w:r>
    </w:p>
  </w:footnote>
  <w:footnote w:id="1">
    <w:p w:rsidR="00891769" w:rsidRPr="00380358" w:rsidRDefault="00891769"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1769" w:rsidRPr="00380358" w:rsidRDefault="00891769"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891769" w:rsidRDefault="00891769"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Default="00891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Pr="00937BD4" w:rsidRDefault="00891769"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69" w:rsidRDefault="00891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0EF1"/>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D4203"/>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D663F"/>
    <w:rsid w:val="003E3681"/>
    <w:rsid w:val="003E7651"/>
    <w:rsid w:val="003F191A"/>
    <w:rsid w:val="003F314D"/>
    <w:rsid w:val="004004A6"/>
    <w:rsid w:val="00404831"/>
    <w:rsid w:val="00406A1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B1EF7"/>
    <w:rsid w:val="004D5120"/>
    <w:rsid w:val="004D6DE9"/>
    <w:rsid w:val="004E5EF9"/>
    <w:rsid w:val="004E65B4"/>
    <w:rsid w:val="004F0AFB"/>
    <w:rsid w:val="004F4664"/>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F59CF"/>
    <w:rsid w:val="00700BA6"/>
    <w:rsid w:val="007016D2"/>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1A1E"/>
    <w:rsid w:val="007D7C9B"/>
    <w:rsid w:val="007E6CCC"/>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57D7"/>
    <w:rsid w:val="00837416"/>
    <w:rsid w:val="00854972"/>
    <w:rsid w:val="00856B92"/>
    <w:rsid w:val="00864B9D"/>
    <w:rsid w:val="008673A7"/>
    <w:rsid w:val="00871F43"/>
    <w:rsid w:val="0088178B"/>
    <w:rsid w:val="008850F6"/>
    <w:rsid w:val="00885D7E"/>
    <w:rsid w:val="00886BA5"/>
    <w:rsid w:val="00891769"/>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E6C03"/>
    <w:rsid w:val="009F2307"/>
    <w:rsid w:val="009F328C"/>
    <w:rsid w:val="00A01AB8"/>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761"/>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77201"/>
    <w:rsid w:val="00C828CA"/>
    <w:rsid w:val="00C83795"/>
    <w:rsid w:val="00C83E21"/>
    <w:rsid w:val="00C95E97"/>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348FD"/>
    <w:rsid w:val="00D425CA"/>
    <w:rsid w:val="00D46F8C"/>
    <w:rsid w:val="00D50C4E"/>
    <w:rsid w:val="00D63C69"/>
    <w:rsid w:val="00D657F5"/>
    <w:rsid w:val="00D723B1"/>
    <w:rsid w:val="00D77C80"/>
    <w:rsid w:val="00D841A8"/>
    <w:rsid w:val="00D84289"/>
    <w:rsid w:val="00D87B13"/>
    <w:rsid w:val="00DA4111"/>
    <w:rsid w:val="00DA5861"/>
    <w:rsid w:val="00DB49F1"/>
    <w:rsid w:val="00DC1952"/>
    <w:rsid w:val="00DC3731"/>
    <w:rsid w:val="00DC7725"/>
    <w:rsid w:val="00DD3701"/>
    <w:rsid w:val="00DD554E"/>
    <w:rsid w:val="00DE0292"/>
    <w:rsid w:val="00DE046C"/>
    <w:rsid w:val="00DE2154"/>
    <w:rsid w:val="00DE2B67"/>
    <w:rsid w:val="00DE2E0C"/>
    <w:rsid w:val="00DE7E7B"/>
    <w:rsid w:val="00E039E1"/>
    <w:rsid w:val="00E05285"/>
    <w:rsid w:val="00E061EA"/>
    <w:rsid w:val="00E063AC"/>
    <w:rsid w:val="00E17DFB"/>
    <w:rsid w:val="00E22DBF"/>
    <w:rsid w:val="00E32486"/>
    <w:rsid w:val="00E3259F"/>
    <w:rsid w:val="00E43192"/>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EF4D41"/>
    <w:rsid w:val="00F04522"/>
    <w:rsid w:val="00F07907"/>
    <w:rsid w:val="00F105E0"/>
    <w:rsid w:val="00F14F4B"/>
    <w:rsid w:val="00F23BA1"/>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247F"/>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2C69EA48-5484-4528-A31B-70AE0E4D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21</Pages>
  <Words>43693</Words>
  <Characters>24906</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43</cp:revision>
  <cp:lastPrinted>2019-12-02T08:33:00Z</cp:lastPrinted>
  <dcterms:created xsi:type="dcterms:W3CDTF">2025-05-06T13:24:00Z</dcterms:created>
  <dcterms:modified xsi:type="dcterms:W3CDTF">2025-07-14T04:57:00Z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