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5662B" w14:textId="77777777" w:rsidR="00A93533" w:rsidRPr="00AD54D4" w:rsidRDefault="00C435C7" w:rsidP="00A93533">
      <w:pPr>
        <w:spacing w:before="240"/>
        <w:jc w:val="center"/>
        <w:rPr>
          <w:rFonts w:ascii="Cambria" w:hAnsi="Cambria" w:cs="Times New Roman"/>
          <w:b/>
          <w:sz w:val="24"/>
          <w:szCs w:val="28"/>
        </w:rPr>
      </w:pPr>
      <w:r w:rsidRPr="00AD54D4">
        <w:rPr>
          <w:rFonts w:ascii="Cambria" w:hAnsi="Cambria" w:cs="Times New Roman"/>
          <w:b/>
          <w:sz w:val="24"/>
          <w:szCs w:val="28"/>
        </w:rPr>
        <w:t>TECHNINĖ SPECIFIKACIJA</w:t>
      </w:r>
    </w:p>
    <w:tbl>
      <w:tblPr>
        <w:tblW w:w="2519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2"/>
        <w:gridCol w:w="851"/>
        <w:gridCol w:w="2832"/>
        <w:gridCol w:w="2555"/>
        <w:gridCol w:w="1842"/>
        <w:gridCol w:w="549"/>
        <w:gridCol w:w="600"/>
        <w:gridCol w:w="836"/>
        <w:gridCol w:w="324"/>
        <w:gridCol w:w="1140"/>
        <w:gridCol w:w="1160"/>
        <w:gridCol w:w="1120"/>
        <w:gridCol w:w="83"/>
        <w:gridCol w:w="1140"/>
        <w:gridCol w:w="1160"/>
        <w:gridCol w:w="1120"/>
        <w:gridCol w:w="4237"/>
        <w:gridCol w:w="3503"/>
      </w:tblGrid>
      <w:tr w:rsidR="00D8454E" w:rsidRPr="00AD54D4" w14:paraId="31356634" w14:textId="77777777" w:rsidTr="00D8454E">
        <w:trPr>
          <w:gridAfter w:val="10"/>
          <w:wAfter w:w="14987" w:type="dxa"/>
          <w:trHeight w:val="61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2C" w14:textId="77777777" w:rsidR="00D8454E" w:rsidRPr="00AD54D4" w:rsidRDefault="00D845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</w:p>
          <w:p w14:paraId="3135662D" w14:textId="77777777" w:rsidR="00D8454E" w:rsidRPr="00AD54D4" w:rsidRDefault="00D845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Pirkimo eil. Nr.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62E" w14:textId="77777777" w:rsidR="00D8454E" w:rsidRPr="00AD54D4" w:rsidRDefault="00D845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Prekės  pavadinimas ir techniniai reikalavimai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5662F" w14:textId="77777777" w:rsidR="00D8454E" w:rsidRPr="00AD54D4" w:rsidRDefault="00D845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</w:p>
          <w:p w14:paraId="31356630" w14:textId="77777777" w:rsidR="00D8454E" w:rsidRPr="00AD54D4" w:rsidRDefault="00D845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Mato vnt.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31" w14:textId="77777777" w:rsidR="00D8454E" w:rsidRPr="00AD54D4" w:rsidRDefault="00D845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</w:p>
          <w:p w14:paraId="31356632" w14:textId="77777777" w:rsidR="00D8454E" w:rsidRPr="00AD54D4" w:rsidRDefault="00D845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Orientacinis kiekis</w:t>
            </w:r>
          </w:p>
        </w:tc>
      </w:tr>
      <w:tr w:rsidR="00D8454E" w:rsidRPr="00AD54D4" w14:paraId="31356667" w14:textId="77777777" w:rsidTr="00D8454E">
        <w:trPr>
          <w:gridAfter w:val="10"/>
          <w:wAfter w:w="14987" w:type="dxa"/>
          <w:trHeight w:val="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135664F" w14:textId="093BE99C" w:rsidR="00D8454E" w:rsidRPr="00AD54D4" w:rsidRDefault="00D8454E" w:rsidP="00673CA2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1.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356650" w14:textId="1372D7AC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Homogeninė PVC danga:</w:t>
            </w:r>
          </w:p>
          <w:p w14:paraId="31356651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Elektrai laidi (</w:t>
            </w:r>
            <w:proofErr w:type="spellStart"/>
            <w:r w:rsidRPr="00AD54D4">
              <w:rPr>
                <w:rFonts w:ascii="Cambria" w:eastAsia="Times New Roman" w:hAnsi="Cambria" w:cs="Times New Roman"/>
                <w:lang w:eastAsia="lt-LT"/>
              </w:rPr>
              <w:t>konduktyvinė</w:t>
            </w:r>
            <w:proofErr w:type="spellEnd"/>
            <w:r w:rsidRPr="00AD54D4">
              <w:rPr>
                <w:rFonts w:ascii="Cambria" w:eastAsia="Times New Roman" w:hAnsi="Cambria" w:cs="Times New Roman"/>
                <w:lang w:eastAsia="lt-LT"/>
              </w:rPr>
              <w:t>) ruloninė grindų danga turi atitikti tokias charakteristikas:</w:t>
            </w:r>
          </w:p>
          <w:p w14:paraId="31356652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Grindų rūšis pagal ISO 10581 (EN649) arba lygiavertį standartą –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statiniam krūviui laidi homogeninė vinilinė grindų danga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</w:p>
          <w:p w14:paraId="31356653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Klasė pagal ISO 10874 (EN685)  arba lygiavertį standartą: </w:t>
            </w:r>
          </w:p>
          <w:p w14:paraId="31356654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komercinė – 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ne žemesnė nei 34 klasė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; </w:t>
            </w:r>
          </w:p>
          <w:p w14:paraId="31356655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gamybinė –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ne žemesnė nei 43 klasė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; </w:t>
            </w:r>
          </w:p>
          <w:p w14:paraId="31356656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Elektrostatinės savybės pagal EN 1081 arba lygiavertį standartą: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ne prastesnės nei 104≤R≤106 Ω</w:t>
            </w:r>
          </w:p>
          <w:p w14:paraId="31356657" w14:textId="67DCE4A9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Liekamasis įspaudas (vidutinė išmatuota vertė) pagal EN433 - 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ne prastesnės nei 0,02 mm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</w:p>
          <w:p w14:paraId="31356659" w14:textId="48578A41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Cheminis atsparumas pagal ISO 26987 (EN 423) arba lygiavertį standartą –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 xml:space="preserve">ne </w:t>
            </w:r>
            <w:proofErr w:type="spellStart"/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prastenis</w:t>
            </w:r>
            <w:proofErr w:type="spellEnd"/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 xml:space="preserve"> nei Geras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</w:p>
          <w:p w14:paraId="3135665A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Bendras dangos storis pagal LST EN 428  arba lygiavertį standartą –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ne mažiau 2,00 mm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</w:p>
          <w:p w14:paraId="3135665B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Degumo klasė pagal EN ISO 13501-1 arba lygiavertį standartą –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 xml:space="preserve">ne žemesnė kaip </w:t>
            </w:r>
            <w:proofErr w:type="spellStart"/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Bfl</w:t>
            </w:r>
            <w:proofErr w:type="spellEnd"/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 xml:space="preserve"> s1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</w:p>
          <w:p w14:paraId="3135665C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proofErr w:type="spellStart"/>
            <w:r w:rsidRPr="00AD54D4">
              <w:rPr>
                <w:rFonts w:ascii="Cambria" w:eastAsia="Times New Roman" w:hAnsi="Cambria" w:cs="Times New Roman"/>
                <w:lang w:eastAsia="lt-LT"/>
              </w:rPr>
              <w:t>Antistatiškumas</w:t>
            </w:r>
            <w:proofErr w:type="spellEnd"/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 pagal LST EN 1815 arba lygiavertį standartą –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 xml:space="preserve">&lt; 2 </w:t>
            </w:r>
            <w:proofErr w:type="spellStart"/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kV</w:t>
            </w:r>
            <w:proofErr w:type="spellEnd"/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</w:p>
          <w:p w14:paraId="3135665D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Slidumo koeficientas pagal DIN 51130 arba lygiavertį standartą 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ne mažiau R9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</w:p>
          <w:p w14:paraId="3135665E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Tiekimo forma –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rulonais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ab/>
            </w:r>
          </w:p>
          <w:p w14:paraId="3135665F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Rulono plotis -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2,0 ± 0,10 m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; </w:t>
            </w:r>
          </w:p>
          <w:p w14:paraId="31356660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Rulono ilgis -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≥ 20,0 m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;</w:t>
            </w:r>
          </w:p>
          <w:p w14:paraId="31356662" w14:textId="77777777" w:rsidR="00D8454E" w:rsidRPr="00AD54D4" w:rsidRDefault="00D8454E" w:rsidP="006403A2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Dangos priežiūrai grindų vaškas nenaudojamas.</w:t>
            </w:r>
          </w:p>
          <w:p w14:paraId="31356663" w14:textId="06ADA4A3" w:rsidR="00D8454E" w:rsidRPr="00AD54D4" w:rsidRDefault="00D8454E" w:rsidP="00E037C9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Būtinas spalvų asortimentas – </w:t>
            </w: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ne mažiau 10 (dešimt)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64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m²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65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2000</w:t>
            </w:r>
          </w:p>
        </w:tc>
      </w:tr>
      <w:tr w:rsidR="00D8454E" w:rsidRPr="00AD54D4" w14:paraId="3135666E" w14:textId="77777777" w:rsidTr="00D8454E">
        <w:trPr>
          <w:gridAfter w:val="10"/>
          <w:wAfter w:w="14987" w:type="dxa"/>
          <w:trHeight w:val="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1356668" w14:textId="26653F43" w:rsidR="00D8454E" w:rsidRPr="00AD54D4" w:rsidRDefault="00D8454E" w:rsidP="00673CA2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1.2.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356669" w14:textId="77777777" w:rsidR="00D8454E" w:rsidRPr="00AD54D4" w:rsidRDefault="00D8454E" w:rsidP="0030001E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Suvirinimo virvelė:</w:t>
            </w:r>
          </w:p>
          <w:p w14:paraId="3135666A" w14:textId="214992B9" w:rsidR="00D8454E" w:rsidRPr="00AD54D4" w:rsidRDefault="00D8454E" w:rsidP="00856B78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Turi būti skirta siūlomai (1.1 </w:t>
            </w:r>
            <w:proofErr w:type="spellStart"/>
            <w:r w:rsidRPr="00AD54D4">
              <w:rPr>
                <w:rFonts w:ascii="Cambria" w:eastAsia="Times New Roman" w:hAnsi="Cambria" w:cs="Times New Roman"/>
                <w:lang w:eastAsia="lt-LT"/>
              </w:rPr>
              <w:t>poz</w:t>
            </w:r>
            <w:proofErr w:type="spellEnd"/>
            <w:r w:rsidRPr="00AD54D4">
              <w:rPr>
                <w:rFonts w:ascii="Cambria" w:eastAsia="Times New Roman" w:hAnsi="Cambria" w:cs="Times New Roman"/>
                <w:lang w:eastAsia="lt-LT"/>
              </w:rPr>
              <w:t>.) krūviui laidžiai dangai suvirinti.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6B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m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6C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2000</w:t>
            </w:r>
          </w:p>
        </w:tc>
      </w:tr>
      <w:tr w:rsidR="00D8454E" w:rsidRPr="00AD54D4" w14:paraId="31356675" w14:textId="77777777" w:rsidTr="00D8454E">
        <w:trPr>
          <w:gridAfter w:val="10"/>
          <w:wAfter w:w="14987" w:type="dxa"/>
          <w:trHeight w:val="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135666F" w14:textId="38BAA0E2" w:rsidR="00D8454E" w:rsidRPr="00AD54D4" w:rsidRDefault="00D8454E" w:rsidP="00673CA2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1.3.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356670" w14:textId="77777777" w:rsidR="00D8454E" w:rsidRPr="00AD54D4" w:rsidRDefault="00D8454E" w:rsidP="0030001E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Įžeminimo varinė juostelė:</w:t>
            </w:r>
          </w:p>
          <w:p w14:paraId="31356671" w14:textId="5DE9E106" w:rsidR="00D8454E" w:rsidRPr="00AD54D4" w:rsidRDefault="00D8454E" w:rsidP="00856B78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Turi būti skirta siūlomai (1.1 </w:t>
            </w:r>
            <w:proofErr w:type="spellStart"/>
            <w:r w:rsidRPr="00AD54D4">
              <w:rPr>
                <w:rFonts w:ascii="Cambria" w:eastAsia="Times New Roman" w:hAnsi="Cambria" w:cs="Times New Roman"/>
                <w:lang w:eastAsia="lt-LT"/>
              </w:rPr>
              <w:t>poz</w:t>
            </w:r>
            <w:proofErr w:type="spellEnd"/>
            <w:r w:rsidRPr="00AD54D4">
              <w:rPr>
                <w:rFonts w:ascii="Cambria" w:eastAsia="Times New Roman" w:hAnsi="Cambria" w:cs="Times New Roman"/>
                <w:lang w:eastAsia="lt-LT"/>
              </w:rPr>
              <w:t>.) krūviui laidžiai dangai.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72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m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73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1500</w:t>
            </w:r>
          </w:p>
        </w:tc>
      </w:tr>
      <w:tr w:rsidR="00D8454E" w:rsidRPr="00AD54D4" w14:paraId="3135667C" w14:textId="77777777" w:rsidTr="00D8454E">
        <w:trPr>
          <w:gridAfter w:val="10"/>
          <w:wAfter w:w="14987" w:type="dxa"/>
          <w:trHeight w:val="2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1356676" w14:textId="1B713BF1" w:rsidR="00D8454E" w:rsidRPr="00AD54D4" w:rsidRDefault="00D8454E" w:rsidP="00673CA2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1.4.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356677" w14:textId="77777777" w:rsidR="00D8454E" w:rsidRPr="00AD54D4" w:rsidRDefault="00D8454E" w:rsidP="0030001E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Gruntas:</w:t>
            </w:r>
          </w:p>
          <w:p w14:paraId="31356678" w14:textId="43A0B414" w:rsidR="00D8454E" w:rsidRPr="00AD54D4" w:rsidRDefault="00D8454E" w:rsidP="00856B78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 xml:space="preserve">Turi būti skirtas gruntuoti paviršių prieš klojant siūlomą (1.1 </w:t>
            </w:r>
            <w:proofErr w:type="spellStart"/>
            <w:r w:rsidRPr="00AD54D4">
              <w:rPr>
                <w:rFonts w:ascii="Cambria" w:eastAsia="Times New Roman" w:hAnsi="Cambria" w:cs="Times New Roman"/>
                <w:lang w:eastAsia="lt-LT"/>
              </w:rPr>
              <w:t>poz</w:t>
            </w:r>
            <w:proofErr w:type="spellEnd"/>
            <w:r w:rsidRPr="00AD54D4">
              <w:rPr>
                <w:rFonts w:ascii="Cambria" w:eastAsia="Times New Roman" w:hAnsi="Cambria" w:cs="Times New Roman"/>
                <w:lang w:eastAsia="lt-LT"/>
              </w:rPr>
              <w:t>.) krūviui laidžią dangą.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79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proofErr w:type="spellStart"/>
            <w:r w:rsidRPr="00AD54D4">
              <w:rPr>
                <w:rFonts w:ascii="Cambria" w:eastAsia="Times New Roman" w:hAnsi="Cambria" w:cs="Times New Roman"/>
                <w:lang w:eastAsia="lt-LT"/>
              </w:rPr>
              <w:t>ltr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7A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1000</w:t>
            </w:r>
          </w:p>
        </w:tc>
      </w:tr>
      <w:tr w:rsidR="00D8454E" w:rsidRPr="00AD54D4" w14:paraId="31356682" w14:textId="77777777" w:rsidTr="00D8454E">
        <w:trPr>
          <w:gridAfter w:val="10"/>
          <w:wAfter w:w="14987" w:type="dxa"/>
          <w:trHeight w:val="69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5667D" w14:textId="6853CF87" w:rsidR="00D8454E" w:rsidRPr="00AD54D4" w:rsidRDefault="00D8454E" w:rsidP="00673CA2">
            <w:pPr>
              <w:spacing w:after="24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1.5.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DDD549" w14:textId="549880CA" w:rsidR="00D8454E" w:rsidRPr="00AD54D4" w:rsidRDefault="00D8454E" w:rsidP="00E66895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lang w:eastAsia="lt-LT"/>
              </w:rPr>
              <w:t>Universalūs klijai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t>:                      skirti siūlomai dangai (</w:t>
            </w:r>
            <w:proofErr w:type="spellStart"/>
            <w:r w:rsidRPr="00AD54D4">
              <w:rPr>
                <w:rFonts w:ascii="Cambria" w:eastAsia="Times New Roman" w:hAnsi="Cambria" w:cs="Times New Roman"/>
                <w:lang w:eastAsia="lt-LT"/>
              </w:rPr>
              <w:t>poz</w:t>
            </w:r>
            <w:proofErr w:type="spellEnd"/>
            <w:r w:rsidRPr="00AD54D4">
              <w:rPr>
                <w:rFonts w:ascii="Cambria" w:eastAsia="Times New Roman" w:hAnsi="Cambria" w:cs="Times New Roman"/>
                <w:lang w:eastAsia="lt-LT"/>
              </w:rPr>
              <w:t>. 1.1), turi atitikti tokias charakteristikas: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br/>
              <w:t>Pritaikymas – intensyvaus judėjimo patalpose;</w:t>
            </w:r>
            <w:r w:rsidRPr="00AD54D4">
              <w:rPr>
                <w:rFonts w:ascii="Cambria" w:eastAsia="Times New Roman" w:hAnsi="Cambria" w:cs="Times New Roman"/>
                <w:lang w:eastAsia="lt-LT"/>
              </w:rPr>
              <w:br/>
              <w:t>Sukibimas – stiprus;</w:t>
            </w:r>
          </w:p>
          <w:p w14:paraId="52180B6E" w14:textId="203F6E62" w:rsidR="00D8454E" w:rsidRPr="00AD54D4" w:rsidRDefault="00D8454E" w:rsidP="00E66895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Pakuotė – 13(±1) kg;</w:t>
            </w:r>
          </w:p>
          <w:p w14:paraId="7F7B6355" w14:textId="74B52ECF" w:rsidR="00D8454E" w:rsidRPr="00AD54D4" w:rsidRDefault="00D8454E" w:rsidP="00E66895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Išeiga – ne daugiau nei 300 g/m²;</w:t>
            </w:r>
          </w:p>
          <w:p w14:paraId="3135667E" w14:textId="11263AA6" w:rsidR="00D8454E" w:rsidRPr="00AD54D4" w:rsidRDefault="00D8454E" w:rsidP="00E66895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Galutinė jėga – ne ilgiau nei po 3 dienų esant 20 °C ir 65% santykinei oro drėgmei, priklausomai nuo grindų dangos tipo ir pagrindo įgeriamumo.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7F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kg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80" w14:textId="77777777" w:rsidR="00D8454E" w:rsidRPr="00AD54D4" w:rsidRDefault="00D8454E" w:rsidP="00C435C7">
            <w:pPr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lang w:eastAsia="lt-LT"/>
              </w:rPr>
              <w:t>1500</w:t>
            </w:r>
          </w:p>
        </w:tc>
      </w:tr>
      <w:tr w:rsidR="0036744E" w:rsidRPr="00AD54D4" w14:paraId="3135668C" w14:textId="77777777" w:rsidTr="00D8454E">
        <w:trPr>
          <w:trHeight w:val="31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56683" w14:textId="77777777" w:rsidR="0036744E" w:rsidRPr="00AD54D4" w:rsidRDefault="0036744E" w:rsidP="00C435C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1356684" w14:textId="77777777" w:rsidR="0036744E" w:rsidRPr="00AD54D4" w:rsidRDefault="0036744E" w:rsidP="00C435C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356685" w14:textId="77777777" w:rsidR="0036744E" w:rsidRPr="00AD54D4" w:rsidRDefault="0036744E" w:rsidP="00C435C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6686" w14:textId="77777777" w:rsidR="006F6573" w:rsidRPr="00AD54D4" w:rsidRDefault="006F6573" w:rsidP="006F65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31356687" w14:textId="77777777" w:rsidR="0036744E" w:rsidRPr="00AD54D4" w:rsidRDefault="0036744E" w:rsidP="006F657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688" w14:textId="77777777" w:rsidR="0036744E" w:rsidRPr="00AD54D4" w:rsidRDefault="003674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689" w14:textId="77777777" w:rsidR="0036744E" w:rsidRPr="00AD54D4" w:rsidRDefault="003674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5668A" w14:textId="77777777" w:rsidR="0036744E" w:rsidRPr="00AD54D4" w:rsidRDefault="0036744E" w:rsidP="00C435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68B" w14:textId="77777777" w:rsidR="0036744E" w:rsidRPr="00AD54D4" w:rsidRDefault="0036744E" w:rsidP="00C435C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</w:tr>
      <w:tr w:rsidR="000F245E" w:rsidRPr="00AD54D4" w14:paraId="57841E63" w14:textId="77777777" w:rsidTr="000F245E">
        <w:trPr>
          <w:gridBefore w:val="1"/>
          <w:gridAfter w:val="1"/>
          <w:wBefore w:w="142" w:type="dxa"/>
          <w:wAfter w:w="3503" w:type="dxa"/>
          <w:trHeight w:val="315"/>
        </w:trPr>
        <w:tc>
          <w:tcPr>
            <w:tcW w:w="8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B230" w14:textId="77777777" w:rsidR="000F245E" w:rsidRPr="00AD54D4" w:rsidRDefault="000F245E" w:rsidP="00162D5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</w:pPr>
            <w:r w:rsidRPr="00AD54D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Papildomi reikalavimai:</w:t>
            </w:r>
          </w:p>
          <w:p w14:paraId="6DE9DFFA" w14:textId="77777777" w:rsidR="000F245E" w:rsidRPr="00AD54D4" w:rsidRDefault="000F245E" w:rsidP="00162D5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7E38" w14:textId="77777777" w:rsidR="000F245E" w:rsidRPr="00AD54D4" w:rsidRDefault="000F245E" w:rsidP="00162D5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02AF" w14:textId="77777777" w:rsidR="000F245E" w:rsidRPr="00AD54D4" w:rsidRDefault="000F245E" w:rsidP="00162D5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D356" w14:textId="77777777" w:rsidR="000F245E" w:rsidRPr="00AD54D4" w:rsidRDefault="000F245E" w:rsidP="00162D5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42F7" w14:textId="77777777" w:rsidR="000F245E" w:rsidRPr="00AD54D4" w:rsidRDefault="000F245E" w:rsidP="00162D5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DC477" w14:textId="77777777" w:rsidR="000F245E" w:rsidRPr="00AD54D4" w:rsidRDefault="000F245E" w:rsidP="00162D5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CEAF" w14:textId="77777777" w:rsidR="000F245E" w:rsidRPr="00AD54D4" w:rsidRDefault="000F245E" w:rsidP="00162D5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</w:p>
        </w:tc>
      </w:tr>
    </w:tbl>
    <w:p w14:paraId="028E9DE6" w14:textId="77777777" w:rsidR="000F245E" w:rsidRPr="00AD54D4" w:rsidRDefault="000F245E" w:rsidP="000F245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AD54D4">
        <w:rPr>
          <w:rFonts w:ascii="Cambria" w:eastAsia="Times New Roman" w:hAnsi="Cambria" w:cs="Times New Roman"/>
          <w:lang w:eastAsia="lt-LT"/>
        </w:rPr>
        <w:t xml:space="preserve">Konkurso dalyvis privalo siūlyti visą pirkimo dalyje išvardintų prekių asortimentą. Turi būti aiškiai ir tiksliai nurodyta, koks gaminys siūlomas atitinkamai techninės specifikacijos pozicijai, </w:t>
      </w:r>
      <w:r w:rsidRPr="00AD54D4">
        <w:rPr>
          <w:rFonts w:ascii="Cambria" w:eastAsia="Times New Roman" w:hAnsi="Cambria" w:cs="Times New Roman"/>
          <w:b/>
          <w:u w:val="single"/>
        </w:rPr>
        <w:t xml:space="preserve">nepaliekant lentelėje pateiktų dydžių reikšmių </w:t>
      </w:r>
      <w:proofErr w:type="spellStart"/>
      <w:r w:rsidRPr="00AD54D4">
        <w:rPr>
          <w:rFonts w:ascii="Cambria" w:eastAsia="Times New Roman" w:hAnsi="Cambria" w:cs="Times New Roman"/>
          <w:b/>
          <w:u w:val="single"/>
        </w:rPr>
        <w:t>tolerancijų</w:t>
      </w:r>
      <w:proofErr w:type="spellEnd"/>
      <w:r w:rsidRPr="00AD54D4">
        <w:rPr>
          <w:rFonts w:ascii="Cambria" w:eastAsia="Times New Roman" w:hAnsi="Cambria" w:cs="Times New Roman"/>
          <w:b/>
          <w:u w:val="single"/>
        </w:rPr>
        <w:t xml:space="preserve"> ir tokių reikšmių, kaip „lygiavertė“, „atitinka,“ „ne mažiau“ ir pan. </w:t>
      </w:r>
      <w:r w:rsidRPr="00AD54D4">
        <w:rPr>
          <w:rFonts w:ascii="Cambria" w:eastAsia="Times New Roman" w:hAnsi="Cambria" w:cs="Times New Roman"/>
          <w:lang w:eastAsia="lt-LT"/>
        </w:rPr>
        <w:t xml:space="preserve">Konkurso dalyvio siūlomos prekės techninės charakteristikos turi būti ne blogesnės nei reikalaujamos </w:t>
      </w:r>
      <w:r w:rsidRPr="00AD54D4">
        <w:rPr>
          <w:rFonts w:ascii="Cambria" w:eastAsia="Times New Roman" w:hAnsi="Cambria" w:cs="Times New Roman"/>
          <w:lang w:eastAsia="lt-LT"/>
        </w:rPr>
        <w:lastRenderedPageBreak/>
        <w:t xml:space="preserve">techninėje specifikacijoje, </w:t>
      </w:r>
      <w:proofErr w:type="spellStart"/>
      <w:r w:rsidRPr="00AD54D4">
        <w:rPr>
          <w:rFonts w:ascii="Cambria" w:eastAsia="Times New Roman" w:hAnsi="Cambria" w:cs="Times New Roman"/>
          <w:lang w:eastAsia="lt-LT"/>
        </w:rPr>
        <w:t>t.y</w:t>
      </w:r>
      <w:proofErr w:type="spellEnd"/>
      <w:r w:rsidRPr="00AD54D4">
        <w:rPr>
          <w:rFonts w:ascii="Cambria" w:eastAsia="Times New Roman" w:hAnsi="Cambria" w:cs="Times New Roman"/>
          <w:lang w:eastAsia="lt-LT"/>
        </w:rPr>
        <w:t xml:space="preserve">. siūloma prekė savo savybėmis turi būti lygiavertė techninėje specifikacijoje reikalaujamai arba geresnių techninių charakteristikų.  </w:t>
      </w:r>
    </w:p>
    <w:p w14:paraId="344C438B" w14:textId="77777777" w:rsidR="000F245E" w:rsidRPr="00AD54D4" w:rsidRDefault="000F245E" w:rsidP="000F245E">
      <w:pPr>
        <w:pStyle w:val="ListParagraph"/>
        <w:numPr>
          <w:ilvl w:val="0"/>
          <w:numId w:val="2"/>
        </w:numPr>
        <w:tabs>
          <w:tab w:val="left" w:pos="345"/>
        </w:tabs>
        <w:spacing w:after="0"/>
        <w:jc w:val="both"/>
        <w:rPr>
          <w:rFonts w:ascii="Cambria" w:eastAsia="Times New Roman" w:hAnsi="Cambria" w:cs="Times New Roman"/>
          <w:lang w:eastAsia="lt-LT"/>
        </w:rPr>
      </w:pPr>
      <w:r w:rsidRPr="00AD54D4">
        <w:rPr>
          <w:rFonts w:ascii="Cambria" w:eastAsia="Times New Roman" w:hAnsi="Cambria" w:cs="Times New Roman"/>
          <w:lang w:eastAsia="lt-LT"/>
        </w:rPr>
        <w:t>Prekes numatoma užsakyti pagal poreikį, tam tikro dydžio partijomis. Prekes pardavėjas į Kauno klinikų nurodytą vietą (Eivenių g. 2, Kaunas) turės pristatyti savo lėšomis. Tiekimo terminas ne ilgesnis kaip 60 kalendorinių dienų nuo užsakymo pateikimo dienos.</w:t>
      </w:r>
      <w:r w:rsidRPr="00AD54D4">
        <w:rPr>
          <w:rFonts w:ascii="Cambria" w:eastAsia="Times New Roman" w:hAnsi="Cambria" w:cs="Times New Roman"/>
          <w:lang w:eastAsia="lt-LT"/>
        </w:rPr>
        <w:tab/>
      </w:r>
      <w:r w:rsidRPr="00AD54D4">
        <w:rPr>
          <w:rFonts w:ascii="Cambria" w:eastAsia="Times New Roman" w:hAnsi="Cambria" w:cs="Times New Roman"/>
          <w:lang w:eastAsia="lt-LT"/>
        </w:rPr>
        <w:tab/>
      </w:r>
    </w:p>
    <w:p w14:paraId="6CC7EDCF" w14:textId="77777777" w:rsidR="000F245E" w:rsidRPr="00AD54D4" w:rsidRDefault="000F245E" w:rsidP="000F245E">
      <w:pPr>
        <w:pStyle w:val="ListParagraph"/>
        <w:numPr>
          <w:ilvl w:val="0"/>
          <w:numId w:val="2"/>
        </w:numPr>
        <w:tabs>
          <w:tab w:val="left" w:pos="345"/>
        </w:tabs>
        <w:spacing w:after="0"/>
        <w:jc w:val="both"/>
        <w:rPr>
          <w:rFonts w:ascii="Cambria" w:eastAsia="Times New Roman" w:hAnsi="Cambria" w:cs="Times New Roman"/>
          <w:lang w:eastAsia="lt-LT"/>
        </w:rPr>
      </w:pPr>
      <w:r w:rsidRPr="00AD54D4">
        <w:rPr>
          <w:rFonts w:ascii="Cambria" w:eastAsia="Times New Roman" w:hAnsi="Cambria" w:cs="Times New Roman"/>
          <w:lang w:eastAsia="lt-LT"/>
        </w:rPr>
        <w:t xml:space="preserve">Kartu su pasiūlymu turi būti pateikiami dokumentai, patvirtinantys prekių atitiktį Techninės specifikacijos reikalavimams. Viešųjų pirkimų komisijai raštiškai pareikalavus, konkurso dalyvis turi pateikti siūlomų prekių pavyzdžius. </w:t>
      </w:r>
      <w:r w:rsidRPr="00AD54D4">
        <w:rPr>
          <w:rFonts w:ascii="Cambria" w:eastAsia="Times New Roman" w:hAnsi="Cambria" w:cs="Times New Roman"/>
          <w:lang w:eastAsia="lt-LT"/>
        </w:rPr>
        <w:tab/>
      </w:r>
      <w:r w:rsidRPr="00AD54D4">
        <w:rPr>
          <w:rFonts w:ascii="Cambria" w:eastAsia="Times New Roman" w:hAnsi="Cambria" w:cs="Times New Roman"/>
          <w:lang w:eastAsia="lt-LT"/>
        </w:rPr>
        <w:tab/>
      </w:r>
      <w:r w:rsidRPr="00AD54D4">
        <w:rPr>
          <w:rFonts w:ascii="Cambria" w:eastAsia="Times New Roman" w:hAnsi="Cambria" w:cs="Times New Roman"/>
          <w:lang w:eastAsia="lt-LT"/>
        </w:rPr>
        <w:tab/>
      </w:r>
      <w:r w:rsidRPr="00AD54D4">
        <w:rPr>
          <w:rFonts w:ascii="Cambria" w:eastAsia="Times New Roman" w:hAnsi="Cambria" w:cs="Times New Roman"/>
          <w:lang w:eastAsia="lt-LT"/>
        </w:rPr>
        <w:tab/>
      </w:r>
      <w:r w:rsidRPr="00AD54D4">
        <w:rPr>
          <w:rFonts w:ascii="Cambria" w:eastAsia="Times New Roman" w:hAnsi="Cambria" w:cs="Times New Roman"/>
          <w:lang w:eastAsia="lt-LT"/>
        </w:rPr>
        <w:tab/>
      </w:r>
    </w:p>
    <w:p w14:paraId="4CFB0586" w14:textId="77777777" w:rsidR="000F245E" w:rsidRPr="00AD54D4" w:rsidRDefault="000F245E" w:rsidP="000F245E">
      <w:pPr>
        <w:pStyle w:val="ListParagraph"/>
        <w:numPr>
          <w:ilvl w:val="0"/>
          <w:numId w:val="2"/>
        </w:numPr>
        <w:tabs>
          <w:tab w:val="left" w:pos="345"/>
        </w:tabs>
        <w:spacing w:after="0"/>
        <w:jc w:val="both"/>
        <w:rPr>
          <w:rFonts w:ascii="Cambria" w:eastAsia="Times New Roman" w:hAnsi="Cambria" w:cs="Times New Roman"/>
          <w:lang w:eastAsia="lt-LT"/>
        </w:rPr>
      </w:pPr>
      <w:r w:rsidRPr="00AD54D4">
        <w:rPr>
          <w:rFonts w:ascii="Cambria" w:eastAsia="Times New Roman" w:hAnsi="Cambria" w:cs="Times New Roman"/>
          <w:lang w:eastAsia="lt-LT"/>
        </w:rPr>
        <w:t>Vadovaujantis Lietuvos Respublikos aplinkos ministro 2011 m. birželio 28 d. įsakymu Nr. D1-508 „Dėl aplinkos apsaugos kriterijų taikymo, vykdant žaliuosius pirkimus, tvarkos aprašo patvirtinimo“ (aktuali redakcija) patvirtinto Aplinkos a</w:t>
      </w:r>
      <w:bookmarkStart w:id="0" w:name="_GoBack"/>
      <w:bookmarkEnd w:id="0"/>
      <w:r w:rsidRPr="00AD54D4">
        <w:rPr>
          <w:rFonts w:ascii="Cambria" w:eastAsia="Times New Roman" w:hAnsi="Cambria" w:cs="Times New Roman"/>
          <w:lang w:eastAsia="lt-LT"/>
        </w:rPr>
        <w:t xml:space="preserve">psaugos kriterijų taikymo, vykdant žaliuosius pirkimus, tvarkos aprašo 4.4.4.5. punktu homogeninė PVC grindų danga ir suvirinimo virvelė turi būti perdirbama. </w:t>
      </w:r>
      <w:r w:rsidRPr="00AD54D4">
        <w:rPr>
          <w:rFonts w:ascii="Cambria" w:eastAsia="Times New Roman" w:hAnsi="Cambria" w:cs="Times New Roman"/>
          <w:b/>
          <w:lang w:eastAsia="lt-LT"/>
        </w:rPr>
        <w:t>Privaloma pateikti šį kriterijų patvirtinantį dokumentą.</w:t>
      </w:r>
    </w:p>
    <w:p w14:paraId="550FD21A" w14:textId="08D0F4AC" w:rsidR="000F245E" w:rsidRPr="00EB7D05" w:rsidRDefault="000F245E" w:rsidP="000F245E">
      <w:pPr>
        <w:pStyle w:val="ListParagraph"/>
        <w:numPr>
          <w:ilvl w:val="0"/>
          <w:numId w:val="2"/>
        </w:numPr>
        <w:tabs>
          <w:tab w:val="left" w:pos="345"/>
        </w:tabs>
        <w:spacing w:after="0"/>
        <w:jc w:val="both"/>
        <w:rPr>
          <w:rFonts w:ascii="Times New Roman" w:eastAsia="Times New Roman" w:hAnsi="Times New Roman" w:cs="Times New Roman"/>
          <w:lang w:eastAsia="lt-LT"/>
        </w:rPr>
      </w:pPr>
      <w:r w:rsidRPr="00AD54D4">
        <w:rPr>
          <w:rFonts w:ascii="Cambria" w:eastAsia="Times New Roman" w:hAnsi="Cambria" w:cs="Times New Roman"/>
          <w:lang w:eastAsia="lt-LT"/>
        </w:rPr>
        <w:t xml:space="preserve">Techninėje specifikacijoje nurodyti orientaciniai kiekiai naudojami tik pasiūlymų vertinimui/palyginimui, tai nebus sutarties maksimalūs kiekiai, sutartyje bus nurodyti tik prekių įkainiai. </w:t>
      </w:r>
      <w:r w:rsidRPr="00AD54D4">
        <w:rPr>
          <w:rFonts w:ascii="Cambria" w:eastAsia="Times New Roman" w:hAnsi="Cambria" w:cs="Times New Roman"/>
          <w:b/>
          <w:lang w:eastAsia="lt-LT"/>
        </w:rPr>
        <w:t>Numatyta sutarties suma 100000,00 Eur su PVM.</w:t>
      </w:r>
      <w:r w:rsidRPr="00AD54D4">
        <w:rPr>
          <w:rFonts w:ascii="Cambria" w:eastAsia="Times New Roman" w:hAnsi="Cambria" w:cs="Times New Roman"/>
          <w:lang w:eastAsia="lt-LT"/>
        </w:rPr>
        <w:t xml:space="preserve"> Sutartis bus pasirašoma 24 mėn. laikotarpiui.</w:t>
      </w:r>
      <w:r w:rsidRPr="00EB7D0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EB7D05">
        <w:rPr>
          <w:rFonts w:ascii="Times New Roman" w:eastAsia="Times New Roman" w:hAnsi="Times New Roman" w:cs="Times New Roman"/>
          <w:lang w:eastAsia="lt-LT"/>
        </w:rPr>
        <w:tab/>
      </w:r>
    </w:p>
    <w:p w14:paraId="5AFC02EA" w14:textId="15A8937D" w:rsidR="000F245E" w:rsidRPr="00EB7D05" w:rsidRDefault="000F245E" w:rsidP="000F245E">
      <w:pPr>
        <w:pStyle w:val="ListParagraph"/>
        <w:tabs>
          <w:tab w:val="left" w:pos="345"/>
        </w:tabs>
        <w:spacing w:after="0"/>
        <w:ind w:left="-349"/>
        <w:jc w:val="both"/>
        <w:rPr>
          <w:rFonts w:ascii="Times New Roman" w:hAnsi="Times New Roman" w:cs="Times New Roman"/>
        </w:rPr>
      </w:pPr>
      <w:r w:rsidRPr="00EB7D05">
        <w:rPr>
          <w:rFonts w:ascii="Times New Roman" w:eastAsia="Times New Roman" w:hAnsi="Times New Roman" w:cs="Times New Roman"/>
          <w:lang w:eastAsia="lt-LT"/>
        </w:rPr>
        <w:tab/>
      </w:r>
      <w:r w:rsidRPr="00EB7D05">
        <w:rPr>
          <w:rFonts w:ascii="Times New Roman" w:eastAsia="Times New Roman" w:hAnsi="Times New Roman" w:cs="Times New Roman"/>
          <w:lang w:eastAsia="lt-LT"/>
        </w:rPr>
        <w:tab/>
      </w:r>
      <w:r w:rsidRPr="00EB7D05">
        <w:rPr>
          <w:rFonts w:ascii="Times New Roman" w:eastAsia="Times New Roman" w:hAnsi="Times New Roman" w:cs="Times New Roman"/>
          <w:lang w:eastAsia="lt-LT"/>
        </w:rPr>
        <w:tab/>
      </w:r>
      <w:r w:rsidRPr="00EB7D05">
        <w:rPr>
          <w:rFonts w:ascii="Times New Roman" w:eastAsia="Times New Roman" w:hAnsi="Times New Roman" w:cs="Times New Roman"/>
          <w:lang w:eastAsia="lt-LT"/>
        </w:rPr>
        <w:tab/>
      </w:r>
      <w:r w:rsidRPr="00EB7D05">
        <w:rPr>
          <w:rFonts w:ascii="Times New Roman" w:eastAsia="Times New Roman" w:hAnsi="Times New Roman" w:cs="Times New Roman"/>
          <w:lang w:eastAsia="lt-LT"/>
        </w:rPr>
        <w:tab/>
      </w:r>
      <w:r w:rsidRPr="00EB7D05">
        <w:rPr>
          <w:rFonts w:ascii="Times New Roman" w:eastAsia="Times New Roman" w:hAnsi="Times New Roman" w:cs="Times New Roman"/>
          <w:lang w:eastAsia="lt-LT"/>
        </w:rPr>
        <w:tab/>
      </w:r>
    </w:p>
    <w:p w14:paraId="31356697" w14:textId="0813496A" w:rsidR="00C435C7" w:rsidRPr="00EB7D05" w:rsidRDefault="00C435C7" w:rsidP="00433D12">
      <w:pPr>
        <w:pStyle w:val="ListParagraph"/>
        <w:tabs>
          <w:tab w:val="left" w:pos="345"/>
        </w:tabs>
        <w:spacing w:after="0"/>
        <w:ind w:left="-349"/>
        <w:jc w:val="both"/>
        <w:rPr>
          <w:rFonts w:ascii="Times New Roman" w:hAnsi="Times New Roman" w:cs="Times New Roman"/>
        </w:rPr>
      </w:pPr>
    </w:p>
    <w:sectPr w:rsidR="00C435C7" w:rsidRPr="00EB7D05" w:rsidSect="00B40273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044FD"/>
    <w:multiLevelType w:val="multilevel"/>
    <w:tmpl w:val="7B0E6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5E5F88"/>
    <w:multiLevelType w:val="hybridMultilevel"/>
    <w:tmpl w:val="E11ED49C"/>
    <w:lvl w:ilvl="0" w:tplc="8730BD3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2BF5A96"/>
    <w:multiLevelType w:val="multilevel"/>
    <w:tmpl w:val="46B6012E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91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811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171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2891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51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11" w:hanging="1440"/>
      </w:pPr>
      <w:rPr>
        <w:rFonts w:hint="default"/>
        <w:b w:val="0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DE"/>
    <w:rsid w:val="00012622"/>
    <w:rsid w:val="000F245E"/>
    <w:rsid w:val="000F69B8"/>
    <w:rsid w:val="002A3F76"/>
    <w:rsid w:val="002D40DF"/>
    <w:rsid w:val="002E52BE"/>
    <w:rsid w:val="0030001E"/>
    <w:rsid w:val="00343764"/>
    <w:rsid w:val="0036744E"/>
    <w:rsid w:val="00386916"/>
    <w:rsid w:val="00433D12"/>
    <w:rsid w:val="00445FFC"/>
    <w:rsid w:val="004468C1"/>
    <w:rsid w:val="00452D3A"/>
    <w:rsid w:val="004F1ADE"/>
    <w:rsid w:val="00541F7B"/>
    <w:rsid w:val="005B5C16"/>
    <w:rsid w:val="005B7829"/>
    <w:rsid w:val="006403A2"/>
    <w:rsid w:val="006524A5"/>
    <w:rsid w:val="00655128"/>
    <w:rsid w:val="00673CA2"/>
    <w:rsid w:val="006F6573"/>
    <w:rsid w:val="00762FF0"/>
    <w:rsid w:val="007A45FE"/>
    <w:rsid w:val="007F5AAB"/>
    <w:rsid w:val="00812CEC"/>
    <w:rsid w:val="00856B78"/>
    <w:rsid w:val="008A5A97"/>
    <w:rsid w:val="009036C6"/>
    <w:rsid w:val="00921EEF"/>
    <w:rsid w:val="00970D0D"/>
    <w:rsid w:val="009C7D77"/>
    <w:rsid w:val="00A73E72"/>
    <w:rsid w:val="00A90B23"/>
    <w:rsid w:val="00A93533"/>
    <w:rsid w:val="00AB02DE"/>
    <w:rsid w:val="00AD54D4"/>
    <w:rsid w:val="00B2777B"/>
    <w:rsid w:val="00B40273"/>
    <w:rsid w:val="00B6033D"/>
    <w:rsid w:val="00BA7A13"/>
    <w:rsid w:val="00BC54B6"/>
    <w:rsid w:val="00C14336"/>
    <w:rsid w:val="00C435C7"/>
    <w:rsid w:val="00C56CE2"/>
    <w:rsid w:val="00C56F67"/>
    <w:rsid w:val="00C60262"/>
    <w:rsid w:val="00D137BA"/>
    <w:rsid w:val="00D8454E"/>
    <w:rsid w:val="00DD5300"/>
    <w:rsid w:val="00E037C9"/>
    <w:rsid w:val="00E61001"/>
    <w:rsid w:val="00E66895"/>
    <w:rsid w:val="00EB7D05"/>
    <w:rsid w:val="00F61BF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662B"/>
  <w15:chartTrackingRefBased/>
  <w15:docId w15:val="{D81ABCFE-5A73-4EE2-B8F8-97D78F63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D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2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841D0D-22D6-4F5B-AAC7-6623A2A17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6F62DD-D070-4F5D-AC1B-E558EE29E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D44BC-3CF5-452F-8EE2-B8289EA3A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FF77F-21CA-4019-BC19-76FE7FB8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3</cp:revision>
  <cp:lastPrinted>2023-03-13T12:26:00Z</cp:lastPrinted>
  <dcterms:created xsi:type="dcterms:W3CDTF">2025-07-11T06:28:00Z</dcterms:created>
  <dcterms:modified xsi:type="dcterms:W3CDTF">2025-07-11T07:14:00Z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