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C56BF3"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C56BF3">
        <w:rPr>
          <w:rFonts w:ascii="Times New Roman" w:eastAsia="Calibri" w:hAnsi="Times New Roman" w:cs="Times New Roman"/>
          <w:b/>
          <w:caps/>
          <w:sz w:val="24"/>
          <w:szCs w:val="24"/>
          <w:lang w:eastAsia="en-US"/>
        </w:rPr>
        <w:t>Pasiūlymas</w:t>
      </w:r>
    </w:p>
    <w:p w14:paraId="58CFC50D" w14:textId="748604D5" w:rsidR="00BF410E" w:rsidRPr="00C56BF3" w:rsidRDefault="00BF410E" w:rsidP="00BF410E">
      <w:pPr>
        <w:spacing w:after="0" w:line="240" w:lineRule="auto"/>
        <w:ind w:right="49"/>
        <w:jc w:val="center"/>
        <w:rPr>
          <w:rFonts w:ascii="Times New Roman" w:eastAsia="Calibri" w:hAnsi="Times New Roman" w:cs="Times New Roman"/>
          <w:b/>
          <w:bCs/>
          <w:caps/>
          <w:sz w:val="24"/>
          <w:szCs w:val="24"/>
        </w:rPr>
      </w:pPr>
      <w:r w:rsidRPr="00C56BF3">
        <w:rPr>
          <w:rFonts w:ascii="Times New Roman" w:eastAsia="Times New Roman" w:hAnsi="Times New Roman" w:cs="Times New Roman"/>
          <w:b/>
          <w:bCs/>
          <w:iCs/>
          <w:caps/>
          <w:sz w:val="24"/>
          <w:szCs w:val="24"/>
          <w:lang w:eastAsia="en-US"/>
        </w:rPr>
        <w:t xml:space="preserve">DĖL </w:t>
      </w:r>
      <w:r w:rsidR="00C56BF3" w:rsidRPr="00C56BF3">
        <w:rPr>
          <w:rFonts w:ascii="Times New Roman" w:eastAsia="Calibri" w:hAnsi="Times New Roman" w:cs="Times New Roman"/>
          <w:b/>
          <w:bCs/>
          <w:caps/>
          <w:sz w:val="24"/>
          <w:szCs w:val="24"/>
        </w:rPr>
        <w:t>AUTOMOBILIŲ STOVĖJIMO AIKŠTELIŲ PRIE DAUGIABUČIŲ pARKO G., LUKSNĖNŲ MSTL., ALYTAUS SEN., ALYTAUS R. SAV. REMONTO DARBŲ, PARENGIANT PAPRASTOJO REMONTO APRAŠĄ</w:t>
      </w:r>
    </w:p>
    <w:p w14:paraId="35C7680D" w14:textId="77777777" w:rsidR="00BF410E" w:rsidRPr="00C56BF3" w:rsidRDefault="00BF410E" w:rsidP="00BF410E">
      <w:pPr>
        <w:spacing w:after="0" w:line="240" w:lineRule="auto"/>
        <w:ind w:right="49"/>
        <w:jc w:val="center"/>
        <w:rPr>
          <w:rFonts w:ascii="Times New Roman" w:eastAsia="Times New Roman" w:hAnsi="Times New Roman" w:cs="Times New Roman"/>
          <w:b/>
          <w:bCs/>
          <w:iCs/>
          <w:caps/>
          <w:sz w:val="24"/>
          <w:szCs w:val="24"/>
          <w:lang w:eastAsia="en-US"/>
        </w:rPr>
      </w:pPr>
      <w:r w:rsidRPr="00C56BF3">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BF410E" w:rsidRPr="00DE4E50" w14:paraId="16CD07C3"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B24E6F">
        <w:trPr>
          <w:trHeight w:val="168"/>
        </w:trPr>
        <w:tc>
          <w:tcPr>
            <w:tcW w:w="510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B24E6F">
        <w:tc>
          <w:tcPr>
            <w:tcW w:w="510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B24E6F">
        <w:trPr>
          <w:trHeight w:val="287"/>
        </w:trPr>
        <w:tc>
          <w:tcPr>
            <w:tcW w:w="510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B24E6F">
        <w:tc>
          <w:tcPr>
            <w:tcW w:w="510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4E865A3A" w14:textId="77777777" w:rsidR="00BF410E" w:rsidRPr="00DE4E50" w:rsidRDefault="00BF410E" w:rsidP="00BF410E">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3405005" w14:textId="77777777" w:rsidR="00BF410E" w:rsidRDefault="00BF410E" w:rsidP="00BF410E">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BF410E" w:rsidRPr="00BB6B48" w14:paraId="341E4F0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9C6D97" w:rsidRDefault="00BF410E" w:rsidP="00B24E6F">
            <w:pPr>
              <w:spacing w:before="60" w:after="60" w:line="240" w:lineRule="auto"/>
              <w:rPr>
                <w:rFonts w:ascii="Times New Roman" w:eastAsia="Times New Roman" w:hAnsi="Times New Roman" w:cs="Times New Roman"/>
                <w:sz w:val="24"/>
                <w:szCs w:val="24"/>
                <w:lang w:eastAsia="en-US"/>
              </w:rPr>
            </w:pPr>
            <w:r w:rsidRPr="009C6D97">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3736DEEF" w14:textId="4B6B78AE" w:rsidR="00BF410E" w:rsidRPr="0018148F" w:rsidRDefault="0018148F" w:rsidP="0018148F">
            <w:pPr>
              <w:spacing w:before="60" w:after="60" w:line="240" w:lineRule="auto"/>
              <w:jc w:val="both"/>
              <w:rPr>
                <w:rFonts w:ascii="Times New Roman" w:eastAsia="Times New Roman" w:hAnsi="Times New Roman" w:cs="Times New Roman"/>
                <w:sz w:val="24"/>
                <w:szCs w:val="24"/>
                <w:lang w:eastAsia="en-US"/>
              </w:rPr>
            </w:pPr>
            <w:r w:rsidRPr="0018148F">
              <w:rPr>
                <w:rFonts w:ascii="Times New Roman" w:hAnsi="Times New Roman" w:cs="Times New Roman"/>
                <w:bCs/>
                <w:sz w:val="24"/>
                <w:szCs w:val="24"/>
              </w:rPr>
              <w:t>Automobilių stovėjimo aikštelių prie daugiabučių Parko g., Luksnėnų mstl., Alytaus sen., Alytaus r. sav. remonto darb</w:t>
            </w:r>
            <w:r w:rsidRPr="0018148F">
              <w:rPr>
                <w:rFonts w:ascii="Times New Roman" w:hAnsi="Times New Roman" w:cs="Times New Roman"/>
                <w:bCs/>
                <w:sz w:val="24"/>
                <w:szCs w:val="24"/>
              </w:rPr>
              <w:t>ų</w:t>
            </w:r>
            <w:r w:rsidRPr="0018148F">
              <w:rPr>
                <w:rFonts w:ascii="Times New Roman" w:hAnsi="Times New Roman" w:cs="Times New Roman"/>
                <w:bCs/>
                <w:sz w:val="24"/>
                <w:szCs w:val="24"/>
              </w:rPr>
              <w:t>, parengiant paprastojo remonto aprašą</w:t>
            </w:r>
            <w:r w:rsidRPr="0018148F">
              <w:rPr>
                <w:rFonts w:ascii="Times New Roman" w:eastAsia="Calibri" w:hAnsi="Times New Roman" w:cs="Times New Roman"/>
                <w:sz w:val="24"/>
                <w:szCs w:val="24"/>
                <w:lang w:eastAsia="en-US"/>
              </w:rPr>
              <w:t xml:space="preserve"> </w:t>
            </w:r>
            <w:r w:rsidR="00BF410E" w:rsidRPr="0018148F">
              <w:rPr>
                <w:rFonts w:ascii="Times New Roman" w:eastAsia="Calibri" w:hAnsi="Times New Roman" w:cs="Times New Roman"/>
                <w:sz w:val="24"/>
                <w:szCs w:val="24"/>
                <w:lang w:eastAsia="en-US"/>
              </w:rPr>
              <w:t>kaina, EUR be PVM:</w:t>
            </w:r>
          </w:p>
        </w:tc>
        <w:tc>
          <w:tcPr>
            <w:tcW w:w="3879"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B24E6F">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39301BEE"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BF410E" w:rsidRPr="00DE4E50" w14:paraId="0F388859" w14:textId="77777777" w:rsidTr="00B24E6F">
        <w:tc>
          <w:tcPr>
            <w:tcW w:w="568"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B24E6F">
        <w:tc>
          <w:tcPr>
            <w:tcW w:w="568"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BF410E" w:rsidRPr="00DE4E50" w14:paraId="478FBB2E"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B24E6F">
        <w:tc>
          <w:tcPr>
            <w:tcW w:w="568"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BF410E" w:rsidRPr="00DE4E50" w14:paraId="2B255E76" w14:textId="77777777" w:rsidTr="00B24E6F">
        <w:tc>
          <w:tcPr>
            <w:tcW w:w="568"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B24E6F">
        <w:tc>
          <w:tcPr>
            <w:tcW w:w="568"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BF410E" w:rsidRPr="00DE4E50" w14:paraId="60A28CDB" w14:textId="77777777" w:rsidTr="00B24E6F">
        <w:trPr>
          <w:trHeight w:val="689"/>
        </w:trPr>
        <w:tc>
          <w:tcPr>
            <w:tcW w:w="568"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6378"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B24E6F">
        <w:tc>
          <w:tcPr>
            <w:tcW w:w="568"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B24E6F">
        <w:tc>
          <w:tcPr>
            <w:tcW w:w="568"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BF410E" w:rsidRPr="00DE4E50" w14:paraId="5F1D960A"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B24E6F">
        <w:trPr>
          <w:jc w:val="center"/>
        </w:trPr>
        <w:tc>
          <w:tcPr>
            <w:tcW w:w="572"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5CBC4096" w14:textId="77777777" w:rsidR="00BF410E" w:rsidRDefault="00BF410E" w:rsidP="00B24E6F">
            <w:pPr>
              <w:spacing w:after="0" w:line="240" w:lineRule="auto"/>
              <w:ind w:right="49"/>
              <w:rPr>
                <w:rFonts w:ascii="Times New Roman" w:eastAsia="Times New Roman" w:hAnsi="Times New Roman" w:cs="Times New Roman"/>
                <w:sz w:val="24"/>
                <w:szCs w:val="24"/>
                <w:lang w:eastAsia="en-US"/>
              </w:rPr>
            </w:pPr>
          </w:p>
          <w:p w14:paraId="42133FEE" w14:textId="77777777" w:rsidR="002513F1" w:rsidRDefault="002513F1" w:rsidP="00B24E6F">
            <w:pPr>
              <w:spacing w:after="0" w:line="240" w:lineRule="auto"/>
              <w:ind w:right="49"/>
              <w:rPr>
                <w:rFonts w:ascii="Times New Roman" w:eastAsia="Times New Roman" w:hAnsi="Times New Roman" w:cs="Times New Roman"/>
                <w:sz w:val="24"/>
                <w:szCs w:val="24"/>
                <w:lang w:eastAsia="en-US"/>
              </w:rPr>
            </w:pPr>
          </w:p>
          <w:p w14:paraId="379186E5" w14:textId="77777777" w:rsidR="002513F1" w:rsidRPr="00DE4E50" w:rsidRDefault="002513F1"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18148F"/>
    <w:rsid w:val="002513F1"/>
    <w:rsid w:val="00405AC3"/>
    <w:rsid w:val="00A936D7"/>
    <w:rsid w:val="00BF410E"/>
    <w:rsid w:val="00C56BF3"/>
    <w:rsid w:val="00F36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3091</Words>
  <Characters>1763</Characters>
  <Application>Microsoft Office Word</Application>
  <DocSecurity>0</DocSecurity>
  <Lines>14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4</cp:revision>
  <dcterms:created xsi:type="dcterms:W3CDTF">2025-04-25T11:06:00Z</dcterms:created>
  <dcterms:modified xsi:type="dcterms:W3CDTF">2025-07-12T06:52:00Z</dcterms:modified>
</cp:coreProperties>
</file>