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5C908DED" w:rsidR="00A62906" w:rsidRPr="0066496C" w:rsidRDefault="00A62906" w:rsidP="0066496C">
      <w:pPr>
        <w:keepNext/>
        <w:widowControl w:val="0"/>
        <w:spacing w:after="0" w:line="240" w:lineRule="auto"/>
        <w:ind w:firstLine="567"/>
        <w:jc w:val="both"/>
        <w:outlineLvl w:val="1"/>
        <w:rPr>
          <w:rFonts w:ascii="Times New Roman" w:hAnsi="Times New Roman"/>
          <w:b/>
          <w:bCs/>
          <w:szCs w:val="20"/>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F21CBD" w:rsidRPr="00F21CBD">
        <w:rPr>
          <w:rFonts w:ascii="Times New Roman" w:hAnsi="Times New Roman"/>
          <w:b/>
          <w:bCs/>
          <w:szCs w:val="20"/>
        </w:rPr>
        <w:t>Fotelis - kėdė pacientui</w:t>
      </w:r>
      <w:r w:rsidR="00F21CBD">
        <w:rPr>
          <w:rFonts w:ascii="Times New Roman" w:hAnsi="Times New Roman"/>
          <w:b/>
          <w:bCs/>
          <w:szCs w:val="20"/>
        </w:rPr>
        <w:t xml:space="preserve"> (Nr.3671)</w:t>
      </w:r>
      <w:r w:rsidRPr="00A62906">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2E8608AD"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Kviečiame rinkos dalyvius susipažinti su skelbiamu techninės specifikacijos projektu</w:t>
      </w:r>
      <w:r w:rsidR="006B0D36">
        <w:rPr>
          <w:rFonts w:ascii="Times New Roman" w:eastAsia="Calibri" w:hAnsi="Times New Roman"/>
        </w:rPr>
        <w:t xml:space="preserve"> bei kokybės kriterijais </w:t>
      </w:r>
      <w:r w:rsidRPr="00A62906">
        <w:rPr>
          <w:rFonts w:ascii="Times New Roman" w:eastAsia="Calibri" w:hAnsi="Times New Roman"/>
        </w:rPr>
        <w:t xml:space="preserve">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35"/>
        <w:gridCol w:w="4058"/>
      </w:tblGrid>
      <w:tr w:rsidR="00A62906" w:rsidRPr="00A62906" w14:paraId="33333498" w14:textId="77777777" w:rsidTr="00015352">
        <w:trPr>
          <w:trHeight w:val="598"/>
          <w:tblHeader/>
        </w:trPr>
        <w:tc>
          <w:tcPr>
            <w:tcW w:w="347"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1" w:type="pct"/>
            <w:shd w:val="clear" w:color="auto" w:fill="auto"/>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2" w:type="pct"/>
            <w:shd w:val="clear" w:color="auto" w:fill="auto"/>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015352">
        <w:tc>
          <w:tcPr>
            <w:tcW w:w="347"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1" w:type="pct"/>
            <w:shd w:val="clear" w:color="auto" w:fill="auto"/>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2" w:type="pct"/>
            <w:shd w:val="clear" w:color="auto" w:fill="auto"/>
          </w:tcPr>
          <w:p w14:paraId="5884EA25" w14:textId="67078E1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015352">
        <w:tc>
          <w:tcPr>
            <w:tcW w:w="347"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shd w:val="clear" w:color="auto" w:fill="auto"/>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2" w:type="pct"/>
            <w:shd w:val="clear" w:color="auto" w:fill="auto"/>
          </w:tcPr>
          <w:p w14:paraId="793EFDDD" w14:textId="27E2FFDE"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015352">
        <w:tc>
          <w:tcPr>
            <w:tcW w:w="347"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shd w:val="clear" w:color="auto" w:fill="auto"/>
          </w:tcPr>
          <w:p w14:paraId="3BAA202D"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Nurodykite, kokia būtų preliminari pasiūlymo kaina (su PVM ar be PVM).</w:t>
            </w:r>
          </w:p>
        </w:tc>
        <w:tc>
          <w:tcPr>
            <w:tcW w:w="2172" w:type="pct"/>
            <w:shd w:val="clear" w:color="auto" w:fill="auto"/>
          </w:tcPr>
          <w:p w14:paraId="08A13245" w14:textId="4A7EB69F" w:rsidR="00A62906" w:rsidRPr="00F21CBD"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015352">
        <w:tc>
          <w:tcPr>
            <w:tcW w:w="347"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1" w:type="pct"/>
            <w:shd w:val="clear" w:color="auto" w:fill="auto"/>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2" w:type="pct"/>
            <w:shd w:val="clear" w:color="auto" w:fill="auto"/>
          </w:tcPr>
          <w:p w14:paraId="1BEC07D0" w14:textId="7A30DCD5" w:rsidR="00A62906" w:rsidRPr="00A62906" w:rsidRDefault="00A62906" w:rsidP="00CB7B2A">
            <w:pPr>
              <w:tabs>
                <w:tab w:val="left" w:pos="426"/>
              </w:tabs>
              <w:spacing w:after="0" w:line="240" w:lineRule="auto"/>
              <w:contextualSpacing/>
              <w:rPr>
                <w:rFonts w:ascii="Times New Roman" w:eastAsia="Calibri" w:hAnsi="Times New Roman"/>
              </w:rPr>
            </w:pPr>
          </w:p>
        </w:tc>
      </w:tr>
      <w:tr w:rsidR="007906CB" w:rsidRPr="00A62906" w14:paraId="3B70B91E" w14:textId="77777777" w:rsidTr="00015352">
        <w:tc>
          <w:tcPr>
            <w:tcW w:w="347" w:type="pct"/>
          </w:tcPr>
          <w:p w14:paraId="61B97DDF" w14:textId="77777777" w:rsidR="007906CB" w:rsidRPr="00A62906" w:rsidRDefault="007906CB" w:rsidP="00A62906">
            <w:pPr>
              <w:numPr>
                <w:ilvl w:val="0"/>
                <w:numId w:val="5"/>
              </w:numPr>
              <w:tabs>
                <w:tab w:val="left" w:pos="284"/>
              </w:tabs>
              <w:spacing w:after="0" w:line="240" w:lineRule="auto"/>
              <w:jc w:val="both"/>
              <w:rPr>
                <w:rFonts w:ascii="Times New Roman" w:hAnsi="Times New Roman"/>
              </w:rPr>
            </w:pPr>
          </w:p>
        </w:tc>
        <w:tc>
          <w:tcPr>
            <w:tcW w:w="2481" w:type="pct"/>
            <w:shd w:val="clear" w:color="auto" w:fill="auto"/>
          </w:tcPr>
          <w:p w14:paraId="241ECD53" w14:textId="7848437D" w:rsidR="007906CB" w:rsidRPr="00A62906" w:rsidRDefault="007906CB"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2" w:type="pct"/>
            <w:shd w:val="clear" w:color="auto" w:fill="auto"/>
          </w:tcPr>
          <w:p w14:paraId="4CB79F8D" w14:textId="499E3DA4" w:rsidR="007906CB" w:rsidRPr="002C5E1F" w:rsidRDefault="007906CB" w:rsidP="002C5E1F">
            <w:pPr>
              <w:tabs>
                <w:tab w:val="left" w:pos="426"/>
              </w:tabs>
              <w:spacing w:after="0" w:line="240" w:lineRule="auto"/>
              <w:contextualSpacing/>
              <w:rPr>
                <w:rFonts w:ascii="Times New Roman" w:eastAsia="Calibri" w:hAnsi="Times New Roman"/>
              </w:rPr>
            </w:pPr>
          </w:p>
        </w:tc>
      </w:tr>
      <w:tr w:rsidR="00106DC9" w:rsidRPr="00A62906" w14:paraId="62CDA87B" w14:textId="77777777" w:rsidTr="00015352">
        <w:tc>
          <w:tcPr>
            <w:tcW w:w="347"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1" w:type="pct"/>
            <w:shd w:val="clear" w:color="auto" w:fill="auto"/>
          </w:tcPr>
          <w:p w14:paraId="40267F2D" w14:textId="709CBCDC"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 xml:space="preserve">Kokie gali būti  realūs </w:t>
            </w:r>
            <w:r w:rsidR="00AB2274">
              <w:rPr>
                <w:rFonts w:ascii="Times New Roman" w:hAnsi="Times New Roman"/>
              </w:rPr>
              <w:t>įrangos</w:t>
            </w:r>
            <w:r>
              <w:rPr>
                <w:rFonts w:ascii="Times New Roman" w:hAnsi="Times New Roman"/>
              </w:rPr>
              <w:t xml:space="preserve"> pristatymo terminai?</w:t>
            </w:r>
          </w:p>
        </w:tc>
        <w:tc>
          <w:tcPr>
            <w:tcW w:w="2172" w:type="pct"/>
            <w:shd w:val="clear" w:color="auto" w:fill="auto"/>
          </w:tcPr>
          <w:p w14:paraId="1FE9AE3A" w14:textId="56AF943E" w:rsidR="00106DC9" w:rsidRPr="00A62906" w:rsidRDefault="00106DC9" w:rsidP="00CB7B2A">
            <w:pPr>
              <w:tabs>
                <w:tab w:val="left" w:pos="426"/>
              </w:tabs>
              <w:spacing w:after="0" w:line="240" w:lineRule="auto"/>
              <w:contextualSpacing/>
              <w:rPr>
                <w:rFonts w:ascii="Times New Roman" w:eastAsia="Calibri" w:hAnsi="Times New Roman"/>
              </w:rPr>
            </w:pPr>
          </w:p>
        </w:tc>
      </w:tr>
      <w:tr w:rsidR="00A62906" w:rsidRPr="00A62906" w14:paraId="0D119479" w14:textId="77777777" w:rsidTr="00015352">
        <w:trPr>
          <w:trHeight w:val="213"/>
        </w:trPr>
        <w:tc>
          <w:tcPr>
            <w:tcW w:w="347"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1" w:type="pct"/>
            <w:shd w:val="clear" w:color="auto" w:fill="auto"/>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2" w:type="pct"/>
            <w:shd w:val="clear" w:color="auto" w:fill="auto"/>
          </w:tcPr>
          <w:p w14:paraId="724CF2F5" w14:textId="28D6FC4C"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62CF887E" w14:textId="77777777" w:rsidR="00A62906" w:rsidRPr="00A62906" w:rsidRDefault="00A62906" w:rsidP="00A62906">
      <w:pPr>
        <w:spacing w:after="0" w:line="240" w:lineRule="auto"/>
        <w:ind w:firstLine="567"/>
        <w:jc w:val="both"/>
        <w:rPr>
          <w:rFonts w:ascii="Times New Roman" w:hAnsi="Times New Roman"/>
        </w:rPr>
      </w:pPr>
      <w:r w:rsidRPr="00A62906">
        <w:rPr>
          <w:rFonts w:ascii="Times New Roman" w:eastAsia="Calibri" w:hAnsi="Times New Roman"/>
        </w:rPr>
        <w:t>PRIDEDAMA. T</w:t>
      </w:r>
      <w:r w:rsidRPr="00A6290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63317D">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7866" w14:textId="77777777" w:rsidR="00173F6A" w:rsidRDefault="00173F6A" w:rsidP="00890C17">
      <w:pPr>
        <w:spacing w:after="0" w:line="240" w:lineRule="auto"/>
      </w:pPr>
      <w:r>
        <w:separator/>
      </w:r>
    </w:p>
  </w:endnote>
  <w:endnote w:type="continuationSeparator" w:id="0">
    <w:p w14:paraId="03C0BF28" w14:textId="77777777" w:rsidR="00173F6A" w:rsidRDefault="00173F6A"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6B0D36" w:rsidRDefault="00731DA0" w:rsidP="00731DA0">
          <w:pPr>
            <w:pStyle w:val="Pagrindinistekstas"/>
            <w:spacing w:before="40" w:line="276" w:lineRule="auto"/>
            <w:contextualSpacing/>
            <w:jc w:val="left"/>
            <w:rPr>
              <w:sz w:val="16"/>
              <w:szCs w:val="16"/>
              <w:lang w:val="pt-BR"/>
            </w:rPr>
          </w:pPr>
          <w:r w:rsidRPr="006B0D36">
            <w:rPr>
              <w:sz w:val="16"/>
              <w:szCs w:val="16"/>
              <w:lang w:val="pt-BR"/>
            </w:rPr>
            <w:t xml:space="preserve">L. Asanavičiūtės g. </w:t>
          </w:r>
          <w:smartTag w:uri="urn:schemas-microsoft-com:office:smarttags" w:element="metricconverter">
            <w:smartTagPr>
              <w:attr w:name="ProductID" w:val="27 A"/>
            </w:smartTagPr>
            <w:r w:rsidRPr="006B0D36">
              <w:rPr>
                <w:sz w:val="16"/>
                <w:szCs w:val="16"/>
                <w:lang w:val="pt-BR"/>
              </w:rPr>
              <w:t>27 A</w:t>
            </w:r>
          </w:smartTag>
          <w:r w:rsidRPr="006B0D36">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D0DF" w14:textId="77777777" w:rsidR="00173F6A" w:rsidRDefault="00173F6A" w:rsidP="00890C17">
      <w:pPr>
        <w:spacing w:after="0" w:line="240" w:lineRule="auto"/>
      </w:pPr>
      <w:r>
        <w:separator/>
      </w:r>
    </w:p>
  </w:footnote>
  <w:footnote w:type="continuationSeparator" w:id="0">
    <w:p w14:paraId="072DCEE6" w14:textId="77777777" w:rsidR="00173F6A" w:rsidRDefault="00173F6A"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00762327">
    <w:abstractNumId w:val="4"/>
  </w:num>
  <w:num w:numId="2" w16cid:durableId="1608583149">
    <w:abstractNumId w:val="1"/>
  </w:num>
  <w:num w:numId="3" w16cid:durableId="1682120444">
    <w:abstractNumId w:val="2"/>
  </w:num>
  <w:num w:numId="4" w16cid:durableId="980840621">
    <w:abstractNumId w:val="0"/>
  </w:num>
  <w:num w:numId="5" w16cid:durableId="15373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5"/>
    <w:rsid w:val="000179EC"/>
    <w:rsid w:val="00050274"/>
    <w:rsid w:val="00063979"/>
    <w:rsid w:val="00082E3A"/>
    <w:rsid w:val="000E3BD5"/>
    <w:rsid w:val="00106DC9"/>
    <w:rsid w:val="00115688"/>
    <w:rsid w:val="001236E0"/>
    <w:rsid w:val="0013757D"/>
    <w:rsid w:val="00173F6A"/>
    <w:rsid w:val="00186791"/>
    <w:rsid w:val="001A7AD4"/>
    <w:rsid w:val="002216DB"/>
    <w:rsid w:val="002661C0"/>
    <w:rsid w:val="00292A57"/>
    <w:rsid w:val="002C5E1F"/>
    <w:rsid w:val="002F10F1"/>
    <w:rsid w:val="0032070C"/>
    <w:rsid w:val="0033446F"/>
    <w:rsid w:val="00363343"/>
    <w:rsid w:val="00385078"/>
    <w:rsid w:val="00386D7F"/>
    <w:rsid w:val="00396981"/>
    <w:rsid w:val="003E1102"/>
    <w:rsid w:val="00417BC8"/>
    <w:rsid w:val="004228BD"/>
    <w:rsid w:val="00484BFA"/>
    <w:rsid w:val="004F61A0"/>
    <w:rsid w:val="00516C33"/>
    <w:rsid w:val="00564BF1"/>
    <w:rsid w:val="00592E2F"/>
    <w:rsid w:val="005B08F5"/>
    <w:rsid w:val="005F73D2"/>
    <w:rsid w:val="00605B25"/>
    <w:rsid w:val="0063317D"/>
    <w:rsid w:val="00660545"/>
    <w:rsid w:val="006645C8"/>
    <w:rsid w:val="0066496C"/>
    <w:rsid w:val="006855BE"/>
    <w:rsid w:val="00694A75"/>
    <w:rsid w:val="006B0D36"/>
    <w:rsid w:val="00724655"/>
    <w:rsid w:val="00731DA0"/>
    <w:rsid w:val="00737AF7"/>
    <w:rsid w:val="007906CB"/>
    <w:rsid w:val="00790AC5"/>
    <w:rsid w:val="008466BE"/>
    <w:rsid w:val="008650E2"/>
    <w:rsid w:val="0087798F"/>
    <w:rsid w:val="00884634"/>
    <w:rsid w:val="00890C17"/>
    <w:rsid w:val="008C1C3D"/>
    <w:rsid w:val="008F0536"/>
    <w:rsid w:val="00952D6A"/>
    <w:rsid w:val="009A5860"/>
    <w:rsid w:val="009A6A3C"/>
    <w:rsid w:val="009F1473"/>
    <w:rsid w:val="00A4318E"/>
    <w:rsid w:val="00A62906"/>
    <w:rsid w:val="00A72857"/>
    <w:rsid w:val="00A9165D"/>
    <w:rsid w:val="00AB2274"/>
    <w:rsid w:val="00AF42BD"/>
    <w:rsid w:val="00B074FD"/>
    <w:rsid w:val="00B520D9"/>
    <w:rsid w:val="00B612FB"/>
    <w:rsid w:val="00BF04B1"/>
    <w:rsid w:val="00BF75F8"/>
    <w:rsid w:val="00C03600"/>
    <w:rsid w:val="00C27DD3"/>
    <w:rsid w:val="00C35505"/>
    <w:rsid w:val="00C357DF"/>
    <w:rsid w:val="00C409AD"/>
    <w:rsid w:val="00C47775"/>
    <w:rsid w:val="00CA40F1"/>
    <w:rsid w:val="00CB7B2A"/>
    <w:rsid w:val="00CC13E8"/>
    <w:rsid w:val="00CC732A"/>
    <w:rsid w:val="00CD5B4C"/>
    <w:rsid w:val="00D30D6C"/>
    <w:rsid w:val="00D83FC9"/>
    <w:rsid w:val="00D90E50"/>
    <w:rsid w:val="00D913E9"/>
    <w:rsid w:val="00E327E8"/>
    <w:rsid w:val="00E812AE"/>
    <w:rsid w:val="00F21CBD"/>
    <w:rsid w:val="00F306E7"/>
    <w:rsid w:val="00F449DE"/>
    <w:rsid w:val="00F75E24"/>
    <w:rsid w:val="00F81B96"/>
    <w:rsid w:val="00F901B0"/>
    <w:rsid w:val="00FC2C41"/>
    <w:rsid w:val="00FD68BE"/>
    <w:rsid w:val="00FF044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docId w15:val="{6903E46B-3D05-48A6-B88E-751F3E5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2102</Words>
  <Characters>1199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Ingrida Kuncaitė-Juocevičienė</cp:lastModifiedBy>
  <cp:revision>2</cp:revision>
  <cp:lastPrinted>2021-07-16T11:10:00Z</cp:lastPrinted>
  <dcterms:created xsi:type="dcterms:W3CDTF">2025-07-14T10:02:00Z</dcterms:created>
  <dcterms:modified xsi:type="dcterms:W3CDTF">2025-07-14T10:02:00Z</dcterms:modified>
</cp:coreProperties>
</file>