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4F7AB7F0" w:rsidR="004D0B62" w:rsidRPr="009930E4" w:rsidRDefault="003C2EF2" w:rsidP="004D0B62">
      <w:pPr>
        <w:pStyle w:val="Title"/>
        <w:spacing w:line="276" w:lineRule="auto"/>
        <w:rPr>
          <w:rFonts w:ascii="Arial" w:hAnsi="Arial" w:cs="Arial"/>
          <w:noProof/>
          <w:sz w:val="20"/>
          <w:lang w:val="lt-LT"/>
        </w:rPr>
      </w:pPr>
      <w:bookmarkStart w:id="0" w:name="_Hlk92286278"/>
      <w:bookmarkStart w:id="1" w:name="_Hlk78355290"/>
      <w:permStart w:id="1588074332" w:edGrp="everyone"/>
      <w:r w:rsidRPr="003C2EF2">
        <w:rPr>
          <w:rFonts w:ascii="Arial" w:hAnsi="Arial" w:cs="Arial"/>
          <w:noProof/>
          <w:sz w:val="20"/>
          <w:lang w:val="lt-LT"/>
        </w:rPr>
        <w:t>400kVA galios dyzelini</w:t>
      </w:r>
      <w:r>
        <w:rPr>
          <w:rFonts w:ascii="Arial" w:hAnsi="Arial" w:cs="Arial"/>
          <w:noProof/>
          <w:sz w:val="20"/>
          <w:lang w:val="lt-LT"/>
        </w:rPr>
        <w:t>O</w:t>
      </w:r>
      <w:r w:rsidRPr="003C2EF2">
        <w:rPr>
          <w:rFonts w:ascii="Arial" w:hAnsi="Arial" w:cs="Arial"/>
          <w:noProof/>
          <w:sz w:val="20"/>
          <w:lang w:val="lt-LT"/>
        </w:rPr>
        <w:t xml:space="preserve"> elektros generatoriaus Noreikiškių katilinei, adresu Universiteto g. 1, 53361 Akademija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0301E0C0"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3C2EF2">
        <w:rPr>
          <w:rFonts w:ascii="Arial" w:hAnsi="Arial" w:cs="Arial"/>
          <w:noProof/>
          <w:sz w:val="20"/>
          <w:szCs w:val="20"/>
          <w:lang w:val="lt-LT"/>
        </w:rPr>
        <w:t>5 m.</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shd w:val="clear" w:color="auto" w:fill="auto"/>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shd w:val="clear" w:color="auto" w:fill="auto"/>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shd w:val="clear" w:color="auto" w:fill="auto"/>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shd w:val="clear" w:color="auto" w:fill="auto"/>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shd w:val="clear" w:color="auto" w:fill="auto"/>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shd w:val="clear" w:color="auto" w:fill="auto"/>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shd w:val="clear" w:color="auto" w:fill="auto"/>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0ECDD716"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r w:rsidR="003C2EF2">
              <w:rPr>
                <w:rFonts w:ascii="Arial" w:hAnsi="Arial" w:cs="Arial"/>
                <w:noProof/>
                <w:sz w:val="20"/>
                <w:szCs w:val="20"/>
                <w:lang w:val="lt-LT"/>
              </w:rPr>
              <w:t>, veikiančio pagal Pirkėjo įstatus</w:t>
            </w:r>
          </w:p>
        </w:tc>
        <w:tc>
          <w:tcPr>
            <w:tcW w:w="5544" w:type="dxa"/>
            <w:shd w:val="clear" w:color="auto" w:fill="auto"/>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BlockText"/>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shd w:val="clear" w:color="auto" w:fill="auto"/>
          </w:tcPr>
          <w:p w14:paraId="0558777E" w14:textId="1EDF0965" w:rsidR="00912028" w:rsidRPr="00EB0A04" w:rsidRDefault="003C2EF2" w:rsidP="594AB177">
            <w:pPr>
              <w:jc w:val="both"/>
              <w:rPr>
                <w:rFonts w:ascii="Arial" w:hAnsi="Arial" w:cs="Arial"/>
                <w:b/>
                <w:bCs/>
                <w:iCs/>
                <w:noProof/>
                <w:sz w:val="20"/>
                <w:szCs w:val="20"/>
                <w:lang w:val="lt-LT"/>
              </w:rPr>
            </w:pPr>
            <w:r w:rsidRPr="003C2EF2">
              <w:rPr>
                <w:rFonts w:ascii="Arial" w:hAnsi="Arial" w:cs="Arial"/>
                <w:b/>
                <w:bCs/>
                <w:iCs/>
                <w:noProof/>
                <w:sz w:val="20"/>
                <w:szCs w:val="20"/>
                <w:lang w:val="lt-LT"/>
              </w:rPr>
              <w:t xml:space="preserve">400kVA galios dyzelinis elektros generatoriaus Noreikiškių katilinei, adresu Universiteto g. 1, 53361 Akademija </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shd w:val="clear" w:color="auto" w:fill="auto"/>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shd w:val="clear" w:color="auto" w:fill="auto"/>
          </w:tcPr>
          <w:p w14:paraId="0F5BCF6E" w14:textId="59981491" w:rsidR="00912028" w:rsidRPr="009930E4" w:rsidRDefault="003C2EF2" w:rsidP="000D00A7">
            <w:pPr>
              <w:jc w:val="both"/>
              <w:rPr>
                <w:rFonts w:ascii="Arial" w:hAnsi="Arial" w:cs="Arial"/>
                <w:noProof/>
                <w:sz w:val="20"/>
                <w:szCs w:val="20"/>
                <w:lang w:val="lt-LT"/>
              </w:rPr>
            </w:pPr>
            <w:r>
              <w:rPr>
                <w:rFonts w:ascii="Arial" w:hAnsi="Arial" w:cs="Arial"/>
                <w:noProof/>
                <w:sz w:val="20"/>
                <w:szCs w:val="20"/>
                <w:lang w:val="lt-LT"/>
              </w:rPr>
              <w:t>24 (dvidešimt keturi) mėnesiai nuo Sutarties įsigaliojimo dienos (neįskaitant apmokėjimo termino) su galimybe Sutartį 1 (vieną) kartą pratęsti 12 (dvylikos) mėnesių laikotarpiui</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shd w:val="clear" w:color="auto" w:fill="auto"/>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shd w:val="clear" w:color="auto" w:fill="auto"/>
          </w:tcPr>
          <w:p w14:paraId="2635687B" w14:textId="47F53B3C" w:rsidR="00912028" w:rsidRPr="009930E4" w:rsidRDefault="00125AAA" w:rsidP="009F797C">
            <w:pPr>
              <w:jc w:val="both"/>
              <w:rPr>
                <w:rFonts w:ascii="Arial" w:hAnsi="Arial" w:cs="Arial"/>
                <w:noProof/>
                <w:sz w:val="20"/>
                <w:szCs w:val="20"/>
                <w:lang w:val="lt-LT"/>
              </w:rPr>
            </w:pPr>
            <w:r>
              <w:rPr>
                <w:rFonts w:ascii="Arial" w:hAnsi="Arial" w:cs="Arial"/>
                <w:noProof/>
                <w:sz w:val="20"/>
                <w:szCs w:val="20"/>
                <w:lang w:val="lt-LT"/>
              </w:rPr>
              <w:t>Taikoma</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shd w:val="clear" w:color="auto" w:fill="auto"/>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shd w:val="clear" w:color="auto" w:fill="auto"/>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shd w:val="clear" w:color="auto" w:fill="auto"/>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shd w:val="clear" w:color="auto" w:fill="auto"/>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shd w:val="clear" w:color="auto" w:fill="auto"/>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4D46952D" w14:textId="4FBEC338" w:rsidR="00912028" w:rsidRPr="009930E4" w:rsidRDefault="00912028" w:rsidP="00941BF7">
            <w:pPr>
              <w:rPr>
                <w:rFonts w:ascii="Arial" w:hAnsi="Arial" w:cs="Arial"/>
                <w:noProof/>
                <w:sz w:val="20"/>
                <w:szCs w:val="20"/>
                <w:lang w:val="lt-LT"/>
              </w:rPr>
            </w:pPr>
          </w:p>
        </w:tc>
        <w:tc>
          <w:tcPr>
            <w:tcW w:w="2282" w:type="dxa"/>
            <w:shd w:val="clear" w:color="auto" w:fill="auto"/>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shd w:val="clear" w:color="auto" w:fill="auto"/>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0962855B" w14:textId="0A360CCF" w:rsidR="00912028" w:rsidRPr="009930E4" w:rsidRDefault="00912028" w:rsidP="00941BF7">
            <w:pPr>
              <w:rPr>
                <w:rFonts w:ascii="Arial" w:hAnsi="Arial" w:cs="Arial"/>
                <w:noProof/>
                <w:sz w:val="20"/>
                <w:szCs w:val="20"/>
                <w:lang w:val="lt-LT"/>
              </w:rPr>
            </w:pPr>
          </w:p>
        </w:tc>
        <w:tc>
          <w:tcPr>
            <w:tcW w:w="2282" w:type="dxa"/>
            <w:shd w:val="clear" w:color="auto" w:fill="auto"/>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shd w:val="clear" w:color="auto" w:fill="auto"/>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3A2A4D7" w14:textId="14B948B1" w:rsidR="00912028" w:rsidRPr="009930E4" w:rsidRDefault="00912028" w:rsidP="00941BF7">
            <w:pPr>
              <w:rPr>
                <w:rFonts w:ascii="Arial" w:hAnsi="Arial" w:cs="Arial"/>
                <w:b/>
                <w:noProof/>
                <w:sz w:val="20"/>
                <w:szCs w:val="20"/>
                <w:lang w:val="lt-LT"/>
              </w:rPr>
            </w:pPr>
          </w:p>
        </w:tc>
      </w:tr>
      <w:tr w:rsidR="00912028" w:rsidRPr="009930E4" w14:paraId="368838BA" w14:textId="4D08C427" w:rsidTr="003A7291">
        <w:trPr>
          <w:trHeight w:val="152"/>
        </w:trPr>
        <w:tc>
          <w:tcPr>
            <w:tcW w:w="495" w:type="dxa"/>
            <w:vMerge w:val="restart"/>
          </w:tcPr>
          <w:p w14:paraId="3A489E12" w14:textId="4BBED072" w:rsidR="00912028" w:rsidRPr="009930E4" w:rsidRDefault="00912028" w:rsidP="00BB09F3">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shd w:val="clear" w:color="auto" w:fill="auto"/>
            <w:vAlign w:val="center"/>
          </w:tcPr>
          <w:p w14:paraId="76A8403B" w14:textId="2887AD72"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shd w:val="clear" w:color="auto" w:fill="auto"/>
          </w:tcPr>
          <w:p w14:paraId="6E365C84" w14:textId="5375DC26"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adresas (-ai):</w:t>
            </w:r>
          </w:p>
        </w:tc>
        <w:tc>
          <w:tcPr>
            <w:tcW w:w="4147" w:type="dxa"/>
            <w:gridSpan w:val="2"/>
          </w:tcPr>
          <w:p w14:paraId="6459EDF3" w14:textId="3FEDA18D" w:rsidR="00912028" w:rsidRPr="001458A9" w:rsidRDefault="003C2EF2" w:rsidP="00BB09F3">
            <w:pPr>
              <w:tabs>
                <w:tab w:val="left" w:pos="313"/>
              </w:tabs>
              <w:rPr>
                <w:rFonts w:ascii="Arial" w:hAnsi="Arial" w:cs="Arial"/>
                <w:noProof/>
                <w:sz w:val="20"/>
                <w:szCs w:val="20"/>
                <w:lang w:val="lt-LT"/>
              </w:rPr>
            </w:pPr>
            <w:r>
              <w:rPr>
                <w:rFonts w:ascii="Arial" w:hAnsi="Arial" w:cs="Arial"/>
                <w:noProof/>
                <w:sz w:val="20"/>
                <w:szCs w:val="20"/>
                <w:lang w:val="lt-LT"/>
              </w:rPr>
              <w:t>Noreikiškių katilinė, Universiteto g. 1, Akademija</w:t>
            </w:r>
          </w:p>
        </w:tc>
      </w:tr>
      <w:tr w:rsidR="00912028" w:rsidRPr="009930E4" w14:paraId="28A2C26C" w14:textId="691D1171" w:rsidTr="003A7291">
        <w:trPr>
          <w:trHeight w:val="152"/>
        </w:trPr>
        <w:tc>
          <w:tcPr>
            <w:tcW w:w="495" w:type="dxa"/>
            <w:vMerge/>
          </w:tcPr>
          <w:p w14:paraId="7EAC567F" w14:textId="77777777" w:rsidR="00912028" w:rsidRPr="009930E4" w:rsidRDefault="00912028" w:rsidP="00C62784">
            <w:pPr>
              <w:tabs>
                <w:tab w:val="left" w:pos="313"/>
              </w:tabs>
              <w:rPr>
                <w:rFonts w:ascii="Arial" w:hAnsi="Arial" w:cs="Arial"/>
                <w:noProof/>
                <w:sz w:val="20"/>
                <w:szCs w:val="20"/>
                <w:lang w:val="lt-LT"/>
              </w:rPr>
            </w:pPr>
          </w:p>
        </w:tc>
        <w:tc>
          <w:tcPr>
            <w:tcW w:w="3328" w:type="dxa"/>
            <w:vMerge/>
            <w:shd w:val="clear" w:color="auto" w:fill="auto"/>
          </w:tcPr>
          <w:p w14:paraId="2AC59D36" w14:textId="0EE4E831" w:rsidR="00912028" w:rsidRPr="009930E4" w:rsidRDefault="00912028" w:rsidP="00C62784">
            <w:pPr>
              <w:tabs>
                <w:tab w:val="left" w:pos="313"/>
              </w:tabs>
              <w:rPr>
                <w:rFonts w:ascii="Arial" w:hAnsi="Arial" w:cs="Arial"/>
                <w:noProof/>
                <w:sz w:val="20"/>
                <w:szCs w:val="20"/>
                <w:lang w:val="lt-LT"/>
              </w:rPr>
            </w:pPr>
          </w:p>
        </w:tc>
        <w:tc>
          <w:tcPr>
            <w:tcW w:w="2282" w:type="dxa"/>
            <w:shd w:val="clear" w:color="auto" w:fill="auto"/>
          </w:tcPr>
          <w:p w14:paraId="7A2CED91" w14:textId="2647F7F2" w:rsidR="00912028" w:rsidRPr="009930E4" w:rsidRDefault="00912028" w:rsidP="000F457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sidR="0022429F">
              <w:rPr>
                <w:rFonts w:ascii="Arial" w:hAnsi="Arial" w:cs="Arial"/>
                <w:noProof/>
                <w:sz w:val="20"/>
                <w:szCs w:val="20"/>
                <w:lang w:val="lt-LT"/>
              </w:rPr>
              <w:t xml:space="preserve"> </w:t>
            </w:r>
          </w:p>
        </w:tc>
        <w:tc>
          <w:tcPr>
            <w:tcW w:w="4147" w:type="dxa"/>
            <w:gridSpan w:val="2"/>
          </w:tcPr>
          <w:p w14:paraId="1B3310F1" w14:textId="32AFCAFA" w:rsidR="00912028" w:rsidRPr="001458A9" w:rsidRDefault="003C2EF2" w:rsidP="000F4576">
            <w:pPr>
              <w:tabs>
                <w:tab w:val="left" w:pos="313"/>
              </w:tabs>
              <w:rPr>
                <w:rFonts w:ascii="Arial" w:hAnsi="Arial" w:cs="Arial"/>
                <w:noProof/>
                <w:sz w:val="20"/>
                <w:szCs w:val="20"/>
                <w:lang w:val="lt-LT"/>
              </w:rPr>
            </w:pPr>
            <w:r w:rsidRPr="003C2EF2">
              <w:rPr>
                <w:rFonts w:ascii="Arial" w:hAnsi="Arial" w:cs="Arial"/>
                <w:noProof/>
                <w:sz w:val="20"/>
                <w:szCs w:val="20"/>
                <w:lang w:val="lt-LT"/>
              </w:rPr>
              <w:t>ne vėliau kaip per 25 savaites nuo Sutarties įsigaliojimo datos</w:t>
            </w:r>
          </w:p>
        </w:tc>
      </w:tr>
      <w:tr w:rsidR="00912028" w:rsidRPr="009930E4" w14:paraId="333604B6" w14:textId="77777777" w:rsidTr="003A7291">
        <w:trPr>
          <w:trHeight w:val="387"/>
        </w:trPr>
        <w:tc>
          <w:tcPr>
            <w:tcW w:w="495" w:type="dxa"/>
            <w:vMerge w:val="restart"/>
          </w:tcPr>
          <w:p w14:paraId="0F6A23FF" w14:textId="73A7D177" w:rsidR="00912028" w:rsidRPr="009930E4" w:rsidRDefault="00912028" w:rsidP="00E53D8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shd w:val="clear" w:color="auto" w:fill="auto"/>
          </w:tcPr>
          <w:p w14:paraId="592F066D" w14:textId="347F36E8"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shd w:val="clear" w:color="auto" w:fill="auto"/>
          </w:tcPr>
          <w:p w14:paraId="35471005" w14:textId="3784E491" w:rsidR="00912028" w:rsidRPr="009930E4" w:rsidRDefault="00912028" w:rsidP="00E53D87">
            <w:pPr>
              <w:tabs>
                <w:tab w:val="left" w:pos="0"/>
              </w:tabs>
              <w:rPr>
                <w:rFonts w:ascii="Arial" w:hAnsi="Arial" w:cs="Arial"/>
                <w:noProof/>
                <w:sz w:val="20"/>
                <w:szCs w:val="20"/>
                <w:lang w:val="lt-LT"/>
              </w:rPr>
            </w:pPr>
            <w:r w:rsidRPr="009930E4">
              <w:rPr>
                <w:rFonts w:ascii="Arial" w:hAnsi="Arial" w:cs="Arial"/>
                <w:noProof/>
                <w:sz w:val="20"/>
                <w:szCs w:val="20"/>
                <w:lang w:val="lt-LT"/>
              </w:rPr>
              <w:t>P</w:t>
            </w:r>
            <w:r w:rsidR="003C2EF2">
              <w:rPr>
                <w:rFonts w:ascii="Arial" w:hAnsi="Arial" w:cs="Arial"/>
                <w:noProof/>
                <w:sz w:val="20"/>
                <w:szCs w:val="20"/>
                <w:lang w:val="lt-LT"/>
              </w:rPr>
              <w:t xml:space="preserve">irkėjo </w:t>
            </w:r>
            <w:r w:rsidRPr="009930E4">
              <w:rPr>
                <w:rFonts w:ascii="Arial" w:hAnsi="Arial" w:cs="Arial"/>
                <w:noProof/>
                <w:sz w:val="20"/>
                <w:szCs w:val="20"/>
                <w:lang w:val="lt-LT"/>
              </w:rPr>
              <w:t>atstovas:</w:t>
            </w:r>
          </w:p>
        </w:tc>
        <w:tc>
          <w:tcPr>
            <w:tcW w:w="4147" w:type="dxa"/>
            <w:gridSpan w:val="2"/>
            <w:shd w:val="clear" w:color="auto" w:fill="auto"/>
          </w:tcPr>
          <w:p w14:paraId="73237B17" w14:textId="27F253F0" w:rsidR="00912028" w:rsidRPr="009930E4" w:rsidRDefault="00912028" w:rsidP="000609BC">
            <w:pPr>
              <w:tabs>
                <w:tab w:val="left" w:pos="313"/>
              </w:tabs>
              <w:rPr>
                <w:rFonts w:ascii="Arial" w:hAnsi="Arial" w:cs="Arial"/>
                <w:noProof/>
                <w:sz w:val="20"/>
                <w:szCs w:val="20"/>
                <w:lang w:val="lt-LT"/>
              </w:rPr>
            </w:pPr>
          </w:p>
        </w:tc>
      </w:tr>
      <w:tr w:rsidR="00912028" w:rsidRPr="009930E4" w14:paraId="70A70A3C" w14:textId="77777777" w:rsidTr="003A7291">
        <w:trPr>
          <w:trHeight w:val="144"/>
        </w:trPr>
        <w:tc>
          <w:tcPr>
            <w:tcW w:w="495" w:type="dxa"/>
            <w:vMerge/>
          </w:tcPr>
          <w:p w14:paraId="2030736C" w14:textId="77777777" w:rsidR="00912028" w:rsidRPr="009930E4" w:rsidRDefault="00912028">
            <w:pPr>
              <w:tabs>
                <w:tab w:val="left" w:pos="313"/>
              </w:tabs>
              <w:rPr>
                <w:rFonts w:ascii="Arial" w:hAnsi="Arial" w:cs="Arial"/>
                <w:noProof/>
                <w:sz w:val="20"/>
                <w:szCs w:val="20"/>
                <w:lang w:val="lt-LT"/>
              </w:rPr>
            </w:pPr>
          </w:p>
        </w:tc>
        <w:tc>
          <w:tcPr>
            <w:tcW w:w="3328" w:type="dxa"/>
            <w:vMerge/>
            <w:shd w:val="clear" w:color="auto" w:fill="auto"/>
          </w:tcPr>
          <w:p w14:paraId="49F36B59" w14:textId="75F3AC93" w:rsidR="00912028" w:rsidRPr="009930E4" w:rsidRDefault="00912028" w:rsidP="000568DC">
            <w:pPr>
              <w:tabs>
                <w:tab w:val="left" w:pos="313"/>
              </w:tabs>
              <w:rPr>
                <w:rFonts w:ascii="Arial" w:hAnsi="Arial" w:cs="Arial"/>
                <w:noProof/>
                <w:sz w:val="20"/>
                <w:szCs w:val="20"/>
                <w:lang w:val="lt-LT"/>
              </w:rPr>
            </w:pPr>
          </w:p>
        </w:tc>
        <w:tc>
          <w:tcPr>
            <w:tcW w:w="2282" w:type="dxa"/>
            <w:shd w:val="clear" w:color="auto" w:fill="auto"/>
          </w:tcPr>
          <w:p w14:paraId="6CABF139" w14:textId="15AE7AF1" w:rsidR="00912028" w:rsidRPr="009930E4" w:rsidRDefault="003C2EF2" w:rsidP="00E53D87">
            <w:pPr>
              <w:tabs>
                <w:tab w:val="left" w:pos="313"/>
              </w:tabs>
              <w:rPr>
                <w:rFonts w:ascii="Arial" w:hAnsi="Arial" w:cs="Arial"/>
                <w:noProof/>
                <w:sz w:val="20"/>
                <w:szCs w:val="20"/>
                <w:lang w:val="lt-LT"/>
              </w:rPr>
            </w:pPr>
            <w:r>
              <w:rPr>
                <w:rFonts w:ascii="Arial" w:hAnsi="Arial" w:cs="Arial"/>
                <w:noProof/>
                <w:sz w:val="20"/>
                <w:szCs w:val="20"/>
                <w:lang w:val="lt-LT"/>
              </w:rPr>
              <w:t>Pardavėjo</w:t>
            </w:r>
            <w:r w:rsidR="00912028" w:rsidRPr="009930E4">
              <w:rPr>
                <w:rFonts w:ascii="Arial" w:hAnsi="Arial" w:cs="Arial"/>
                <w:noProof/>
                <w:sz w:val="20"/>
                <w:szCs w:val="20"/>
                <w:lang w:val="lt-LT"/>
              </w:rPr>
              <w:t xml:space="preserve"> atstovas:</w:t>
            </w:r>
          </w:p>
        </w:tc>
        <w:tc>
          <w:tcPr>
            <w:tcW w:w="4147" w:type="dxa"/>
            <w:gridSpan w:val="2"/>
            <w:shd w:val="clear" w:color="auto" w:fill="auto"/>
          </w:tcPr>
          <w:p w14:paraId="1A6A074E" w14:textId="62648549" w:rsidR="00912028" w:rsidRPr="009930E4" w:rsidRDefault="00912028" w:rsidP="000609BC">
            <w:pPr>
              <w:tabs>
                <w:tab w:val="left" w:pos="313"/>
              </w:tabs>
              <w:rPr>
                <w:rFonts w:ascii="Arial" w:hAnsi="Arial" w:cs="Arial"/>
                <w:noProof/>
                <w:sz w:val="20"/>
                <w:szCs w:val="20"/>
                <w:lang w:val="lt-LT"/>
              </w:rPr>
            </w:pPr>
          </w:p>
        </w:tc>
      </w:tr>
      <w:tr w:rsidR="00912028" w:rsidRPr="009930E4" w14:paraId="4A7FE78C" w14:textId="77777777" w:rsidTr="003A7291">
        <w:trPr>
          <w:trHeight w:val="318"/>
        </w:trPr>
        <w:tc>
          <w:tcPr>
            <w:tcW w:w="495" w:type="dxa"/>
          </w:tcPr>
          <w:p w14:paraId="1953D810" w14:textId="7A8E103E" w:rsidR="00912028" w:rsidRPr="009930E4" w:rsidRDefault="00912028" w:rsidP="00C17A98">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shd w:val="clear" w:color="auto" w:fill="auto"/>
          </w:tcPr>
          <w:p w14:paraId="3D1A33E1" w14:textId="7DC8BEFC" w:rsidR="00912028" w:rsidRPr="009930E4" w:rsidRDefault="00912028" w:rsidP="00C17A98">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shd w:val="clear" w:color="auto" w:fill="auto"/>
          </w:tcPr>
          <w:p w14:paraId="7AFE66FE" w14:textId="04B03DEE" w:rsidR="00912028" w:rsidRPr="003C2EF2" w:rsidRDefault="003C2EF2" w:rsidP="003C2EF2">
            <w:pPr>
              <w:tabs>
                <w:tab w:val="left" w:pos="567"/>
              </w:tabs>
              <w:spacing w:line="264" w:lineRule="auto"/>
              <w:jc w:val="both"/>
              <w:rPr>
                <w:rFonts w:ascii="Arial" w:hAnsi="Arial" w:cs="Arial"/>
                <w:noProof/>
                <w:sz w:val="20"/>
                <w:szCs w:val="20"/>
              </w:rPr>
            </w:pPr>
            <w:r>
              <w:rPr>
                <w:rFonts w:ascii="Arial" w:hAnsi="Arial" w:cs="Arial"/>
                <w:noProof/>
                <w:sz w:val="20"/>
                <w:szCs w:val="20"/>
              </w:rPr>
              <w:t>1.</w:t>
            </w:r>
            <w:r w:rsidRPr="003C2EF2">
              <w:rPr>
                <w:rFonts w:ascii="Arial" w:hAnsi="Arial" w:cs="Arial"/>
                <w:noProof/>
                <w:sz w:val="20"/>
                <w:szCs w:val="20"/>
              </w:rPr>
              <w:t>Techninė specifikacija;</w:t>
            </w:r>
          </w:p>
          <w:p w14:paraId="42F4F5A1" w14:textId="7B30AEA7" w:rsidR="003C2EF2" w:rsidRPr="003C2EF2" w:rsidRDefault="003C2EF2" w:rsidP="003C2EF2">
            <w:pPr>
              <w:tabs>
                <w:tab w:val="left" w:pos="567"/>
              </w:tabs>
              <w:spacing w:line="264" w:lineRule="auto"/>
              <w:jc w:val="both"/>
              <w:rPr>
                <w:rFonts w:ascii="Arial" w:hAnsi="Arial" w:cs="Arial"/>
                <w:noProof/>
                <w:sz w:val="20"/>
                <w:szCs w:val="20"/>
              </w:rPr>
            </w:pPr>
            <w:r>
              <w:rPr>
                <w:rFonts w:ascii="Arial" w:hAnsi="Arial" w:cs="Arial"/>
                <w:noProof/>
                <w:sz w:val="20"/>
                <w:szCs w:val="20"/>
              </w:rPr>
              <w:t>2. Pardavėjo pasiūlymas.</w:t>
            </w:r>
          </w:p>
        </w:tc>
      </w:tr>
      <w:tr w:rsidR="00912028" w:rsidRPr="009930E4" w14:paraId="2C9640E5" w14:textId="77777777" w:rsidTr="003A7291">
        <w:trPr>
          <w:trHeight w:val="145"/>
        </w:trPr>
        <w:tc>
          <w:tcPr>
            <w:tcW w:w="495" w:type="dxa"/>
          </w:tcPr>
          <w:p w14:paraId="215F757C" w14:textId="3DC11EAC" w:rsidR="00912028" w:rsidRPr="009930E4" w:rsidRDefault="00912028" w:rsidP="00C17A98">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shd w:val="clear" w:color="auto" w:fill="auto"/>
          </w:tcPr>
          <w:p w14:paraId="5CA17705" w14:textId="4094A3DF" w:rsidR="00912028" w:rsidRPr="009930E4" w:rsidRDefault="00912028" w:rsidP="00C17A98">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shd w:val="clear" w:color="auto" w:fill="auto"/>
          </w:tcPr>
          <w:p w14:paraId="395FD5B5" w14:textId="2FAC5EA9" w:rsidR="00912028" w:rsidRPr="009930E4" w:rsidRDefault="00912028" w:rsidP="000609BC">
            <w:pPr>
              <w:jc w:val="both"/>
              <w:rPr>
                <w:rFonts w:ascii="Arial" w:hAnsi="Arial" w:cs="Arial"/>
                <w:noProof/>
                <w:sz w:val="20"/>
                <w:szCs w:val="20"/>
                <w:lang w:val="lt-LT"/>
              </w:rPr>
            </w:pPr>
          </w:p>
        </w:tc>
      </w:tr>
      <w:tr w:rsidR="00912028" w:rsidRPr="009930E4" w14:paraId="5AAC2953" w14:textId="77777777" w:rsidTr="003A7291">
        <w:trPr>
          <w:trHeight w:val="145"/>
        </w:trPr>
        <w:tc>
          <w:tcPr>
            <w:tcW w:w="495" w:type="dxa"/>
          </w:tcPr>
          <w:p w14:paraId="14819456" w14:textId="2670A78C" w:rsidR="00912028" w:rsidRPr="009930E4" w:rsidRDefault="00912028" w:rsidP="000568DC">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shd w:val="clear" w:color="auto" w:fill="auto"/>
          </w:tcPr>
          <w:p w14:paraId="5341CA26" w14:textId="662AD6DC" w:rsidR="00912028" w:rsidRPr="009930E4" w:rsidRDefault="00912028" w:rsidP="00C17A98">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shd w:val="clear" w:color="auto" w:fill="auto"/>
          </w:tcPr>
          <w:p w14:paraId="0AFAED83" w14:textId="724603A9" w:rsidR="003C2EF2" w:rsidRDefault="003C2EF2" w:rsidP="003C2EF2">
            <w:pPr>
              <w:ind w:left="35"/>
              <w:jc w:val="both"/>
              <w:rPr>
                <w:rFonts w:ascii="Arial" w:hAnsi="Arial" w:cs="Arial"/>
                <w:noProof/>
                <w:sz w:val="20"/>
                <w:szCs w:val="20"/>
                <w:lang w:val="lt-LT"/>
              </w:rPr>
            </w:pPr>
            <w:r>
              <w:rPr>
                <w:rFonts w:ascii="Arial" w:hAnsi="Arial" w:cs="Arial"/>
                <w:noProof/>
                <w:sz w:val="20"/>
                <w:szCs w:val="20"/>
                <w:lang w:val="lt-LT"/>
              </w:rPr>
              <w:t>11.1. Sutarties Bendrosios dalies 2.2 punktą išdėstyti tokia redakcija:</w:t>
            </w:r>
          </w:p>
          <w:p w14:paraId="6FF5300B" w14:textId="4AB132E9" w:rsidR="003C2EF2" w:rsidRPr="003C2EF2" w:rsidRDefault="003C2EF2" w:rsidP="003C2EF2">
            <w:pPr>
              <w:ind w:left="35"/>
              <w:jc w:val="both"/>
              <w:rPr>
                <w:rFonts w:ascii="Arial" w:hAnsi="Arial" w:cs="Arial"/>
                <w:noProof/>
                <w:sz w:val="20"/>
                <w:szCs w:val="20"/>
                <w:lang w:val="lt-LT"/>
              </w:rPr>
            </w:pPr>
            <w:r w:rsidRPr="003C2EF2">
              <w:rPr>
                <w:rFonts w:ascii="Arial" w:hAnsi="Arial" w:cs="Arial"/>
                <w:noProof/>
                <w:sz w:val="20"/>
                <w:szCs w:val="20"/>
                <w:lang w:val="lt-LT"/>
              </w:rPr>
              <w:t>2.2</w:t>
            </w:r>
            <w:r w:rsidRPr="003C2EF2">
              <w:rPr>
                <w:rFonts w:ascii="Arial" w:hAnsi="Arial" w:cs="Arial"/>
                <w:noProof/>
                <w:sz w:val="20"/>
                <w:szCs w:val="20"/>
                <w:lang w:val="lt-LT"/>
              </w:rPr>
              <w:tab/>
              <w:t>Pirkėjas sumoka Pardavėjui už faktiškai pristatytą kokybišką Prekę 2 (dviem) dalimis per 30 (trisdešimt) dienų po:</w:t>
            </w:r>
          </w:p>
          <w:p w14:paraId="2C410830" w14:textId="3BFD49D6" w:rsidR="003C2EF2" w:rsidRPr="003C2EF2" w:rsidRDefault="003C2EF2" w:rsidP="003C2EF2">
            <w:pPr>
              <w:ind w:left="35"/>
              <w:jc w:val="both"/>
              <w:rPr>
                <w:rFonts w:ascii="Arial" w:hAnsi="Arial" w:cs="Arial"/>
                <w:noProof/>
                <w:sz w:val="20"/>
                <w:szCs w:val="20"/>
                <w:lang w:val="lt-LT"/>
              </w:rPr>
            </w:pPr>
            <w:r w:rsidRPr="003C2EF2">
              <w:rPr>
                <w:rFonts w:ascii="Arial" w:hAnsi="Arial" w:cs="Arial"/>
                <w:noProof/>
                <w:sz w:val="20"/>
                <w:szCs w:val="20"/>
                <w:lang w:val="lt-LT"/>
              </w:rPr>
              <w:t>2.2.1.</w:t>
            </w:r>
            <w:r w:rsidRPr="003C2EF2">
              <w:rPr>
                <w:rFonts w:ascii="Arial" w:hAnsi="Arial" w:cs="Arial"/>
                <w:noProof/>
                <w:sz w:val="20"/>
                <w:szCs w:val="20"/>
                <w:lang w:val="lt-LT"/>
              </w:rPr>
              <w:tab/>
              <w:t>98 (devyniasdešimt aštuoni) proc. nuo Sutarties kainos, po Prekės priėmimo–perdavimo akto pasirašymo ir PVM sąskaitos faktūros gavimo per Sąskaitų administravimo bendrąją informacinę sistemą (toliau – SABIS) dienos.;</w:t>
            </w:r>
          </w:p>
          <w:p w14:paraId="4E6EC2E1" w14:textId="77777777" w:rsidR="00912028" w:rsidRDefault="003C2EF2" w:rsidP="003C2EF2">
            <w:pPr>
              <w:ind w:left="35"/>
              <w:jc w:val="both"/>
              <w:rPr>
                <w:rFonts w:ascii="Arial" w:hAnsi="Arial" w:cs="Arial"/>
                <w:noProof/>
                <w:sz w:val="20"/>
                <w:szCs w:val="20"/>
                <w:lang w:val="lt-LT"/>
              </w:rPr>
            </w:pPr>
            <w:r w:rsidRPr="003C2EF2">
              <w:rPr>
                <w:rFonts w:ascii="Arial" w:hAnsi="Arial" w:cs="Arial"/>
                <w:noProof/>
                <w:sz w:val="20"/>
                <w:szCs w:val="20"/>
                <w:lang w:val="lt-LT"/>
              </w:rPr>
              <w:t>2.2.2.</w:t>
            </w:r>
            <w:r w:rsidRPr="003C2EF2">
              <w:rPr>
                <w:rFonts w:ascii="Arial" w:hAnsi="Arial" w:cs="Arial"/>
                <w:noProof/>
                <w:sz w:val="20"/>
                <w:szCs w:val="20"/>
                <w:lang w:val="lt-LT"/>
              </w:rPr>
              <w:tab/>
              <w:t>2 (du) proc. nuo Sutarties kainos, po Prekės paleidimo ir derinimo darbų atlikimo, ir paleidimo-derinimo akto pasirašymo ir PVM sąskaitos faktūros gavimo pe</w:t>
            </w:r>
            <w:r>
              <w:rPr>
                <w:rFonts w:ascii="Arial" w:hAnsi="Arial" w:cs="Arial"/>
                <w:noProof/>
                <w:sz w:val="20"/>
                <w:szCs w:val="20"/>
                <w:lang w:val="lt-LT"/>
              </w:rPr>
              <w:t xml:space="preserve">r SABIS </w:t>
            </w:r>
            <w:r w:rsidRPr="003C2EF2">
              <w:rPr>
                <w:rFonts w:ascii="Arial" w:hAnsi="Arial" w:cs="Arial"/>
                <w:noProof/>
                <w:sz w:val="20"/>
                <w:szCs w:val="20"/>
                <w:lang w:val="lt-LT"/>
              </w:rPr>
              <w:t>dienos.</w:t>
            </w:r>
          </w:p>
          <w:p w14:paraId="1DF4FD75" w14:textId="36D75837" w:rsidR="003C2EF2" w:rsidRPr="001458A9" w:rsidRDefault="003C2EF2" w:rsidP="003C2EF2">
            <w:pPr>
              <w:ind w:left="35"/>
              <w:jc w:val="both"/>
              <w:rPr>
                <w:rFonts w:ascii="Arial" w:hAnsi="Arial" w:cs="Arial"/>
                <w:noProof/>
                <w:sz w:val="20"/>
                <w:szCs w:val="20"/>
                <w:lang w:val="lt-LT"/>
              </w:rPr>
            </w:pPr>
            <w:r>
              <w:rPr>
                <w:rFonts w:ascii="Arial" w:hAnsi="Arial" w:cs="Arial"/>
                <w:noProof/>
                <w:sz w:val="20"/>
                <w:szCs w:val="20"/>
                <w:lang w:val="lt-LT"/>
              </w:rPr>
              <w:t xml:space="preserve">11.2. </w:t>
            </w:r>
            <w:r w:rsidR="00CF3174">
              <w:rPr>
                <w:rFonts w:ascii="Arial" w:hAnsi="Arial" w:cs="Arial"/>
                <w:noProof/>
                <w:sz w:val="20"/>
                <w:szCs w:val="20"/>
                <w:lang w:val="lt-LT"/>
              </w:rPr>
              <w:t xml:space="preserve">Sutarties šalys įsipareigoja </w:t>
            </w:r>
            <w:bookmarkStart w:id="4" w:name="_Hlk203048552"/>
            <w:r w:rsidR="00CF3174">
              <w:rPr>
                <w:rFonts w:ascii="Arial" w:hAnsi="Arial" w:cs="Arial"/>
                <w:noProof/>
                <w:sz w:val="20"/>
                <w:szCs w:val="20"/>
                <w:lang w:val="lt-LT"/>
              </w:rPr>
              <w:t>Sutarties vykdymo laikotarpiu</w:t>
            </w:r>
            <w:r w:rsidR="00CF3174" w:rsidRPr="00CF3174">
              <w:rPr>
                <w:rFonts w:ascii="Arial" w:hAnsi="Arial" w:cs="Arial"/>
                <w:noProof/>
                <w:sz w:val="20"/>
                <w:szCs w:val="20"/>
                <w:lang w:val="lt-LT"/>
              </w:rPr>
              <w:t xml:space="preserve"> taikyti aplinkos apsaugos reikalavimus pagal Lietuvos Respublikos aplinkos ministro 2011 m. birželio 28 d. įsakymu Nr. D1-508 patvirtinto „Aplinkos apsaugos kriterijų taikymo, vykdant žaliuosius pirkimus, tvarkos aprašo“ (Toliau – Tvarkos aprašas) 4.4.4.1 ir 4.4.4.2 punktus, t. y. Sutartis ir jos vykdymo dokumentai (sąskaita – faktūra, aktai ir kt.) </w:t>
            </w:r>
            <w:r w:rsidR="00CF3174" w:rsidRPr="00CF3174">
              <w:rPr>
                <w:rFonts w:ascii="Arial" w:hAnsi="Arial" w:cs="Arial"/>
                <w:noProof/>
                <w:sz w:val="20"/>
                <w:szCs w:val="20"/>
                <w:lang w:val="lt-LT"/>
              </w:rPr>
              <w:lastRenderedPageBreak/>
              <w:t>teikiami tik elektroniniu būdu ir (ar) pasirašomi elektroniniu parašu: nespausdinant dokumentų bus sutaupoma elektros energija, kuri naudojama spausdintuvo darbui (Tvarkos aprašo 4.4.4.2 punktas), nenaudojamas popierius ir spausdintuvų kasetės,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bookmarkEnd w:id="4"/>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5"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5"/>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6" w:name="_Hlk108945604"/>
      <w:r w:rsidRPr="00465207">
        <w:rPr>
          <w:rFonts w:ascii="Arial" w:hAnsi="Arial" w:cs="Arial"/>
          <w:noProof/>
          <w:sz w:val="20"/>
          <w:szCs w:val="20"/>
        </w:rPr>
        <w:t>;</w:t>
      </w:r>
    </w:p>
    <w:p w14:paraId="764EAFCE" w14:textId="77777777"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6"/>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ListParagraph"/>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 xml:space="preserve">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w:t>
      </w:r>
      <w:r w:rsidRPr="00465207">
        <w:rPr>
          <w:rFonts w:ascii="Arial" w:hAnsi="Arial" w:cs="Arial"/>
          <w:noProof/>
          <w:sz w:val="20"/>
          <w:szCs w:val="20"/>
        </w:rPr>
        <w:lastRenderedPageBreak/>
        <w:t>paskutinis paskelbtas ketvirčio GKI; Indeksavimo pradžia / pradinis indeksas – Sutarties sudarymo dienos ketvirčio GKI. </w:t>
      </w:r>
    </w:p>
    <w:p w14:paraId="2F0144EF" w14:textId="77777777" w:rsidR="008F0CDA" w:rsidRPr="009930E4" w:rsidRDefault="00324394" w:rsidP="008F0CDA">
      <w:pPr>
        <w:pStyle w:val="ListParagraph"/>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7"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7"/>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8" w:name="_Hlk163721543"/>
      <w:bookmarkStart w:id="9" w:name="_Hlk162423656"/>
      <w:bookmarkStart w:id="10" w:name="_Hlk163720221"/>
    </w:p>
    <w:p w14:paraId="74C83FA1" w14:textId="75E6EFB7" w:rsidR="007A5039" w:rsidRPr="007A5039" w:rsidRDefault="007A5039" w:rsidP="007A5039">
      <w:pPr>
        <w:pStyle w:val="ListParagraph"/>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8"/>
      <w:r w:rsidRPr="007A5039">
        <w:rPr>
          <w:rFonts w:ascii="Arial" w:eastAsiaTheme="minorHAnsi" w:hAnsi="Arial" w:cs="Arial"/>
          <w:sz w:val="20"/>
          <w:szCs w:val="20"/>
          <w14:ligatures w14:val="standardContextual"/>
        </w:rPr>
        <w:t>.</w:t>
      </w:r>
      <w:bookmarkEnd w:id="9"/>
      <w:bookmarkEnd w:id="10"/>
    </w:p>
    <w:p w14:paraId="4D5DB8FF" w14:textId="554A5817" w:rsidR="00CA49FD" w:rsidRPr="009930E4" w:rsidRDefault="000E6473" w:rsidP="008F0CDA">
      <w:pPr>
        <w:pStyle w:val="ListParagraph"/>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ListParagraph"/>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lastRenderedPageBreak/>
        <w:t>Pardavėjas įsipareigoja:</w:t>
      </w:r>
    </w:p>
    <w:p w14:paraId="0EA6A4B2" w14:textId="2116628C"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ListParagraph"/>
        <w:numPr>
          <w:ilvl w:val="1"/>
          <w:numId w:val="31"/>
        </w:numPr>
        <w:spacing w:after="120"/>
        <w:ind w:left="572" w:hanging="572"/>
        <w:contextualSpacing w:val="0"/>
        <w:jc w:val="both"/>
        <w:textAlignment w:val="baseline"/>
        <w:rPr>
          <w:rFonts w:ascii="Arial" w:hAnsi="Arial" w:cs="Arial"/>
          <w:noProof/>
          <w:sz w:val="20"/>
          <w:szCs w:val="20"/>
        </w:rPr>
      </w:pPr>
      <w:bookmarkStart w:id="11"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1"/>
    <w:p w14:paraId="61B82F43" w14:textId="77777777" w:rsidR="00A164C0" w:rsidRPr="00DB4BF9" w:rsidRDefault="00143EEA" w:rsidP="00A164C0">
      <w:pPr>
        <w:pStyle w:val="ListParagraph"/>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ListParagraph"/>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lastRenderedPageBreak/>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ListParagraph"/>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ListParagraph"/>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ListParagraph"/>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ListParagraph"/>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ListParagraph"/>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ListParagraph"/>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xml:space="preserve">) aplinkybių, nurodytų Lietuvos Respublikos civiliniame kodekse ir Lietuvos Respublikos Vyriausybės 1996 m. liepos 15 d. nutarime Nr. 840 „Dėl Atleidimo nuo atsakomybės, esant nenugalimos </w:t>
      </w:r>
      <w:r w:rsidRPr="009930E4">
        <w:rPr>
          <w:rFonts w:ascii="Arial" w:hAnsi="Arial" w:cs="Arial"/>
          <w:noProof/>
          <w:sz w:val="20"/>
          <w:szCs w:val="20"/>
        </w:rPr>
        <w:lastRenderedPageBreak/>
        <w:t>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ListParagraph"/>
        <w:spacing w:after="120"/>
        <w:ind w:left="567"/>
        <w:jc w:val="both"/>
        <w:rPr>
          <w:rFonts w:ascii="Arial" w:hAnsi="Arial" w:cs="Arial"/>
          <w:b/>
          <w:bCs/>
          <w:noProof/>
          <w:sz w:val="20"/>
          <w:szCs w:val="20"/>
        </w:rPr>
      </w:pPr>
    </w:p>
    <w:p w14:paraId="59ECDB2C" w14:textId="0A5B09ED" w:rsidR="000C1EBD"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yperlink"/>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bookmarkStart w:id="12" w:name="_Hlk518304932"/>
      <w:bookmarkStart w:id="13" w:name="_Hlk78962495"/>
      <w:r w:rsidRPr="009930E4">
        <w:rPr>
          <w:rFonts w:ascii="Arial" w:hAnsi="Arial" w:cs="Arial"/>
          <w:noProof/>
          <w:sz w:val="20"/>
          <w:szCs w:val="20"/>
        </w:rPr>
        <w:t>Už Sutarties vykdymą atsakingi Šalių atstovai nurodyti Specialiojoje dalyje.</w:t>
      </w:r>
      <w:bookmarkEnd w:id="12"/>
      <w:bookmarkEnd w:id="13"/>
    </w:p>
    <w:p w14:paraId="748E8381" w14:textId="5B8031A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w:t>
      </w:r>
      <w:r w:rsidRPr="009930E4">
        <w:rPr>
          <w:rFonts w:ascii="Arial" w:hAnsi="Arial" w:cs="Arial"/>
          <w:noProof/>
          <w:sz w:val="20"/>
          <w:szCs w:val="20"/>
        </w:rPr>
        <w:lastRenderedPageBreak/>
        <w:t>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ListParagraph"/>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ListParagraph"/>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ListParagraph"/>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4"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8D49D9" w:rsidRDefault="000D0DE4" w:rsidP="008348CD">
            <w:pPr>
              <w:jc w:val="both"/>
              <w:rPr>
                <w:rFonts w:ascii="Arial" w:hAnsi="Arial" w:cs="Arial"/>
                <w:bCs/>
                <w:noProof/>
                <w:sz w:val="20"/>
                <w:szCs w:val="20"/>
                <w:u w:val="single"/>
                <w:lang w:val="lt-LT"/>
              </w:rPr>
            </w:pPr>
            <w:r w:rsidRPr="008D49D9">
              <w:rPr>
                <w:rFonts w:ascii="Arial" w:hAnsi="Arial" w:cs="Arial"/>
                <w:bCs/>
                <w:noProof/>
                <w:sz w:val="20"/>
                <w:szCs w:val="20"/>
                <w:u w:val="single"/>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4"/>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7883" w14:textId="77777777" w:rsidR="00B07CF1" w:rsidRDefault="00B07CF1" w:rsidP="00EE5E64">
      <w:r>
        <w:separator/>
      </w:r>
    </w:p>
  </w:endnote>
  <w:endnote w:type="continuationSeparator" w:id="0">
    <w:p w14:paraId="5C313FF5" w14:textId="77777777" w:rsidR="00B07CF1" w:rsidRDefault="00B07CF1" w:rsidP="00EE5E64">
      <w:r>
        <w:continuationSeparator/>
      </w:r>
    </w:p>
  </w:endnote>
  <w:endnote w:type="continuationNotice" w:id="1">
    <w:p w14:paraId="185424C7" w14:textId="77777777" w:rsidR="00B07CF1" w:rsidRDefault="00B0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16D1" w14:textId="77777777" w:rsidR="00B07CF1" w:rsidRDefault="00B07CF1" w:rsidP="00EE5E64">
      <w:r>
        <w:separator/>
      </w:r>
    </w:p>
  </w:footnote>
  <w:footnote w:type="continuationSeparator" w:id="0">
    <w:p w14:paraId="7FCAE717" w14:textId="77777777" w:rsidR="00B07CF1" w:rsidRDefault="00B07CF1" w:rsidP="00EE5E64">
      <w:r>
        <w:continuationSeparator/>
      </w:r>
    </w:p>
  </w:footnote>
  <w:footnote w:type="continuationNotice" w:id="1">
    <w:p w14:paraId="59BD2CE8" w14:textId="77777777" w:rsidR="00B07CF1" w:rsidRDefault="00B07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2EA4AEB"/>
    <w:multiLevelType w:val="hybridMultilevel"/>
    <w:tmpl w:val="AB5A4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9"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1"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0"/>
  </w:num>
  <w:num w:numId="2" w16cid:durableId="1091968225">
    <w:abstractNumId w:val="6"/>
  </w:num>
  <w:num w:numId="3" w16cid:durableId="1294748412">
    <w:abstractNumId w:val="8"/>
  </w:num>
  <w:num w:numId="4" w16cid:durableId="991835445">
    <w:abstractNumId w:val="33"/>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6"/>
  </w:num>
  <w:num w:numId="12" w16cid:durableId="790900088">
    <w:abstractNumId w:val="27"/>
  </w:num>
  <w:num w:numId="13" w16cid:durableId="229535618">
    <w:abstractNumId w:val="28"/>
  </w:num>
  <w:num w:numId="14" w16cid:durableId="607006351">
    <w:abstractNumId w:val="10"/>
  </w:num>
  <w:num w:numId="15" w16cid:durableId="1196774763">
    <w:abstractNumId w:val="12"/>
  </w:num>
  <w:num w:numId="16" w16cid:durableId="1012801083">
    <w:abstractNumId w:val="11"/>
  </w:num>
  <w:num w:numId="17" w16cid:durableId="262421422">
    <w:abstractNumId w:val="32"/>
  </w:num>
  <w:num w:numId="18" w16cid:durableId="466123324">
    <w:abstractNumId w:val="21"/>
  </w:num>
  <w:num w:numId="19" w16cid:durableId="1664041688">
    <w:abstractNumId w:val="0"/>
  </w:num>
  <w:num w:numId="20" w16cid:durableId="1588272537">
    <w:abstractNumId w:val="13"/>
  </w:num>
  <w:num w:numId="21" w16cid:durableId="1498421131">
    <w:abstractNumId w:val="29"/>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1"/>
  </w:num>
  <w:num w:numId="26" w16cid:durableId="692656998">
    <w:abstractNumId w:val="25"/>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 w:numId="34" w16cid:durableId="159832380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2EF2"/>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49D9"/>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07CF1"/>
    <w:rsid w:val="00B1005E"/>
    <w:rsid w:val="00B105A8"/>
    <w:rsid w:val="00B1170C"/>
    <w:rsid w:val="00B127B2"/>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3781"/>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4547"/>
    <w:rsid w:val="00CD5E09"/>
    <w:rsid w:val="00CD7A32"/>
    <w:rsid w:val="00CE4454"/>
    <w:rsid w:val="00CE457F"/>
    <w:rsid w:val="00CF12C2"/>
    <w:rsid w:val="00CF3174"/>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5D3C"/>
    <w:rsid w:val="00DA62FB"/>
    <w:rsid w:val="00DB16D9"/>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1740"/>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F8E3B11A-0A83-4354-AA52-1E2D356CA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16474</Words>
  <Characters>9391</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PATALPŲ NUOMOS SUTARTIS</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3</cp:revision>
  <cp:lastPrinted>2022-05-09T19:00:00Z</cp:lastPrinted>
  <dcterms:created xsi:type="dcterms:W3CDTF">2025-07-10T10:42:00Z</dcterms:created>
  <dcterms:modified xsi:type="dcterms:W3CDTF">2025-07-10T11:04:00Z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0ccb7663-c98f-4b88-b745-b3ad31bc25b6</vt:lpwstr>
  </property>
  <property fmtid="{D5CDD505-2E9C-101B-9397-08002B2CF9AE}" pid="4" name="MediaServiceImageTags">
    <vt:lpwstr/>
  </property>
</Properties>
</file>