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0DE6" w14:textId="77777777" w:rsidR="00AA0E10" w:rsidRPr="00AA0E10" w:rsidRDefault="00AA0E10" w:rsidP="00AA0E10">
      <w:pPr>
        <w:spacing w:after="0" w:line="240" w:lineRule="auto"/>
        <w:rPr>
          <w:rFonts w:ascii="Times New Roman" w:hAnsi="Times New Roman" w:cs="Times New Roman"/>
        </w:rPr>
      </w:pPr>
      <w:r w:rsidRPr="00AA0E10">
        <w:rPr>
          <w:rFonts w:ascii="Times New Roman" w:hAnsi="Times New Roman" w:cs="Times New Roman"/>
        </w:rPr>
        <w:t>Rinkos konsultacijos dalyviams</w:t>
      </w:r>
    </w:p>
    <w:p w14:paraId="0D461C3B" w14:textId="77777777" w:rsidR="00AA0E10" w:rsidRPr="00AA0E10" w:rsidRDefault="00AA0E10" w:rsidP="00AA0E10">
      <w:pPr>
        <w:spacing w:after="0" w:line="240" w:lineRule="auto"/>
        <w:rPr>
          <w:rFonts w:ascii="Times New Roman" w:hAnsi="Times New Roman" w:cs="Times New Roman"/>
          <w:i/>
          <w:iCs/>
        </w:rPr>
      </w:pPr>
      <w:r w:rsidRPr="00AA0E10">
        <w:rPr>
          <w:rFonts w:ascii="Times New Roman" w:hAnsi="Times New Roman" w:cs="Times New Roman"/>
          <w:i/>
          <w:iCs/>
        </w:rPr>
        <w:t>Teikiama CVP IS priemonėmis</w:t>
      </w:r>
    </w:p>
    <w:p w14:paraId="189497C5" w14:textId="77777777" w:rsidR="00AA0E10" w:rsidRPr="00AA0E10" w:rsidRDefault="00AA0E10" w:rsidP="00AA0E10">
      <w:pPr>
        <w:spacing w:after="0" w:line="240" w:lineRule="auto"/>
      </w:pPr>
    </w:p>
    <w:p w14:paraId="55B5B795" w14:textId="77777777" w:rsidR="00AA0E10" w:rsidRPr="00AA0E10" w:rsidRDefault="00AA0E10" w:rsidP="00AA0E10">
      <w:pPr>
        <w:jc w:val="both"/>
        <w:rPr>
          <w:rFonts w:ascii="Times New Roman" w:hAnsi="Times New Roman" w:cs="Times New Roman"/>
          <w:b/>
          <w:bCs/>
        </w:rPr>
      </w:pPr>
      <w:r w:rsidRPr="00AA0E10">
        <w:rPr>
          <w:rFonts w:ascii="Times New Roman" w:hAnsi="Times New Roman" w:cs="Times New Roman"/>
          <w:b/>
          <w:bCs/>
        </w:rPr>
        <w:t>KLAUSIMAI – ATSAKYMAI PO KONSULTACIJOS SU RINKOS DALYVIAIS</w:t>
      </w:r>
    </w:p>
    <w:p w14:paraId="3750B927" w14:textId="77777777" w:rsidR="00AA0E10" w:rsidRPr="00AA0E10" w:rsidRDefault="00AA0E10" w:rsidP="00AA0E10">
      <w:pPr>
        <w:jc w:val="both"/>
        <w:rPr>
          <w:rFonts w:ascii="Times New Roman" w:hAnsi="Times New Roman" w:cs="Times New Roman"/>
        </w:rPr>
      </w:pPr>
      <w:r w:rsidRPr="00AA0E10">
        <w:rPr>
          <w:rFonts w:ascii="Times New Roman" w:hAnsi="Times New Roman" w:cs="Times New Roman"/>
        </w:rPr>
        <w:t>Lietuvos Respublikos aplinkos ministerijos Aplinkos projektų valdymo agentūra (toliau – Perkančioji organizacija) Centrinės viešųjų pirkimų informacinės sistemos priemonėmis (CVP IS) kvietė tiekėjus pateikti siūlymus dėl pirkimo dokumentų – techninės specifikacijos nuostatų.</w:t>
      </w:r>
    </w:p>
    <w:p w14:paraId="5E2847AB" w14:textId="2EDBE7D5" w:rsidR="009751EC" w:rsidRDefault="00AA0E10" w:rsidP="00AA0E10">
      <w:pPr>
        <w:jc w:val="both"/>
        <w:rPr>
          <w:rFonts w:ascii="Times New Roman" w:hAnsi="Times New Roman" w:cs="Times New Roman"/>
        </w:rPr>
      </w:pPr>
      <w:r w:rsidRPr="00AA0E10">
        <w:rPr>
          <w:rFonts w:ascii="Times New Roman" w:hAnsi="Times New Roman" w:cs="Times New Roman"/>
        </w:rPr>
        <w:t>Perkančioji organizacija, gavusi rinkos dalyvių pastabas ir pasiūlymus, juos išnagrinėjo, apibendrino ir teikia informaciją apie priimtus sprendimus.</w:t>
      </w:r>
    </w:p>
    <w:p w14:paraId="670F1B05" w14:textId="77777777" w:rsidR="00AA0E10" w:rsidRDefault="00AA0E10" w:rsidP="00AA0E10">
      <w:pPr>
        <w:jc w:val="both"/>
        <w:rPr>
          <w:rFonts w:ascii="Times New Roman" w:hAnsi="Times New Roman" w:cs="Times New Roman"/>
        </w:rPr>
      </w:pPr>
    </w:p>
    <w:tbl>
      <w:tblPr>
        <w:tblStyle w:val="Lentelstinklelis"/>
        <w:tblW w:w="0" w:type="auto"/>
        <w:tblLook w:val="04A0" w:firstRow="1" w:lastRow="0" w:firstColumn="1" w:lastColumn="0" w:noHBand="0" w:noVBand="1"/>
      </w:tblPr>
      <w:tblGrid>
        <w:gridCol w:w="846"/>
        <w:gridCol w:w="4394"/>
        <w:gridCol w:w="4253"/>
      </w:tblGrid>
      <w:tr w:rsidR="00AA0E10" w14:paraId="2B0B2B5F" w14:textId="77777777" w:rsidTr="003E1A73">
        <w:tc>
          <w:tcPr>
            <w:tcW w:w="846" w:type="dxa"/>
          </w:tcPr>
          <w:p w14:paraId="232EEAC1" w14:textId="078DADA9" w:rsidR="00AA0E10" w:rsidRDefault="00AA0E10" w:rsidP="00AA0E10">
            <w:pPr>
              <w:jc w:val="both"/>
              <w:rPr>
                <w:rFonts w:ascii="Times New Roman" w:hAnsi="Times New Roman" w:cs="Times New Roman"/>
              </w:rPr>
            </w:pPr>
            <w:r w:rsidRPr="00AA0E10">
              <w:rPr>
                <w:rFonts w:ascii="Times New Roman" w:hAnsi="Times New Roman" w:cs="Times New Roman"/>
              </w:rPr>
              <w:t>Eil. Nr.</w:t>
            </w:r>
          </w:p>
        </w:tc>
        <w:tc>
          <w:tcPr>
            <w:tcW w:w="4394" w:type="dxa"/>
          </w:tcPr>
          <w:p w14:paraId="59F0A077" w14:textId="389A2068" w:rsidR="00AA0E10" w:rsidRDefault="00AA0E10" w:rsidP="00AA0E10">
            <w:pPr>
              <w:jc w:val="both"/>
              <w:rPr>
                <w:rFonts w:ascii="Times New Roman" w:hAnsi="Times New Roman" w:cs="Times New Roman"/>
              </w:rPr>
            </w:pPr>
            <w:r w:rsidRPr="00AA0E10">
              <w:rPr>
                <w:rFonts w:ascii="Times New Roman" w:hAnsi="Times New Roman" w:cs="Times New Roman"/>
              </w:rPr>
              <w:t>Klausimas/pasiūlymas</w:t>
            </w:r>
          </w:p>
        </w:tc>
        <w:tc>
          <w:tcPr>
            <w:tcW w:w="4253" w:type="dxa"/>
          </w:tcPr>
          <w:p w14:paraId="7F48E877" w14:textId="6530496E" w:rsidR="00AA0E10" w:rsidRDefault="00AA0E10" w:rsidP="00AA0E10">
            <w:pPr>
              <w:jc w:val="both"/>
              <w:rPr>
                <w:rFonts w:ascii="Times New Roman" w:hAnsi="Times New Roman" w:cs="Times New Roman"/>
              </w:rPr>
            </w:pPr>
            <w:r w:rsidRPr="00AA0E10">
              <w:rPr>
                <w:rFonts w:ascii="Times New Roman" w:hAnsi="Times New Roman" w:cs="Times New Roman"/>
              </w:rPr>
              <w:t>Atsakymas</w:t>
            </w:r>
          </w:p>
        </w:tc>
      </w:tr>
      <w:tr w:rsidR="00AA0E10" w14:paraId="54B26691" w14:textId="77777777" w:rsidTr="003E1A73">
        <w:tc>
          <w:tcPr>
            <w:tcW w:w="846" w:type="dxa"/>
          </w:tcPr>
          <w:p w14:paraId="001A121A" w14:textId="1A4AB4C7" w:rsidR="00AA0E10" w:rsidRDefault="00A7533C" w:rsidP="00AA0E10">
            <w:pPr>
              <w:jc w:val="both"/>
              <w:rPr>
                <w:rFonts w:ascii="Times New Roman" w:hAnsi="Times New Roman" w:cs="Times New Roman"/>
              </w:rPr>
            </w:pPr>
            <w:r>
              <w:rPr>
                <w:rFonts w:ascii="Times New Roman" w:hAnsi="Times New Roman" w:cs="Times New Roman"/>
              </w:rPr>
              <w:t>1</w:t>
            </w:r>
          </w:p>
        </w:tc>
        <w:tc>
          <w:tcPr>
            <w:tcW w:w="4394" w:type="dxa"/>
          </w:tcPr>
          <w:p w14:paraId="3F000F74" w14:textId="77777777" w:rsidR="00AA0E10" w:rsidRPr="004506CD" w:rsidRDefault="00AA0E10" w:rsidP="004506CD">
            <w:pPr>
              <w:spacing w:after="120" w:line="276" w:lineRule="auto"/>
              <w:jc w:val="both"/>
              <w:rPr>
                <w:rFonts w:ascii="Times New Roman" w:hAnsi="Times New Roman" w:cs="Times New Roman"/>
              </w:rPr>
            </w:pPr>
            <w:r w:rsidRPr="004506CD">
              <w:rPr>
                <w:rFonts w:ascii="Times New Roman" w:hAnsi="Times New Roman" w:cs="Times New Roman"/>
              </w:rPr>
              <w:t xml:space="preserve">2.3.5.3.3 Skyriuje minimas skaičiavimų pagrindimas tarptautinėmis duomenų bazėmis, tačiau </w:t>
            </w:r>
            <w:proofErr w:type="spellStart"/>
            <w:r w:rsidRPr="004506CD">
              <w:rPr>
                <w:rFonts w:ascii="Times New Roman" w:hAnsi="Times New Roman" w:cs="Times New Roman"/>
              </w:rPr>
              <w:t>Ecoinvent</w:t>
            </w:r>
            <w:proofErr w:type="spellEnd"/>
            <w:r w:rsidRPr="004506CD">
              <w:rPr>
                <w:rFonts w:ascii="Times New Roman" w:hAnsi="Times New Roman" w:cs="Times New Roman"/>
              </w:rPr>
              <w:t xml:space="preserve"> ir kitų duomenų bazių licencijų sąlygos neleidžia atskleisti tretiesiems asmenims rodiklių duomenų.  </w:t>
            </w:r>
          </w:p>
          <w:p w14:paraId="033531FC" w14:textId="77777777" w:rsidR="00AA0E10" w:rsidRDefault="00AA0E10" w:rsidP="00AA0E10">
            <w:pPr>
              <w:jc w:val="both"/>
              <w:rPr>
                <w:rFonts w:ascii="Times New Roman" w:hAnsi="Times New Roman" w:cs="Times New Roman"/>
              </w:rPr>
            </w:pPr>
          </w:p>
        </w:tc>
        <w:tc>
          <w:tcPr>
            <w:tcW w:w="4253" w:type="dxa"/>
          </w:tcPr>
          <w:p w14:paraId="5CB145BF" w14:textId="09E502F4" w:rsidR="00AA0E10" w:rsidRDefault="00525CEC" w:rsidP="00AA0E10">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410354BE" w14:textId="77777777" w:rsidR="003E1A73" w:rsidRDefault="003E1A73" w:rsidP="00AA0E10">
            <w:pPr>
              <w:jc w:val="both"/>
              <w:rPr>
                <w:rFonts w:ascii="Times New Roman" w:hAnsi="Times New Roman" w:cs="Times New Roman"/>
              </w:rPr>
            </w:pPr>
          </w:p>
          <w:p w14:paraId="49735D25" w14:textId="741B8704" w:rsidR="003E1A73" w:rsidRPr="00A7533C" w:rsidRDefault="003E1A73" w:rsidP="00AA0E10">
            <w:pPr>
              <w:jc w:val="both"/>
              <w:rPr>
                <w:rFonts w:ascii="Times New Roman" w:hAnsi="Times New Roman" w:cs="Times New Roman"/>
                <w:i/>
                <w:iCs/>
              </w:rPr>
            </w:pPr>
            <w:r w:rsidRPr="00A7533C">
              <w:rPr>
                <w:rFonts w:ascii="Times New Roman" w:hAnsi="Times New Roman" w:cs="Times New Roman"/>
                <w:i/>
                <w:iCs/>
              </w:rPr>
              <w:t>Pakoreguota versija:</w:t>
            </w:r>
          </w:p>
          <w:p w14:paraId="4D5FF3DE" w14:textId="7C669270" w:rsidR="003E1A73" w:rsidRPr="00A7533C" w:rsidRDefault="003E1A73" w:rsidP="00AA0E10">
            <w:pPr>
              <w:jc w:val="both"/>
              <w:rPr>
                <w:rFonts w:ascii="Times New Roman" w:hAnsi="Times New Roman" w:cs="Times New Roman"/>
                <w:i/>
                <w:iCs/>
              </w:rPr>
            </w:pPr>
            <w:r w:rsidRPr="00A7533C">
              <w:rPr>
                <w:rFonts w:ascii="Times New Roman" w:hAnsi="Times New Roman" w:cs="Times New Roman"/>
                <w:i/>
                <w:iCs/>
              </w:rPr>
              <w:t>2.3.5.3.3.</w:t>
            </w:r>
            <w:r w:rsidRPr="00A7533C">
              <w:rPr>
                <w:rFonts w:ascii="Times New Roman" w:hAnsi="Times New Roman" w:cs="Times New Roman"/>
                <w:i/>
                <w:iCs/>
              </w:rPr>
              <w:tab/>
              <w:t>Pagrįsti skaičiavimus tarptautiniais, laisvai prieinamais šaltiniais ir, jei įmanoma, Lietuvos duomenimis.</w:t>
            </w:r>
          </w:p>
          <w:p w14:paraId="427EED47" w14:textId="77777777" w:rsidR="00605302" w:rsidRPr="00A7533C" w:rsidRDefault="00605302" w:rsidP="00AA0E10">
            <w:pPr>
              <w:jc w:val="both"/>
              <w:rPr>
                <w:rFonts w:ascii="Times New Roman" w:hAnsi="Times New Roman" w:cs="Times New Roman"/>
                <w:i/>
                <w:iCs/>
              </w:rPr>
            </w:pPr>
          </w:p>
          <w:p w14:paraId="2ACB4F6A" w14:textId="5F3E9089" w:rsidR="00605302" w:rsidRDefault="00605302" w:rsidP="00AA0E10">
            <w:pPr>
              <w:jc w:val="both"/>
              <w:rPr>
                <w:rFonts w:ascii="Times New Roman" w:hAnsi="Times New Roman" w:cs="Times New Roman"/>
              </w:rPr>
            </w:pPr>
          </w:p>
        </w:tc>
      </w:tr>
      <w:tr w:rsidR="00AA0E10" w14:paraId="2B200D10" w14:textId="77777777" w:rsidTr="003E1A73">
        <w:tc>
          <w:tcPr>
            <w:tcW w:w="846" w:type="dxa"/>
          </w:tcPr>
          <w:p w14:paraId="5B15B728" w14:textId="7E7834FE" w:rsidR="00AA0E10" w:rsidRDefault="00C77BF0" w:rsidP="00AA0E10">
            <w:pPr>
              <w:jc w:val="both"/>
              <w:rPr>
                <w:rFonts w:ascii="Times New Roman" w:hAnsi="Times New Roman" w:cs="Times New Roman"/>
              </w:rPr>
            </w:pPr>
            <w:r>
              <w:rPr>
                <w:rFonts w:ascii="Times New Roman" w:hAnsi="Times New Roman" w:cs="Times New Roman"/>
              </w:rPr>
              <w:t>2</w:t>
            </w:r>
          </w:p>
        </w:tc>
        <w:tc>
          <w:tcPr>
            <w:tcW w:w="4394" w:type="dxa"/>
          </w:tcPr>
          <w:p w14:paraId="26AF721B" w14:textId="77777777" w:rsidR="00AA0E10" w:rsidRDefault="00AA0E10" w:rsidP="00AA0E10">
            <w:pPr>
              <w:spacing w:after="120" w:line="276" w:lineRule="auto"/>
              <w:rPr>
                <w:rFonts w:ascii="Times New Roman" w:hAnsi="Times New Roman" w:cs="Times New Roman"/>
              </w:rPr>
            </w:pPr>
            <w:r>
              <w:rPr>
                <w:rFonts w:ascii="Times New Roman" w:hAnsi="Times New Roman" w:cs="Times New Roman"/>
              </w:rPr>
              <w:t xml:space="preserve">Neaišku kam keliami reikalavimai punkte 2.3.1.8 – SGC skaičiuotojui, ar tikrintojui? </w:t>
            </w:r>
          </w:p>
          <w:p w14:paraId="6B206008" w14:textId="77777777" w:rsidR="00AA0E10" w:rsidRDefault="00AA0E10" w:rsidP="00AA0E10">
            <w:pPr>
              <w:jc w:val="both"/>
              <w:rPr>
                <w:rFonts w:ascii="Times New Roman" w:hAnsi="Times New Roman" w:cs="Times New Roman"/>
              </w:rPr>
            </w:pPr>
          </w:p>
        </w:tc>
        <w:tc>
          <w:tcPr>
            <w:tcW w:w="4253" w:type="dxa"/>
          </w:tcPr>
          <w:p w14:paraId="7E027A7B" w14:textId="31AEF8F3" w:rsidR="00AA0E10" w:rsidRDefault="00525CEC" w:rsidP="00AA0E10">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41030C88" w14:textId="77777777" w:rsidR="003E1A73" w:rsidRDefault="003E1A73" w:rsidP="00AA0E10">
            <w:pPr>
              <w:jc w:val="both"/>
              <w:rPr>
                <w:rFonts w:ascii="Times New Roman" w:hAnsi="Times New Roman" w:cs="Times New Roman"/>
              </w:rPr>
            </w:pPr>
          </w:p>
          <w:p w14:paraId="3DE733E8" w14:textId="351F7954" w:rsidR="003E1A73" w:rsidRPr="00C77BF0" w:rsidRDefault="003E1A73" w:rsidP="003E1A73">
            <w:pPr>
              <w:jc w:val="both"/>
              <w:rPr>
                <w:rFonts w:ascii="Times New Roman" w:hAnsi="Times New Roman" w:cs="Times New Roman"/>
                <w:i/>
                <w:iCs/>
              </w:rPr>
            </w:pPr>
            <w:r w:rsidRPr="00C77BF0">
              <w:rPr>
                <w:rFonts w:ascii="Times New Roman" w:hAnsi="Times New Roman" w:cs="Times New Roman"/>
                <w:i/>
                <w:iCs/>
              </w:rPr>
              <w:t>Pakoreguota versija:</w:t>
            </w:r>
          </w:p>
          <w:p w14:paraId="4FE27675" w14:textId="77777777" w:rsidR="003E1A73" w:rsidRPr="00C77BF0" w:rsidRDefault="003E1A73" w:rsidP="00AA0E10">
            <w:pPr>
              <w:jc w:val="both"/>
              <w:rPr>
                <w:rFonts w:ascii="Times New Roman" w:hAnsi="Times New Roman" w:cs="Times New Roman"/>
                <w:i/>
                <w:iCs/>
              </w:rPr>
            </w:pPr>
          </w:p>
          <w:p w14:paraId="5410FF54" w14:textId="58E76F59" w:rsidR="003E1A73" w:rsidRDefault="003E1A73" w:rsidP="00AA0E10">
            <w:pPr>
              <w:jc w:val="both"/>
              <w:rPr>
                <w:rFonts w:ascii="Times New Roman" w:hAnsi="Times New Roman" w:cs="Times New Roman"/>
              </w:rPr>
            </w:pPr>
            <w:r w:rsidRPr="00C77BF0">
              <w:rPr>
                <w:rFonts w:ascii="Times New Roman" w:eastAsia="Times New Roman" w:hAnsi="Times New Roman"/>
                <w:i/>
                <w:iCs/>
                <w:noProof/>
              </w:rPr>
              <w:t>2.3.1.8. Remiantis užsienio praktika, pasiūlyti minimalius kvalifikacinius reikalavimus SGC skaičiuotojui</w:t>
            </w:r>
          </w:p>
        </w:tc>
      </w:tr>
      <w:tr w:rsidR="00AA0E10" w14:paraId="082CEF15" w14:textId="77777777" w:rsidTr="003E1A73">
        <w:tc>
          <w:tcPr>
            <w:tcW w:w="846" w:type="dxa"/>
          </w:tcPr>
          <w:p w14:paraId="60EC97D1" w14:textId="602F5FF6" w:rsidR="00AA0E10" w:rsidRDefault="00C77BF0" w:rsidP="00AA0E10">
            <w:pPr>
              <w:jc w:val="both"/>
              <w:rPr>
                <w:rFonts w:ascii="Times New Roman" w:hAnsi="Times New Roman" w:cs="Times New Roman"/>
              </w:rPr>
            </w:pPr>
            <w:r>
              <w:rPr>
                <w:rFonts w:ascii="Times New Roman" w:hAnsi="Times New Roman" w:cs="Times New Roman"/>
              </w:rPr>
              <w:t>3</w:t>
            </w:r>
          </w:p>
        </w:tc>
        <w:tc>
          <w:tcPr>
            <w:tcW w:w="4394" w:type="dxa"/>
          </w:tcPr>
          <w:p w14:paraId="6F890C15" w14:textId="19C2BFED" w:rsidR="00AA0E10" w:rsidRDefault="00AA0E10" w:rsidP="00AA0E10">
            <w:pPr>
              <w:spacing w:after="120" w:line="276" w:lineRule="auto"/>
              <w:rPr>
                <w:rFonts w:ascii="Times New Roman" w:hAnsi="Times New Roman" w:cs="Times New Roman"/>
              </w:rPr>
            </w:pPr>
            <w:r w:rsidRPr="00E907C4">
              <w:rPr>
                <w:rFonts w:ascii="Times New Roman" w:hAnsi="Times New Roman" w:cs="Times New Roman"/>
              </w:rPr>
              <w:t>Punkte 2.3.1.16, kokie ekonominio naudingumo ir techninių įgyvendinimo galimybių įrodymai turi būti pateikiami</w:t>
            </w:r>
            <w:r w:rsidR="004506CD">
              <w:rPr>
                <w:rFonts w:ascii="Times New Roman" w:hAnsi="Times New Roman" w:cs="Times New Roman"/>
              </w:rPr>
              <w:t>.</w:t>
            </w:r>
          </w:p>
        </w:tc>
        <w:tc>
          <w:tcPr>
            <w:tcW w:w="4253" w:type="dxa"/>
          </w:tcPr>
          <w:p w14:paraId="6F73BFB7" w14:textId="7F3DADF8" w:rsidR="00AA0E10" w:rsidRDefault="00525CEC" w:rsidP="00AA0E10">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6E1031C6" w14:textId="77777777" w:rsidR="003E1A73" w:rsidRDefault="003E1A73" w:rsidP="00AA0E10">
            <w:pPr>
              <w:jc w:val="both"/>
              <w:rPr>
                <w:rFonts w:ascii="Times New Roman" w:hAnsi="Times New Roman" w:cs="Times New Roman"/>
              </w:rPr>
            </w:pPr>
          </w:p>
          <w:p w14:paraId="418E8E2C" w14:textId="77777777" w:rsidR="003E1A73" w:rsidRPr="00C77BF0" w:rsidRDefault="003E1A73" w:rsidP="003E1A73">
            <w:pPr>
              <w:jc w:val="both"/>
              <w:rPr>
                <w:rFonts w:ascii="Times New Roman" w:hAnsi="Times New Roman" w:cs="Times New Roman"/>
                <w:i/>
                <w:iCs/>
              </w:rPr>
            </w:pPr>
            <w:r w:rsidRPr="00C77BF0">
              <w:rPr>
                <w:rFonts w:ascii="Times New Roman" w:hAnsi="Times New Roman" w:cs="Times New Roman"/>
                <w:i/>
                <w:iCs/>
              </w:rPr>
              <w:t>Pakoreguota versija:</w:t>
            </w:r>
          </w:p>
          <w:p w14:paraId="1181F487" w14:textId="77777777" w:rsidR="003E1A73" w:rsidRPr="00C77BF0" w:rsidRDefault="003E1A73" w:rsidP="00AA0E10">
            <w:pPr>
              <w:jc w:val="both"/>
              <w:rPr>
                <w:rFonts w:ascii="Times New Roman" w:hAnsi="Times New Roman" w:cs="Times New Roman"/>
                <w:i/>
                <w:iCs/>
              </w:rPr>
            </w:pPr>
          </w:p>
          <w:p w14:paraId="77A175B1" w14:textId="36A07004" w:rsidR="003E1A73" w:rsidRDefault="003E1A73" w:rsidP="00AA0E10">
            <w:pPr>
              <w:jc w:val="both"/>
              <w:rPr>
                <w:rFonts w:ascii="Times New Roman" w:hAnsi="Times New Roman" w:cs="Times New Roman"/>
              </w:rPr>
            </w:pPr>
            <w:r w:rsidRPr="00C77BF0">
              <w:rPr>
                <w:rFonts w:ascii="Times New Roman" w:hAnsi="Times New Roman" w:cs="Times New Roman"/>
                <w:i/>
                <w:iCs/>
              </w:rPr>
              <w:t>2.3.1.16.</w:t>
            </w:r>
            <w:r w:rsidRPr="00C77BF0">
              <w:rPr>
                <w:rFonts w:ascii="Times New Roman" w:hAnsi="Times New Roman" w:cs="Times New Roman"/>
                <w:i/>
                <w:iCs/>
              </w:rPr>
              <w:tab/>
              <w:t xml:space="preserve">VAP skaičiavimo detalumo ekonominis naudingumas ir techninės įgyvendinimo galimybės turi būti pagrįsti </w:t>
            </w:r>
            <w:r w:rsidRPr="00C77BF0">
              <w:rPr>
                <w:rFonts w:ascii="Times New Roman" w:hAnsi="Times New Roman" w:cs="Times New Roman"/>
                <w:i/>
                <w:iCs/>
              </w:rPr>
              <w:lastRenderedPageBreak/>
              <w:t>faktais, tyrimais ir (arba) logine argumentacija.</w:t>
            </w:r>
          </w:p>
        </w:tc>
      </w:tr>
      <w:tr w:rsidR="00AA0E10" w14:paraId="6DFBBD91" w14:textId="77777777" w:rsidTr="003E1A73">
        <w:tc>
          <w:tcPr>
            <w:tcW w:w="846" w:type="dxa"/>
          </w:tcPr>
          <w:p w14:paraId="6BF9C9EF" w14:textId="2AC33CA4" w:rsidR="00AA0E10" w:rsidRDefault="00C77BF0" w:rsidP="00AA0E10">
            <w:pPr>
              <w:jc w:val="both"/>
              <w:rPr>
                <w:rFonts w:ascii="Times New Roman" w:hAnsi="Times New Roman" w:cs="Times New Roman"/>
              </w:rPr>
            </w:pPr>
            <w:r>
              <w:rPr>
                <w:rFonts w:ascii="Times New Roman" w:hAnsi="Times New Roman" w:cs="Times New Roman"/>
              </w:rPr>
              <w:lastRenderedPageBreak/>
              <w:t>5</w:t>
            </w:r>
          </w:p>
        </w:tc>
        <w:tc>
          <w:tcPr>
            <w:tcW w:w="4394" w:type="dxa"/>
          </w:tcPr>
          <w:p w14:paraId="68C4D068" w14:textId="62AE78FE" w:rsidR="00AA0E10" w:rsidRPr="1BC77A47" w:rsidRDefault="00AA0E10" w:rsidP="004506CD">
            <w:pPr>
              <w:spacing w:after="120" w:line="276" w:lineRule="auto"/>
              <w:jc w:val="both"/>
              <w:rPr>
                <w:rFonts w:ascii="Times New Roman" w:hAnsi="Times New Roman" w:cs="Times New Roman"/>
              </w:rPr>
            </w:pPr>
            <w:r w:rsidRPr="1BC77A47">
              <w:rPr>
                <w:rFonts w:ascii="Times New Roman" w:hAnsi="Times New Roman" w:cs="Times New Roman"/>
              </w:rPr>
              <w:t xml:space="preserve">Nurodytai paslaugų apimčiai numatytas terminas yra per mažas. Metodikos parengimo laikotarpiui mažiausiai siūlytume </w:t>
            </w:r>
            <w:r w:rsidRPr="1BC77A47">
              <w:rPr>
                <w:rFonts w:ascii="Times New Roman" w:hAnsi="Times New Roman" w:cs="Times New Roman"/>
                <w:lang w:val="en-US"/>
              </w:rPr>
              <w:t xml:space="preserve">9 </w:t>
            </w:r>
            <w:r w:rsidRPr="1BC77A47">
              <w:rPr>
                <w:rFonts w:ascii="Times New Roman" w:hAnsi="Times New Roman" w:cs="Times New Roman"/>
              </w:rPr>
              <w:t>mėn., nes reikia surinkti duomenis iš antrinių šaltinių, konsultacijos su užsienio ekspertais, kitomis suinteresuotomis šalimis (perdirbėjais, atliekų tvarkytojais, gamintojai, rangovai ir pan.).</w:t>
            </w:r>
            <w:r>
              <w:rPr>
                <w:rFonts w:ascii="Times New Roman" w:hAnsi="Times New Roman" w:cs="Times New Roman"/>
              </w:rPr>
              <w:t xml:space="preserve"> </w:t>
            </w:r>
          </w:p>
        </w:tc>
        <w:tc>
          <w:tcPr>
            <w:tcW w:w="4253" w:type="dxa"/>
          </w:tcPr>
          <w:p w14:paraId="2D1B49F1" w14:textId="48802B23" w:rsidR="00630F35" w:rsidRDefault="00630F35" w:rsidP="00630F35">
            <w:pPr>
              <w:jc w:val="both"/>
              <w:rPr>
                <w:rFonts w:ascii="Times New Roman" w:hAnsi="Times New Roman" w:cs="Times New Roman"/>
              </w:rPr>
            </w:pPr>
            <w:r>
              <w:rPr>
                <w:rFonts w:ascii="Times New Roman" w:hAnsi="Times New Roman" w:cs="Times New Roman"/>
              </w:rPr>
              <w:t>Paslaugų teikimo terminas bus</w:t>
            </w:r>
            <w:r w:rsidR="00386C86">
              <w:rPr>
                <w:rFonts w:ascii="Times New Roman" w:hAnsi="Times New Roman" w:cs="Times New Roman"/>
              </w:rPr>
              <w:t xml:space="preserve"> patikslinta</w:t>
            </w:r>
            <w:r>
              <w:rPr>
                <w:rFonts w:ascii="Times New Roman" w:hAnsi="Times New Roman" w:cs="Times New Roman"/>
              </w:rPr>
              <w:t>s</w:t>
            </w:r>
            <w:r w:rsidR="00386C86">
              <w:rPr>
                <w:rFonts w:ascii="Times New Roman" w:hAnsi="Times New Roman" w:cs="Times New Roman"/>
              </w:rPr>
              <w:t>, atsižvelgiant į visų rinkos dalyvių pastabas ir rekomendacijas dėl paslaugų suteikimo termino bei projekto galimybes</w:t>
            </w:r>
            <w:r>
              <w:rPr>
                <w:rFonts w:ascii="Times New Roman" w:hAnsi="Times New Roman" w:cs="Times New Roman"/>
              </w:rPr>
              <w:t>. B</w:t>
            </w:r>
            <w:r w:rsidRPr="003B11C9">
              <w:rPr>
                <w:rFonts w:ascii="Times New Roman" w:hAnsi="Times New Roman" w:cs="Times New Roman"/>
              </w:rPr>
              <w:t>us pateikiama galutiniuose pirkimo dokumentuose skelbiant pirkimą</w:t>
            </w:r>
            <w:r>
              <w:rPr>
                <w:rFonts w:ascii="Times New Roman" w:hAnsi="Times New Roman" w:cs="Times New Roman"/>
              </w:rPr>
              <w:t>.</w:t>
            </w:r>
          </w:p>
          <w:p w14:paraId="075E1D35" w14:textId="77777777" w:rsidR="00630F35" w:rsidRDefault="00630F35" w:rsidP="00630F35">
            <w:pPr>
              <w:jc w:val="both"/>
              <w:rPr>
                <w:rFonts w:ascii="Times New Roman" w:hAnsi="Times New Roman" w:cs="Times New Roman"/>
              </w:rPr>
            </w:pPr>
          </w:p>
          <w:p w14:paraId="6BC0D469" w14:textId="58E4848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Pakoreguota versija:</w:t>
            </w:r>
          </w:p>
          <w:p w14:paraId="7D016E84"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4.1.</w:t>
            </w:r>
            <w:r w:rsidRPr="00630F35">
              <w:rPr>
                <w:rFonts w:ascii="Times New Roman" w:hAnsi="Times New Roman" w:cs="Times New Roman"/>
                <w:i/>
                <w:iCs/>
              </w:rPr>
              <w:tab/>
              <w:t>Paslaugos turi būti suteiktos per 10 mėnesių nuo sutarties įsigaliojimo datos.</w:t>
            </w:r>
          </w:p>
          <w:p w14:paraId="617C05EA" w14:textId="0AF07666" w:rsidR="00AA0E10" w:rsidRDefault="00AA0E10" w:rsidP="00630F35">
            <w:pPr>
              <w:jc w:val="both"/>
              <w:rPr>
                <w:rFonts w:ascii="Times New Roman" w:hAnsi="Times New Roman" w:cs="Times New Roman"/>
              </w:rPr>
            </w:pPr>
          </w:p>
        </w:tc>
      </w:tr>
      <w:tr w:rsidR="004506CD" w14:paraId="0F371813" w14:textId="77777777" w:rsidTr="003E1A73">
        <w:tc>
          <w:tcPr>
            <w:tcW w:w="846" w:type="dxa"/>
          </w:tcPr>
          <w:p w14:paraId="5D86AC2A" w14:textId="74300625" w:rsidR="004506CD" w:rsidRDefault="00C77BF0" w:rsidP="00AA0E10">
            <w:pPr>
              <w:jc w:val="both"/>
              <w:rPr>
                <w:rFonts w:ascii="Times New Roman" w:hAnsi="Times New Roman" w:cs="Times New Roman"/>
              </w:rPr>
            </w:pPr>
            <w:r>
              <w:rPr>
                <w:rFonts w:ascii="Times New Roman" w:hAnsi="Times New Roman" w:cs="Times New Roman"/>
              </w:rPr>
              <w:t>6</w:t>
            </w:r>
          </w:p>
        </w:tc>
        <w:tc>
          <w:tcPr>
            <w:tcW w:w="4394" w:type="dxa"/>
          </w:tcPr>
          <w:p w14:paraId="29D41510" w14:textId="464098AC" w:rsidR="004506CD" w:rsidRDefault="004506CD" w:rsidP="004506CD">
            <w:pPr>
              <w:spacing w:after="120" w:line="276" w:lineRule="auto"/>
              <w:jc w:val="both"/>
              <w:rPr>
                <w:rFonts w:ascii="Times New Roman" w:hAnsi="Times New Roman" w:cs="Times New Roman"/>
              </w:rPr>
            </w:pPr>
            <w:r>
              <w:rPr>
                <w:rFonts w:ascii="Times New Roman" w:hAnsi="Times New Roman" w:cs="Times New Roman"/>
              </w:rPr>
              <w:t>Pastaba dėl galimos rizikos planuojamam paslaugų teikimui.</w:t>
            </w:r>
          </w:p>
          <w:p w14:paraId="0F2DB324" w14:textId="4CCB2EED" w:rsidR="004506CD" w:rsidRDefault="004506CD" w:rsidP="004506CD">
            <w:pPr>
              <w:spacing w:after="120" w:line="276" w:lineRule="auto"/>
              <w:jc w:val="both"/>
              <w:rPr>
                <w:rFonts w:ascii="Times New Roman" w:hAnsi="Times New Roman" w:cs="Times New Roman"/>
              </w:rPr>
            </w:pPr>
            <w:r w:rsidRPr="00AA0E10">
              <w:rPr>
                <w:rFonts w:ascii="Times New Roman" w:hAnsi="Times New Roman" w:cs="Times New Roman"/>
              </w:rPr>
              <w:t>Per mažas duotas terminas, labai plati apimtis, nacionalinių ŠESD rodiklių nebuvimas.</w:t>
            </w:r>
          </w:p>
          <w:p w14:paraId="1287AAFE" w14:textId="0B61820E" w:rsidR="004506CD" w:rsidRPr="1BC77A47" w:rsidRDefault="004506CD" w:rsidP="004506CD">
            <w:pPr>
              <w:spacing w:after="120" w:line="276" w:lineRule="auto"/>
              <w:jc w:val="both"/>
              <w:rPr>
                <w:rFonts w:ascii="Times New Roman" w:hAnsi="Times New Roman" w:cs="Times New Roman"/>
              </w:rPr>
            </w:pPr>
          </w:p>
        </w:tc>
        <w:tc>
          <w:tcPr>
            <w:tcW w:w="4253" w:type="dxa"/>
          </w:tcPr>
          <w:p w14:paraId="4882853D" w14:textId="77777777" w:rsidR="00630F35" w:rsidRDefault="00630F35" w:rsidP="00630F35">
            <w:pPr>
              <w:jc w:val="both"/>
              <w:rPr>
                <w:rFonts w:ascii="Times New Roman" w:hAnsi="Times New Roman" w:cs="Times New Roman"/>
              </w:rPr>
            </w:pPr>
            <w:r>
              <w:rPr>
                <w:rFonts w:ascii="Times New Roman" w:hAnsi="Times New Roman" w:cs="Times New Roman"/>
              </w:rPr>
              <w:t>Paslaugų teikimo terminas bus patikslintas, atsižvelgiant į visų rinkos dalyvių pastabas ir rekomendacijas dėl paslaugų suteikimo termino bei projekto galimybes. B</w:t>
            </w:r>
            <w:r w:rsidRPr="003B11C9">
              <w:rPr>
                <w:rFonts w:ascii="Times New Roman" w:hAnsi="Times New Roman" w:cs="Times New Roman"/>
              </w:rPr>
              <w:t>us pateikiama galutiniuose pirkimo dokumentuose skelbiant pirkimą</w:t>
            </w:r>
            <w:r>
              <w:rPr>
                <w:rFonts w:ascii="Times New Roman" w:hAnsi="Times New Roman" w:cs="Times New Roman"/>
              </w:rPr>
              <w:t>.</w:t>
            </w:r>
          </w:p>
          <w:p w14:paraId="523E5691" w14:textId="77777777" w:rsidR="00630F35" w:rsidRDefault="00630F35" w:rsidP="00630F35">
            <w:pPr>
              <w:jc w:val="both"/>
              <w:rPr>
                <w:rFonts w:ascii="Times New Roman" w:hAnsi="Times New Roman" w:cs="Times New Roman"/>
              </w:rPr>
            </w:pPr>
          </w:p>
          <w:p w14:paraId="3C8BD79C"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Pakoreguota versija:</w:t>
            </w:r>
          </w:p>
          <w:p w14:paraId="5BDB5AD4"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4.1.</w:t>
            </w:r>
            <w:r w:rsidRPr="00630F35">
              <w:rPr>
                <w:rFonts w:ascii="Times New Roman" w:hAnsi="Times New Roman" w:cs="Times New Roman"/>
                <w:i/>
                <w:iCs/>
              </w:rPr>
              <w:tab/>
              <w:t>Paslaugos turi būti suteiktos per 10 mėnesių nuo sutarties įsigaliojimo datos.</w:t>
            </w:r>
          </w:p>
          <w:p w14:paraId="79B77CAE" w14:textId="25A1BAA8" w:rsidR="004506CD" w:rsidRDefault="00386C86" w:rsidP="00AA0E10">
            <w:pPr>
              <w:jc w:val="both"/>
              <w:rPr>
                <w:rFonts w:ascii="Times New Roman" w:hAnsi="Times New Roman" w:cs="Times New Roman"/>
              </w:rPr>
            </w:pPr>
            <w:r>
              <w:rPr>
                <w:rFonts w:ascii="Times New Roman" w:hAnsi="Times New Roman" w:cs="Times New Roman"/>
              </w:rPr>
              <w:t>.</w:t>
            </w:r>
          </w:p>
        </w:tc>
      </w:tr>
      <w:tr w:rsidR="00AA0E10" w14:paraId="39E2754C" w14:textId="77777777" w:rsidTr="003E1A73">
        <w:tc>
          <w:tcPr>
            <w:tcW w:w="846" w:type="dxa"/>
          </w:tcPr>
          <w:p w14:paraId="694029EC" w14:textId="3A52796D" w:rsidR="00AA0E10" w:rsidRDefault="00C77BF0" w:rsidP="00AA0E10">
            <w:pPr>
              <w:jc w:val="both"/>
              <w:rPr>
                <w:rFonts w:ascii="Times New Roman" w:hAnsi="Times New Roman" w:cs="Times New Roman"/>
              </w:rPr>
            </w:pPr>
            <w:r>
              <w:rPr>
                <w:rFonts w:ascii="Times New Roman" w:hAnsi="Times New Roman" w:cs="Times New Roman"/>
              </w:rPr>
              <w:t>7</w:t>
            </w:r>
          </w:p>
        </w:tc>
        <w:tc>
          <w:tcPr>
            <w:tcW w:w="4394" w:type="dxa"/>
          </w:tcPr>
          <w:p w14:paraId="55EC8DFC" w14:textId="77777777" w:rsidR="004506CD" w:rsidRPr="003B3F5F" w:rsidRDefault="004506CD" w:rsidP="004506CD">
            <w:pPr>
              <w:suppressAutoHyphens/>
              <w:jc w:val="both"/>
              <w:outlineLvl w:val="2"/>
              <w:rPr>
                <w:rFonts w:ascii="Times New Roman" w:eastAsia="Times New Roman" w:hAnsi="Times New Roman"/>
                <w:bdr w:val="none" w:sz="0" w:space="0" w:color="auto" w:frame="1"/>
                <w:lang w:eastAsia="lt-LT"/>
              </w:rPr>
            </w:pPr>
            <w:r w:rsidRPr="003B3F5F">
              <w:rPr>
                <w:rFonts w:ascii="Times New Roman" w:hAnsi="Times New Roman" w:cs="Times New Roman"/>
              </w:rPr>
              <w:t xml:space="preserve">Pastaba dėl kvalifikacijos reikalavimo: Specialistas Nr. 2: </w:t>
            </w:r>
            <w:bookmarkStart w:id="0" w:name="_Hlk200013366"/>
            <w:proofErr w:type="spellStart"/>
            <w:r w:rsidRPr="003B3F5F">
              <w:rPr>
                <w:rFonts w:ascii="Times New Roman" w:eastAsia="Times New Roman" w:hAnsi="Times New Roman"/>
                <w:bdr w:val="none" w:sz="0" w:space="0" w:color="auto" w:frame="1"/>
                <w:lang w:eastAsia="lt-LT"/>
              </w:rPr>
              <w:t>Certified</w:t>
            </w:r>
            <w:proofErr w:type="spellEnd"/>
            <w:r w:rsidRPr="003B3F5F">
              <w:rPr>
                <w:rFonts w:ascii="Times New Roman" w:eastAsia="Times New Roman" w:hAnsi="Times New Roman"/>
                <w:bdr w:val="none" w:sz="0" w:space="0" w:color="auto" w:frame="1"/>
                <w:lang w:eastAsia="lt-LT"/>
              </w:rPr>
              <w:t xml:space="preserve"> LCA </w:t>
            </w:r>
            <w:proofErr w:type="spellStart"/>
            <w:r w:rsidRPr="003B3F5F">
              <w:rPr>
                <w:rFonts w:ascii="Times New Roman" w:eastAsia="Times New Roman" w:hAnsi="Times New Roman"/>
                <w:bdr w:val="none" w:sz="0" w:space="0" w:color="auto" w:frame="1"/>
                <w:lang w:eastAsia="lt-LT"/>
              </w:rPr>
              <w:t>Practitioner</w:t>
            </w:r>
            <w:proofErr w:type="spellEnd"/>
            <w:r w:rsidRPr="003B3F5F">
              <w:rPr>
                <w:rFonts w:ascii="Times New Roman" w:eastAsia="Times New Roman" w:hAnsi="Times New Roman"/>
                <w:bdr w:val="none" w:sz="0" w:space="0" w:color="auto" w:frame="1"/>
                <w:lang w:eastAsia="lt-LT"/>
              </w:rPr>
              <w:t xml:space="preserve"> (ACLCA) yra itin retas, labiau Australijos rinkoje pripažįstamas sertifikatas. </w:t>
            </w:r>
          </w:p>
          <w:p w14:paraId="6F0FDE2D" w14:textId="77777777" w:rsidR="004506CD" w:rsidRPr="003B3F5F" w:rsidRDefault="004506CD" w:rsidP="004506CD">
            <w:pPr>
              <w:suppressAutoHyphens/>
              <w:jc w:val="both"/>
              <w:outlineLvl w:val="2"/>
              <w:rPr>
                <w:rFonts w:ascii="Times New Roman" w:eastAsia="Times New Roman" w:hAnsi="Times New Roman"/>
                <w:bdr w:val="none" w:sz="0" w:space="0" w:color="auto" w:frame="1"/>
                <w:lang w:val="en-US" w:eastAsia="lt-LT"/>
              </w:rPr>
            </w:pPr>
            <w:r w:rsidRPr="003B3F5F">
              <w:rPr>
                <w:rFonts w:ascii="Times New Roman" w:eastAsia="Times New Roman" w:hAnsi="Times New Roman"/>
                <w:bdr w:val="none" w:sz="0" w:space="0" w:color="auto" w:frame="1"/>
                <w:lang w:eastAsia="lt-LT"/>
              </w:rPr>
              <w:t xml:space="preserve">Rinkoje nėra mokymų skirtų konkrečiai EN 15804 ar ISO 21930 </w:t>
            </w:r>
          </w:p>
          <w:bookmarkEnd w:id="0"/>
          <w:p w14:paraId="5D95262A" w14:textId="086AE1D0" w:rsidR="00AA0E10" w:rsidRPr="003B3F5F" w:rsidRDefault="00AA0E10" w:rsidP="00AA0E10">
            <w:pPr>
              <w:spacing w:after="120" w:line="276" w:lineRule="auto"/>
              <w:rPr>
                <w:rFonts w:ascii="Times New Roman" w:hAnsi="Times New Roman" w:cs="Times New Roman"/>
              </w:rPr>
            </w:pPr>
          </w:p>
        </w:tc>
        <w:tc>
          <w:tcPr>
            <w:tcW w:w="4253" w:type="dxa"/>
          </w:tcPr>
          <w:p w14:paraId="7DD71981" w14:textId="71D5CACD" w:rsidR="003B3F5F" w:rsidRDefault="003B3F5F" w:rsidP="003B3F5F">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Pr>
                <w:rFonts w:ascii="Times New Roman" w:hAnsi="Times New Roman" w:cs="Times New Roman"/>
              </w:rPr>
              <w:t>.</w:t>
            </w:r>
          </w:p>
          <w:p w14:paraId="78A8E659" w14:textId="77777777" w:rsidR="003B3F5F" w:rsidRDefault="003B3F5F" w:rsidP="00525CEC">
            <w:pPr>
              <w:jc w:val="both"/>
              <w:rPr>
                <w:rFonts w:ascii="Times New Roman" w:hAnsi="Times New Roman" w:cs="Times New Roman"/>
              </w:rPr>
            </w:pPr>
          </w:p>
          <w:p w14:paraId="43A2B3D9" w14:textId="77777777" w:rsidR="003B3F5F" w:rsidRPr="00C77BF0" w:rsidRDefault="003B3F5F" w:rsidP="003B3F5F">
            <w:pPr>
              <w:jc w:val="both"/>
              <w:rPr>
                <w:rFonts w:ascii="Times New Roman" w:hAnsi="Times New Roman" w:cs="Times New Roman"/>
                <w:i/>
                <w:iCs/>
              </w:rPr>
            </w:pPr>
            <w:r w:rsidRPr="00C77BF0">
              <w:rPr>
                <w:rFonts w:ascii="Times New Roman" w:hAnsi="Times New Roman" w:cs="Times New Roman"/>
                <w:i/>
                <w:iCs/>
              </w:rPr>
              <w:t>Pakoreguota versija:</w:t>
            </w:r>
          </w:p>
          <w:p w14:paraId="62C1E608" w14:textId="77777777" w:rsidR="003B3F5F" w:rsidRPr="003B3F5F" w:rsidRDefault="003B3F5F" w:rsidP="00525CEC">
            <w:pPr>
              <w:jc w:val="both"/>
              <w:rPr>
                <w:rFonts w:ascii="Times New Roman" w:hAnsi="Times New Roman" w:cs="Times New Roman"/>
              </w:rPr>
            </w:pPr>
          </w:p>
          <w:p w14:paraId="3DE5F485" w14:textId="3D00D8B3" w:rsidR="003B3F5F" w:rsidRPr="003B3F5F" w:rsidRDefault="003B3F5F" w:rsidP="00525CEC">
            <w:pPr>
              <w:jc w:val="both"/>
              <w:rPr>
                <w:rFonts w:ascii="Times New Roman" w:hAnsi="Times New Roman" w:cs="Times New Roman"/>
                <w:i/>
                <w:iCs/>
              </w:rPr>
            </w:pPr>
            <w:r w:rsidRPr="003B3F5F">
              <w:rPr>
                <w:rFonts w:ascii="Times New Roman" w:hAnsi="Times New Roman" w:cs="Times New Roman"/>
                <w:i/>
                <w:iCs/>
              </w:rPr>
              <w:t xml:space="preserve">Turi turėti ne trumpesnę kaip 3 metų darbo su SGC vertinimo  programine įranga (pvz., One </w:t>
            </w:r>
            <w:proofErr w:type="spellStart"/>
            <w:r w:rsidRPr="003B3F5F">
              <w:rPr>
                <w:rFonts w:ascii="Times New Roman" w:hAnsi="Times New Roman" w:cs="Times New Roman"/>
                <w:i/>
                <w:iCs/>
              </w:rPr>
              <w:t>Click</w:t>
            </w:r>
            <w:proofErr w:type="spellEnd"/>
            <w:r w:rsidRPr="003B3F5F">
              <w:rPr>
                <w:rFonts w:ascii="Times New Roman" w:hAnsi="Times New Roman" w:cs="Times New Roman"/>
                <w:i/>
                <w:iCs/>
              </w:rPr>
              <w:t xml:space="preserve"> LCA, </w:t>
            </w:r>
            <w:proofErr w:type="spellStart"/>
            <w:r w:rsidRPr="003B3F5F">
              <w:rPr>
                <w:rFonts w:ascii="Times New Roman" w:hAnsi="Times New Roman" w:cs="Times New Roman"/>
                <w:i/>
                <w:iCs/>
              </w:rPr>
              <w:t>SimaPro</w:t>
            </w:r>
            <w:proofErr w:type="spellEnd"/>
            <w:r w:rsidRPr="003B3F5F">
              <w:rPr>
                <w:rFonts w:ascii="Times New Roman" w:hAnsi="Times New Roman" w:cs="Times New Roman"/>
                <w:i/>
                <w:iCs/>
              </w:rPr>
              <w:t xml:space="preserve">, </w:t>
            </w:r>
            <w:proofErr w:type="spellStart"/>
            <w:r w:rsidRPr="003B3F5F">
              <w:rPr>
                <w:rFonts w:ascii="Times New Roman" w:hAnsi="Times New Roman" w:cs="Times New Roman"/>
                <w:i/>
                <w:iCs/>
              </w:rPr>
              <w:t>OpenLCA</w:t>
            </w:r>
            <w:proofErr w:type="spellEnd"/>
            <w:r w:rsidRPr="003B3F5F">
              <w:rPr>
                <w:rFonts w:ascii="Times New Roman" w:hAnsi="Times New Roman" w:cs="Times New Roman"/>
                <w:i/>
                <w:iCs/>
              </w:rPr>
              <w:t xml:space="preserve">, </w:t>
            </w:r>
            <w:proofErr w:type="spellStart"/>
            <w:r w:rsidRPr="003B3F5F">
              <w:rPr>
                <w:rFonts w:ascii="Times New Roman" w:hAnsi="Times New Roman" w:cs="Times New Roman"/>
                <w:i/>
                <w:iCs/>
              </w:rPr>
              <w:t>Tally</w:t>
            </w:r>
            <w:proofErr w:type="spellEnd"/>
            <w:r w:rsidRPr="003B3F5F">
              <w:rPr>
                <w:rFonts w:ascii="Times New Roman" w:hAnsi="Times New Roman" w:cs="Times New Roman"/>
                <w:i/>
                <w:iCs/>
              </w:rPr>
              <w:t xml:space="preserve">) ir/arba poveikio vertinimo metodais, įskaitant visuotinio atšilimo potencialo skaičiavimus pagal </w:t>
            </w:r>
            <w:proofErr w:type="spellStart"/>
            <w:r w:rsidRPr="003B3F5F">
              <w:rPr>
                <w:rFonts w:ascii="Times New Roman" w:hAnsi="Times New Roman" w:cs="Times New Roman"/>
                <w:i/>
                <w:iCs/>
              </w:rPr>
              <w:t>Level</w:t>
            </w:r>
            <w:proofErr w:type="spellEnd"/>
            <w:r w:rsidRPr="003B3F5F">
              <w:rPr>
                <w:rFonts w:ascii="Times New Roman" w:hAnsi="Times New Roman" w:cs="Times New Roman"/>
                <w:i/>
                <w:iCs/>
              </w:rPr>
              <w:t>(s), IPCC, ILCD, PEF ar lygiavertę metodiką patirtį (bendra darbo patirtis minėtoje srityje, nesumuojant vienu metu vykdomų veiklų/sutarčių trukmių);</w:t>
            </w:r>
          </w:p>
        </w:tc>
      </w:tr>
      <w:tr w:rsidR="00481B00" w14:paraId="4B5A51D2" w14:textId="77777777" w:rsidTr="003E1A73">
        <w:tc>
          <w:tcPr>
            <w:tcW w:w="846" w:type="dxa"/>
          </w:tcPr>
          <w:p w14:paraId="036D5658" w14:textId="426760ED" w:rsidR="00481B00" w:rsidRDefault="00C77BF0" w:rsidP="00AA0E10">
            <w:pPr>
              <w:jc w:val="both"/>
              <w:rPr>
                <w:rFonts w:ascii="Times New Roman" w:hAnsi="Times New Roman" w:cs="Times New Roman"/>
              </w:rPr>
            </w:pPr>
            <w:r>
              <w:rPr>
                <w:rFonts w:ascii="Times New Roman" w:hAnsi="Times New Roman" w:cs="Times New Roman"/>
              </w:rPr>
              <w:t>8</w:t>
            </w:r>
          </w:p>
        </w:tc>
        <w:tc>
          <w:tcPr>
            <w:tcW w:w="4394" w:type="dxa"/>
          </w:tcPr>
          <w:p w14:paraId="14962126" w14:textId="04CF9D76" w:rsidR="00481B00" w:rsidRPr="00480C40" w:rsidRDefault="00481B00" w:rsidP="00480C40">
            <w:pPr>
              <w:pStyle w:val="Default"/>
              <w:jc w:val="both"/>
              <w:rPr>
                <w:b/>
                <w:bCs/>
              </w:rPr>
            </w:pPr>
            <w:r w:rsidRPr="00480C40">
              <w:t>Pastaba dėl vertinimo etap</w:t>
            </w:r>
            <w:r w:rsidR="00480C40">
              <w:t xml:space="preserve">o </w:t>
            </w:r>
            <w:r w:rsidRPr="00480C40">
              <w:t>A4:</w:t>
            </w:r>
            <w:r w:rsidRPr="00480C40">
              <w:rPr>
                <w:b/>
                <w:bCs/>
              </w:rPr>
              <w:t xml:space="preserve"> </w:t>
            </w:r>
            <w:r w:rsidRPr="00480C40">
              <w:rPr>
                <w:i/>
                <w:iCs/>
              </w:rPr>
              <w:t xml:space="preserve">2.3.2.2. Surinkti ir pateikti duomenis, reikalingus A4 etapo emisijoms apskaičiuoti, įskaitant: 2.3.2.2.1. Realius duomenis apie medžiagų transportavimą Lietuvoje (atstumai, transporto rūšys, kroviniai). </w:t>
            </w:r>
            <w:r w:rsidRPr="00480C40">
              <w:t xml:space="preserve">Kadangi ne </w:t>
            </w:r>
            <w:r w:rsidRPr="00480C40">
              <w:lastRenderedPageBreak/>
              <w:t xml:space="preserve">visi reikiamų produktų gamintojai yra Lietuvoje, siūloma taikyti lankstesnį požiūrį ir vertinti </w:t>
            </w:r>
            <w:proofErr w:type="spellStart"/>
            <w:r w:rsidRPr="00480C40">
              <w:t>hierarchiškai</w:t>
            </w:r>
            <w:proofErr w:type="spellEnd"/>
            <w:r w:rsidRPr="00480C40">
              <w:t xml:space="preserve">: a) jeigu nustatoma, kad medžiagos gaminamos Lietuvoje – naudoti Lietuvos duomenis (bus sukurti duomenų įverčiai); b) jei gamybos lokacijos reikšmingai skiriasi – remtis prekybos duomenų baze ir nustatyti preliminarius transportavimo km (skaičiuojant atstumą tarp gamybos </w:t>
            </w:r>
          </w:p>
        </w:tc>
        <w:tc>
          <w:tcPr>
            <w:tcW w:w="4253" w:type="dxa"/>
          </w:tcPr>
          <w:p w14:paraId="0F33FD05" w14:textId="0D8FC108" w:rsidR="00481B00" w:rsidRDefault="00525CEC" w:rsidP="00AA0E10">
            <w:pPr>
              <w:jc w:val="both"/>
              <w:rPr>
                <w:rFonts w:ascii="Times New Roman" w:hAnsi="Times New Roman" w:cs="Times New Roman"/>
              </w:rPr>
            </w:pPr>
            <w:r>
              <w:rPr>
                <w:rFonts w:ascii="Times New Roman" w:hAnsi="Times New Roman" w:cs="Times New Roman"/>
              </w:rPr>
              <w:lastRenderedPageBreak/>
              <w:t xml:space="preserve">Į </w:t>
            </w:r>
            <w:r w:rsidRPr="003B11C9">
              <w:rPr>
                <w:rFonts w:ascii="Times New Roman" w:hAnsi="Times New Roman" w:cs="Times New Roman"/>
              </w:rPr>
              <w:t xml:space="preserve">pastabą </w:t>
            </w:r>
            <w:r w:rsidR="003E1A73">
              <w:rPr>
                <w:rFonts w:ascii="Times New Roman" w:hAnsi="Times New Roman" w:cs="Times New Roman"/>
              </w:rPr>
              <w:t xml:space="preserve">dalinai </w:t>
            </w:r>
            <w:r w:rsidRPr="003B11C9">
              <w:rPr>
                <w:rFonts w:ascii="Times New Roman" w:hAnsi="Times New Roman" w:cs="Times New Roman"/>
              </w:rPr>
              <w:t>bus atsižvelgiama ir pirkimo dokumentų koregavimas (patikslinimas) pagal pateiktą pastabą bus pateikiamas galutiniuose pirkimo dokumentuose skelbiant pirkimą</w:t>
            </w:r>
            <w:r w:rsidR="003B3F5F">
              <w:rPr>
                <w:rFonts w:ascii="Times New Roman" w:hAnsi="Times New Roman" w:cs="Times New Roman"/>
              </w:rPr>
              <w:t>.</w:t>
            </w:r>
          </w:p>
          <w:p w14:paraId="07285DBE" w14:textId="77777777" w:rsidR="003E1A73" w:rsidRDefault="003E1A73" w:rsidP="00AA0E10">
            <w:pPr>
              <w:jc w:val="both"/>
              <w:rPr>
                <w:rFonts w:ascii="Times New Roman" w:hAnsi="Times New Roman" w:cs="Times New Roman"/>
              </w:rPr>
            </w:pPr>
          </w:p>
          <w:p w14:paraId="52FCB468" w14:textId="77777777" w:rsidR="003E1A73" w:rsidRPr="00C77BF0" w:rsidRDefault="003E1A73" w:rsidP="003E1A73">
            <w:pPr>
              <w:jc w:val="both"/>
              <w:rPr>
                <w:rFonts w:ascii="Times New Roman" w:hAnsi="Times New Roman" w:cs="Times New Roman"/>
                <w:i/>
                <w:iCs/>
              </w:rPr>
            </w:pPr>
            <w:r w:rsidRPr="00C77BF0">
              <w:rPr>
                <w:rFonts w:ascii="Times New Roman" w:hAnsi="Times New Roman" w:cs="Times New Roman"/>
                <w:i/>
                <w:iCs/>
              </w:rPr>
              <w:lastRenderedPageBreak/>
              <w:t>Pakoreguota versija:</w:t>
            </w:r>
          </w:p>
          <w:p w14:paraId="253BD313" w14:textId="77777777" w:rsidR="003E1A73" w:rsidRDefault="003E1A73" w:rsidP="00AA0E10">
            <w:pPr>
              <w:jc w:val="both"/>
              <w:rPr>
                <w:rFonts w:ascii="Times New Roman" w:hAnsi="Times New Roman" w:cs="Times New Roman"/>
              </w:rPr>
            </w:pPr>
            <w:r w:rsidRPr="00C77BF0">
              <w:rPr>
                <w:rFonts w:ascii="Times New Roman" w:hAnsi="Times New Roman" w:cs="Times New Roman"/>
                <w:i/>
                <w:iCs/>
              </w:rPr>
              <w:t>2.3.2.2.</w:t>
            </w:r>
            <w:r w:rsidRPr="00C77BF0">
              <w:rPr>
                <w:rFonts w:ascii="Times New Roman" w:hAnsi="Times New Roman" w:cs="Times New Roman"/>
                <w:i/>
                <w:iCs/>
              </w:rPr>
              <w:tab/>
              <w:t>Surinkti ir pateikti duomenis, reikalingus A4 modulio emisijų apskaičiavimui, įskaitant</w:t>
            </w:r>
            <w:r w:rsidRPr="003E1A73">
              <w:rPr>
                <w:rFonts w:ascii="Times New Roman" w:hAnsi="Times New Roman" w:cs="Times New Roman"/>
              </w:rPr>
              <w:t>:</w:t>
            </w:r>
          </w:p>
          <w:p w14:paraId="752F4DE3" w14:textId="77777777" w:rsidR="00AD0B12" w:rsidRPr="00AD0B12" w:rsidRDefault="00AD0B12" w:rsidP="00AD0B12">
            <w:pPr>
              <w:jc w:val="both"/>
              <w:rPr>
                <w:rFonts w:ascii="Times New Roman" w:hAnsi="Times New Roman" w:cs="Times New Roman"/>
              </w:rPr>
            </w:pPr>
            <w:r w:rsidRPr="00AD0B12">
              <w:rPr>
                <w:rFonts w:ascii="Times New Roman" w:hAnsi="Times New Roman" w:cs="Times New Roman"/>
              </w:rPr>
              <w:t>2.3.2.2.1.</w:t>
            </w:r>
            <w:r w:rsidRPr="00AD0B12">
              <w:rPr>
                <w:rFonts w:ascii="Times New Roman" w:hAnsi="Times New Roman" w:cs="Times New Roman"/>
              </w:rPr>
              <w:tab/>
              <w:t>Realius duomenis apie medžiagų transportavimą Lietuvoje (atstumai, transporto rūšys, kroviniai).</w:t>
            </w:r>
          </w:p>
          <w:p w14:paraId="32CBEF35" w14:textId="77777777" w:rsidR="00AD0B12" w:rsidRPr="00AD0B12" w:rsidRDefault="00AD0B12" w:rsidP="00AD0B12">
            <w:pPr>
              <w:jc w:val="both"/>
              <w:rPr>
                <w:rFonts w:ascii="Times New Roman" w:hAnsi="Times New Roman" w:cs="Times New Roman"/>
              </w:rPr>
            </w:pPr>
            <w:r w:rsidRPr="00AD0B12">
              <w:rPr>
                <w:rFonts w:ascii="Times New Roman" w:hAnsi="Times New Roman" w:cs="Times New Roman"/>
              </w:rPr>
              <w:t>2.3.2.2.2.</w:t>
            </w:r>
            <w:r w:rsidRPr="00AD0B12">
              <w:rPr>
                <w:rFonts w:ascii="Times New Roman" w:hAnsi="Times New Roman" w:cs="Times New Roman"/>
              </w:rPr>
              <w:tab/>
              <w:t xml:space="preserve">Esamus tarptautinius ir lokalizuotus šaltinius, skirtus numatytųjų emisijų reikšmių (kg </w:t>
            </w:r>
            <w:proofErr w:type="spellStart"/>
            <w:r w:rsidRPr="00AD0B12">
              <w:rPr>
                <w:rFonts w:ascii="Times New Roman" w:hAnsi="Times New Roman" w:cs="Times New Roman"/>
              </w:rPr>
              <w:t>CO₂e</w:t>
            </w:r>
            <w:proofErr w:type="spellEnd"/>
            <w:r w:rsidRPr="00AD0B12">
              <w:rPr>
                <w:rFonts w:ascii="Times New Roman" w:hAnsi="Times New Roman" w:cs="Times New Roman"/>
              </w:rPr>
              <w:t>/</w:t>
            </w:r>
            <w:proofErr w:type="spellStart"/>
            <w:r w:rsidRPr="00AD0B12">
              <w:rPr>
                <w:rFonts w:ascii="Times New Roman" w:hAnsi="Times New Roman" w:cs="Times New Roman"/>
              </w:rPr>
              <w:t>tkm</w:t>
            </w:r>
            <w:proofErr w:type="spellEnd"/>
            <w:r w:rsidRPr="00AD0B12">
              <w:rPr>
                <w:rFonts w:ascii="Times New Roman" w:hAnsi="Times New Roman" w:cs="Times New Roman"/>
              </w:rPr>
              <w:t>) skirtingoms transporto priemonėms.</w:t>
            </w:r>
          </w:p>
          <w:p w14:paraId="54A493E7" w14:textId="77777777" w:rsidR="00AD0B12" w:rsidRPr="00AD0B12" w:rsidRDefault="00AD0B12" w:rsidP="00AD0B12">
            <w:pPr>
              <w:jc w:val="both"/>
              <w:rPr>
                <w:rFonts w:ascii="Times New Roman" w:hAnsi="Times New Roman" w:cs="Times New Roman"/>
              </w:rPr>
            </w:pPr>
            <w:r w:rsidRPr="00AD0B12">
              <w:rPr>
                <w:rFonts w:ascii="Times New Roman" w:hAnsi="Times New Roman" w:cs="Times New Roman"/>
              </w:rPr>
              <w:t>2.3.2.2.3.</w:t>
            </w:r>
            <w:r w:rsidRPr="00AD0B12">
              <w:rPr>
                <w:rFonts w:ascii="Times New Roman" w:hAnsi="Times New Roman" w:cs="Times New Roman"/>
              </w:rPr>
              <w:tab/>
              <w:t>Nurodyti klasifikavimo sistemą medžiagų tipams, kuri būtų tinkama transporto emisijų skaičiavimui ir taikymui projektinėje praktikoje, pritaikant NSIK medžiagų ontologiją.</w:t>
            </w:r>
          </w:p>
          <w:p w14:paraId="5E82649A" w14:textId="48CAE1FB" w:rsidR="00AD0B12" w:rsidRDefault="00AD0B12" w:rsidP="00AD0B12">
            <w:pPr>
              <w:jc w:val="both"/>
              <w:rPr>
                <w:rFonts w:ascii="Times New Roman" w:hAnsi="Times New Roman" w:cs="Times New Roman"/>
              </w:rPr>
            </w:pPr>
            <w:r w:rsidRPr="00AD0B12">
              <w:rPr>
                <w:rFonts w:ascii="Times New Roman" w:hAnsi="Times New Roman" w:cs="Times New Roman"/>
              </w:rPr>
              <w:t>2.3.2.2.4.</w:t>
            </w:r>
            <w:r w:rsidRPr="00AD0B12">
              <w:rPr>
                <w:rFonts w:ascii="Times New Roman" w:hAnsi="Times New Roman" w:cs="Times New Roman"/>
              </w:rPr>
              <w:tab/>
              <w:t>Jei duomenys nėra prieinami, pagrįsti jų trūkumą ir pateikti rekomendacijas duomenų prieinamumui užtikrinti.</w:t>
            </w:r>
          </w:p>
        </w:tc>
      </w:tr>
      <w:tr w:rsidR="000F6634" w14:paraId="7DCAA379" w14:textId="77777777" w:rsidTr="003E1A73">
        <w:tc>
          <w:tcPr>
            <w:tcW w:w="846" w:type="dxa"/>
          </w:tcPr>
          <w:p w14:paraId="07C0F739" w14:textId="107021D0" w:rsidR="000F6634" w:rsidRDefault="00C77BF0" w:rsidP="000F6634">
            <w:pPr>
              <w:jc w:val="both"/>
              <w:rPr>
                <w:rFonts w:ascii="Times New Roman" w:hAnsi="Times New Roman" w:cs="Times New Roman"/>
              </w:rPr>
            </w:pPr>
            <w:r>
              <w:rPr>
                <w:rFonts w:ascii="Times New Roman" w:hAnsi="Times New Roman" w:cs="Times New Roman"/>
              </w:rPr>
              <w:lastRenderedPageBreak/>
              <w:t>9</w:t>
            </w:r>
          </w:p>
        </w:tc>
        <w:tc>
          <w:tcPr>
            <w:tcW w:w="4394" w:type="dxa"/>
          </w:tcPr>
          <w:p w14:paraId="464A6A80" w14:textId="77777777" w:rsidR="000F6634" w:rsidRPr="00480C40" w:rsidRDefault="000F6634" w:rsidP="000F6634">
            <w:pPr>
              <w:pStyle w:val="Default"/>
              <w:jc w:val="both"/>
            </w:pPr>
            <w:r w:rsidRPr="00480C40">
              <w:t xml:space="preserve">Pastaba dėl paslaugų suteikimo termino: </w:t>
            </w:r>
          </w:p>
          <w:p w14:paraId="0A68F657" w14:textId="6CCFE675" w:rsidR="000F6634" w:rsidRPr="00480C40" w:rsidRDefault="000F6634" w:rsidP="000F6634">
            <w:pPr>
              <w:pStyle w:val="Default"/>
              <w:jc w:val="both"/>
            </w:pPr>
            <w:r w:rsidRPr="00480C40">
              <w:t xml:space="preserve">Būtų naudinga šiek tiek prailginti terminą arba numatyti galimas išlygas. </w:t>
            </w:r>
          </w:p>
          <w:p w14:paraId="10D8F12B" w14:textId="79E361C5" w:rsidR="000F6634" w:rsidRDefault="000F6634" w:rsidP="000F6634">
            <w:pPr>
              <w:pStyle w:val="Default"/>
              <w:jc w:val="both"/>
              <w:rPr>
                <w:b/>
                <w:bCs/>
                <w:i/>
                <w:iCs/>
                <w:sz w:val="23"/>
                <w:szCs w:val="23"/>
              </w:rPr>
            </w:pPr>
            <w:r w:rsidRPr="00480C40">
              <w:t>Kadangi darbų apimtis yra didelė, o sprendimų testavimas rinkoje gali pareikalauti papildomo laiko, reikalingas tam tikras laiko rezervas. Esant poreikiui, siūlytina terminą pratęsti iki 1,5 mėnesio, suderinus tai su užsakovu.</w:t>
            </w:r>
            <w:r>
              <w:rPr>
                <w:sz w:val="23"/>
                <w:szCs w:val="23"/>
              </w:rPr>
              <w:t xml:space="preserve"> </w:t>
            </w:r>
          </w:p>
        </w:tc>
        <w:tc>
          <w:tcPr>
            <w:tcW w:w="4253" w:type="dxa"/>
          </w:tcPr>
          <w:p w14:paraId="4D891D14" w14:textId="77777777" w:rsidR="00630F35" w:rsidRDefault="00630F35" w:rsidP="00630F35">
            <w:pPr>
              <w:jc w:val="both"/>
              <w:rPr>
                <w:rFonts w:ascii="Times New Roman" w:hAnsi="Times New Roman" w:cs="Times New Roman"/>
              </w:rPr>
            </w:pPr>
            <w:r>
              <w:rPr>
                <w:rFonts w:ascii="Times New Roman" w:hAnsi="Times New Roman" w:cs="Times New Roman"/>
              </w:rPr>
              <w:t>Paslaugų teikimo terminas bus patikslintas, atsižvelgiant į visų rinkos dalyvių pastabas ir rekomendacijas dėl paslaugų suteikimo termino bei projekto galimybes. B</w:t>
            </w:r>
            <w:r w:rsidRPr="003B11C9">
              <w:rPr>
                <w:rFonts w:ascii="Times New Roman" w:hAnsi="Times New Roman" w:cs="Times New Roman"/>
              </w:rPr>
              <w:t>us pateikiama galutiniuose pirkimo dokumentuose skelbiant pirkimą</w:t>
            </w:r>
            <w:r>
              <w:rPr>
                <w:rFonts w:ascii="Times New Roman" w:hAnsi="Times New Roman" w:cs="Times New Roman"/>
              </w:rPr>
              <w:t>.</w:t>
            </w:r>
          </w:p>
          <w:p w14:paraId="202D73A4" w14:textId="77777777" w:rsidR="00630F35" w:rsidRDefault="00630F35" w:rsidP="00630F35">
            <w:pPr>
              <w:jc w:val="both"/>
              <w:rPr>
                <w:rFonts w:ascii="Times New Roman" w:hAnsi="Times New Roman" w:cs="Times New Roman"/>
              </w:rPr>
            </w:pPr>
          </w:p>
          <w:p w14:paraId="0ABA1939"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Pakoreguota versija:</w:t>
            </w:r>
          </w:p>
          <w:p w14:paraId="20664D7E"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4.1.</w:t>
            </w:r>
            <w:r w:rsidRPr="00630F35">
              <w:rPr>
                <w:rFonts w:ascii="Times New Roman" w:hAnsi="Times New Roman" w:cs="Times New Roman"/>
                <w:i/>
                <w:iCs/>
              </w:rPr>
              <w:tab/>
              <w:t>Paslaugos turi būti suteiktos per 10 mėnesių nuo sutarties įsigaliojimo datos.</w:t>
            </w:r>
          </w:p>
          <w:p w14:paraId="6DA8BF95" w14:textId="0FB78D94" w:rsidR="00525CEC" w:rsidRDefault="00525CEC" w:rsidP="000F6634">
            <w:pPr>
              <w:jc w:val="both"/>
              <w:rPr>
                <w:rFonts w:ascii="Times New Roman" w:hAnsi="Times New Roman" w:cs="Times New Roman"/>
              </w:rPr>
            </w:pPr>
          </w:p>
        </w:tc>
      </w:tr>
      <w:tr w:rsidR="000F6634" w14:paraId="2116AC7F" w14:textId="77777777" w:rsidTr="003E1A73">
        <w:tc>
          <w:tcPr>
            <w:tcW w:w="846" w:type="dxa"/>
          </w:tcPr>
          <w:p w14:paraId="06168415" w14:textId="323EC41C" w:rsidR="000F6634" w:rsidRDefault="00C77BF0" w:rsidP="000F6634">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0</w:t>
            </w:r>
          </w:p>
        </w:tc>
        <w:tc>
          <w:tcPr>
            <w:tcW w:w="4394" w:type="dxa"/>
          </w:tcPr>
          <w:p w14:paraId="3096B331" w14:textId="77777777" w:rsidR="000F6634" w:rsidRDefault="000F6634" w:rsidP="000F6634">
            <w:pPr>
              <w:pStyle w:val="Default"/>
              <w:jc w:val="both"/>
              <w:rPr>
                <w:sz w:val="23"/>
                <w:szCs w:val="23"/>
              </w:rPr>
            </w:pPr>
            <w:r>
              <w:rPr>
                <w:sz w:val="23"/>
                <w:szCs w:val="23"/>
              </w:rPr>
              <w:t xml:space="preserve">Koks yra kvalifikacinio reikalavimo </w:t>
            </w:r>
            <w:r>
              <w:rPr>
                <w:i/>
                <w:iCs/>
                <w:sz w:val="23"/>
                <w:szCs w:val="23"/>
              </w:rPr>
              <w:t xml:space="preserve">ankstesniems ne mažesnės nei 60 000 EUR </w:t>
            </w:r>
            <w:r>
              <w:rPr>
                <w:sz w:val="23"/>
                <w:szCs w:val="23"/>
              </w:rPr>
              <w:t xml:space="preserve">vertės </w:t>
            </w:r>
            <w:r>
              <w:rPr>
                <w:i/>
                <w:iCs/>
                <w:sz w:val="23"/>
                <w:szCs w:val="23"/>
              </w:rPr>
              <w:t xml:space="preserve">projektams </w:t>
            </w:r>
            <w:r>
              <w:rPr>
                <w:sz w:val="23"/>
                <w:szCs w:val="23"/>
              </w:rPr>
              <w:t xml:space="preserve">pagrindas? Kodėl būtent ši suma? </w:t>
            </w:r>
          </w:p>
          <w:p w14:paraId="28D5C756" w14:textId="77777777" w:rsidR="000F6634" w:rsidRDefault="000F6634" w:rsidP="000F6634">
            <w:pPr>
              <w:pStyle w:val="Default"/>
              <w:rPr>
                <w:b/>
                <w:bCs/>
                <w:sz w:val="23"/>
                <w:szCs w:val="23"/>
              </w:rPr>
            </w:pPr>
          </w:p>
        </w:tc>
        <w:tc>
          <w:tcPr>
            <w:tcW w:w="4253" w:type="dxa"/>
          </w:tcPr>
          <w:p w14:paraId="7E163C90" w14:textId="77777777" w:rsidR="00525CEC" w:rsidRPr="003B11C9" w:rsidRDefault="00525CEC" w:rsidP="00525CEC">
            <w:pPr>
              <w:jc w:val="both"/>
              <w:rPr>
                <w:rFonts w:ascii="Times New Roman" w:hAnsi="Times New Roman" w:cs="Times New Roman"/>
              </w:rPr>
            </w:pPr>
            <w:r w:rsidRPr="003B11C9">
              <w:rPr>
                <w:rFonts w:ascii="Times New Roman" w:hAnsi="Times New Roman" w:cs="Times New Roman"/>
              </w:rPr>
              <w:t>Tiekėjo kvalifikacijos reikalavimų nustatymo metodikos 16 punktas numato, kad:</w:t>
            </w:r>
          </w:p>
          <w:p w14:paraId="361E6683" w14:textId="77777777" w:rsidR="00525CEC" w:rsidRPr="00630F35" w:rsidRDefault="00525CEC" w:rsidP="00525CEC">
            <w:pPr>
              <w:jc w:val="both"/>
              <w:rPr>
                <w:rFonts w:ascii="Times New Roman" w:hAnsi="Times New Roman" w:cs="Times New Roman"/>
                <w:i/>
                <w:iCs/>
              </w:rPr>
            </w:pPr>
            <w:r w:rsidRPr="003B11C9">
              <w:rPr>
                <w:rFonts w:ascii="Times New Roman" w:hAnsi="Times New Roman" w:cs="Times New Roman"/>
              </w:rPr>
              <w:t xml:space="preserve"> </w:t>
            </w:r>
          </w:p>
          <w:p w14:paraId="474F6F5B" w14:textId="77777777" w:rsidR="00525CEC" w:rsidRPr="00630F35" w:rsidRDefault="00525CEC" w:rsidP="00525CEC">
            <w:pPr>
              <w:jc w:val="both"/>
              <w:rPr>
                <w:rFonts w:ascii="Times New Roman" w:hAnsi="Times New Roman" w:cs="Times New Roman"/>
                <w:i/>
                <w:iCs/>
              </w:rPr>
            </w:pPr>
            <w:r w:rsidRPr="00630F35">
              <w:rPr>
                <w:rFonts w:ascii="Times New Roman" w:hAnsi="Times New Roman" w:cs="Times New Roman"/>
                <w:i/>
                <w:iCs/>
              </w:rPr>
              <w:t>Apibrėžiant reikalavimą verte, pirkimo vykdytojas turi nurodyti, kad ji skaičiuojama eurais be PVM. Apibrėžiant reikalavimą verte, kiekiu, apimtimi (plotas, ilgis, kiekis ir kt.), reikalaujama patirties reikšmė paprastai turi būti ne daugiau kaip 0,7 dydžio, lyginant su numatoma atitinkamų prekių, paslaugų ar darbų verte, kiekiu, apimtimi.</w:t>
            </w:r>
          </w:p>
          <w:p w14:paraId="2C4D0071" w14:textId="6BA6EE70" w:rsidR="000F6634" w:rsidRDefault="000F6634" w:rsidP="000F6634">
            <w:pPr>
              <w:jc w:val="both"/>
              <w:rPr>
                <w:rFonts w:ascii="Times New Roman" w:hAnsi="Times New Roman" w:cs="Times New Roman"/>
              </w:rPr>
            </w:pPr>
          </w:p>
        </w:tc>
      </w:tr>
      <w:tr w:rsidR="003E1A73" w:rsidRPr="003E1A73" w14:paraId="673336BC" w14:textId="77777777" w:rsidTr="003E1A73">
        <w:tc>
          <w:tcPr>
            <w:tcW w:w="846" w:type="dxa"/>
          </w:tcPr>
          <w:p w14:paraId="4F1A071E" w14:textId="7BC39EA0" w:rsidR="000F6634" w:rsidRDefault="00C77BF0" w:rsidP="000F6634">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1</w:t>
            </w:r>
          </w:p>
        </w:tc>
        <w:tc>
          <w:tcPr>
            <w:tcW w:w="4394" w:type="dxa"/>
          </w:tcPr>
          <w:p w14:paraId="7B9436F4" w14:textId="77777777" w:rsidR="000F6634" w:rsidRPr="00F1659C" w:rsidRDefault="000F6634" w:rsidP="000F6634">
            <w:pPr>
              <w:pStyle w:val="Default"/>
              <w:rPr>
                <w:color w:val="auto"/>
                <w:sz w:val="23"/>
                <w:szCs w:val="23"/>
              </w:rPr>
            </w:pPr>
            <w:r w:rsidRPr="00F1659C">
              <w:rPr>
                <w:color w:val="auto"/>
                <w:sz w:val="23"/>
                <w:szCs w:val="23"/>
              </w:rPr>
              <w:t xml:space="preserve">Atsižvelgiant į projekto apimtį, kvalifikaciniai reikalavimai turėtų apimti: </w:t>
            </w:r>
          </w:p>
          <w:p w14:paraId="000D33B8" w14:textId="77777777" w:rsidR="000F6634" w:rsidRPr="00F1659C" w:rsidRDefault="000F6634" w:rsidP="000F6634">
            <w:pPr>
              <w:pStyle w:val="Default"/>
              <w:numPr>
                <w:ilvl w:val="0"/>
                <w:numId w:val="1"/>
              </w:numPr>
              <w:rPr>
                <w:color w:val="auto"/>
                <w:sz w:val="23"/>
                <w:szCs w:val="23"/>
              </w:rPr>
            </w:pPr>
            <w:r w:rsidRPr="00F1659C">
              <w:rPr>
                <w:color w:val="auto"/>
                <w:sz w:val="23"/>
                <w:szCs w:val="23"/>
              </w:rPr>
              <w:lastRenderedPageBreak/>
              <w:t xml:space="preserve">ankstesnę patirtį dirbant su SGC (LCA) įrankiais ir darbo su statybos sektoriumi patirtį; </w:t>
            </w:r>
          </w:p>
          <w:p w14:paraId="1585BDBD" w14:textId="77777777" w:rsidR="000F6634" w:rsidRPr="00F1659C" w:rsidRDefault="000F6634" w:rsidP="000F6634">
            <w:pPr>
              <w:pStyle w:val="Default"/>
              <w:numPr>
                <w:ilvl w:val="0"/>
                <w:numId w:val="1"/>
              </w:numPr>
              <w:rPr>
                <w:color w:val="auto"/>
                <w:sz w:val="23"/>
                <w:szCs w:val="23"/>
              </w:rPr>
            </w:pPr>
            <w:r w:rsidRPr="00F1659C">
              <w:rPr>
                <w:color w:val="auto"/>
                <w:sz w:val="23"/>
                <w:szCs w:val="23"/>
              </w:rPr>
              <w:t xml:space="preserve">nuorodas į ankstesnius susijusios srities projektus. </w:t>
            </w:r>
          </w:p>
          <w:p w14:paraId="46CCAF5D" w14:textId="77777777" w:rsidR="000F6634" w:rsidRPr="00F1659C" w:rsidRDefault="000F6634" w:rsidP="000F6634">
            <w:pPr>
              <w:pStyle w:val="Default"/>
              <w:rPr>
                <w:color w:val="auto"/>
                <w:sz w:val="23"/>
                <w:szCs w:val="23"/>
              </w:rPr>
            </w:pPr>
          </w:p>
          <w:p w14:paraId="348FDFFE" w14:textId="30D30470" w:rsidR="000F6634" w:rsidRPr="00F1659C" w:rsidRDefault="000F6634" w:rsidP="000F6634">
            <w:pPr>
              <w:pStyle w:val="Default"/>
              <w:rPr>
                <w:color w:val="auto"/>
                <w:sz w:val="23"/>
                <w:szCs w:val="23"/>
              </w:rPr>
            </w:pPr>
            <w:r w:rsidRPr="00F1659C">
              <w:rPr>
                <w:color w:val="auto"/>
                <w:sz w:val="23"/>
                <w:szCs w:val="23"/>
              </w:rPr>
              <w:t xml:space="preserve">Apskritai, reikalavimai atrodo pagrįsti. Svarbu, kad būtų galimas ekspertų bendradarbiavimas, jungtinės sutartys apjungiant visas būtinas kompetencijas. Kompetencijos neturėtų būti reikalaujamos iš vienos organizacijos. </w:t>
            </w:r>
          </w:p>
        </w:tc>
        <w:tc>
          <w:tcPr>
            <w:tcW w:w="4253" w:type="dxa"/>
          </w:tcPr>
          <w:p w14:paraId="429E294E" w14:textId="77777777" w:rsidR="00F1659C" w:rsidRPr="00F1659C" w:rsidRDefault="00F1659C" w:rsidP="00F1659C">
            <w:pPr>
              <w:jc w:val="both"/>
              <w:rPr>
                <w:rFonts w:ascii="Times New Roman" w:hAnsi="Times New Roman" w:cs="Times New Roman"/>
              </w:rPr>
            </w:pPr>
            <w:r w:rsidRPr="00F1659C">
              <w:rPr>
                <w:rFonts w:ascii="Times New Roman" w:hAnsi="Times New Roman" w:cs="Times New Roman"/>
              </w:rPr>
              <w:lastRenderedPageBreak/>
              <w:t>Į pastabą nebus atsižvelgiama, nes pastaboje minimi reikalavimai jau yra įtraukti į kvalifikacinius reikalavimus.</w:t>
            </w:r>
          </w:p>
          <w:p w14:paraId="0E90E1CD" w14:textId="51805087" w:rsidR="000F6634" w:rsidRPr="00F1659C" w:rsidRDefault="000F6634" w:rsidP="000F6634">
            <w:pPr>
              <w:jc w:val="both"/>
              <w:rPr>
                <w:rFonts w:ascii="Times New Roman" w:hAnsi="Times New Roman" w:cs="Times New Roman"/>
              </w:rPr>
            </w:pPr>
          </w:p>
        </w:tc>
      </w:tr>
      <w:tr w:rsidR="000F6634" w14:paraId="390F688E" w14:textId="77777777" w:rsidTr="003E1A73">
        <w:tc>
          <w:tcPr>
            <w:tcW w:w="846" w:type="dxa"/>
          </w:tcPr>
          <w:p w14:paraId="3DAC2662" w14:textId="6BD92B2E" w:rsidR="000F6634" w:rsidRDefault="00C77BF0" w:rsidP="000F6634">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2</w:t>
            </w:r>
          </w:p>
        </w:tc>
        <w:tc>
          <w:tcPr>
            <w:tcW w:w="4394" w:type="dxa"/>
          </w:tcPr>
          <w:p w14:paraId="768E09DC" w14:textId="77777777" w:rsidR="000F6634" w:rsidRDefault="000F6634" w:rsidP="000F6634">
            <w:pPr>
              <w:pStyle w:val="Default"/>
              <w:jc w:val="both"/>
              <w:rPr>
                <w:sz w:val="23"/>
                <w:szCs w:val="23"/>
              </w:rPr>
            </w:pPr>
            <w:r>
              <w:rPr>
                <w:sz w:val="23"/>
                <w:szCs w:val="23"/>
              </w:rPr>
              <w:t>Pastaba dėl vertinimo kriterijų ir sąlygų</w:t>
            </w:r>
          </w:p>
          <w:p w14:paraId="08B4A6B2" w14:textId="59DC614F" w:rsidR="000F6634" w:rsidRDefault="000F6634" w:rsidP="000F6634">
            <w:pPr>
              <w:pStyle w:val="Default"/>
              <w:jc w:val="both"/>
              <w:rPr>
                <w:sz w:val="23"/>
                <w:szCs w:val="23"/>
              </w:rPr>
            </w:pPr>
            <w:r>
              <w:rPr>
                <w:sz w:val="23"/>
                <w:szCs w:val="23"/>
              </w:rPr>
              <w:t xml:space="preserve">Kokybės kriterijaus santykis galėtų būti didesnis nei 30%. Tai – ilgalaikis projektas, turėsiantis svarų indėlį į vieno taršiausių sektorių veiklą. Todėl patirtis, gebėjimas atliepti realius rinkos lūkesčius yra itin svarbus. </w:t>
            </w:r>
          </w:p>
          <w:p w14:paraId="10495F03" w14:textId="77777777" w:rsidR="000F6634" w:rsidRDefault="000F6634" w:rsidP="000F6634">
            <w:pPr>
              <w:pStyle w:val="Default"/>
              <w:rPr>
                <w:sz w:val="23"/>
                <w:szCs w:val="23"/>
              </w:rPr>
            </w:pPr>
          </w:p>
        </w:tc>
        <w:tc>
          <w:tcPr>
            <w:tcW w:w="4253" w:type="dxa"/>
          </w:tcPr>
          <w:p w14:paraId="69CEAEA9" w14:textId="46291C1F" w:rsidR="000F6634" w:rsidRPr="00630F35" w:rsidRDefault="00525CEC" w:rsidP="000F6634">
            <w:pPr>
              <w:jc w:val="both"/>
              <w:rPr>
                <w:rFonts w:ascii="Times New Roman" w:hAnsi="Times New Roman" w:cs="Times New Roman"/>
              </w:rPr>
            </w:pPr>
            <w:r w:rsidRPr="00630F35">
              <w:rPr>
                <w:rFonts w:ascii="Times New Roman" w:hAnsi="Times New Roman" w:cs="Times New Roman"/>
              </w:rPr>
              <w:t>Kokybės kriterijaus santykis nebus didinamas daugiau nei 30 %, nes šio santykio didinimas viršys kokybiniams kriterijams apmokėti skirtas lėšas.</w:t>
            </w:r>
          </w:p>
        </w:tc>
      </w:tr>
      <w:tr w:rsidR="00525CEC" w14:paraId="7DD8D556" w14:textId="77777777" w:rsidTr="003E1A73">
        <w:tc>
          <w:tcPr>
            <w:tcW w:w="846" w:type="dxa"/>
          </w:tcPr>
          <w:p w14:paraId="48BEA4FE" w14:textId="77C39062" w:rsidR="00525CEC" w:rsidRDefault="00C77BF0" w:rsidP="00525CEC">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3</w:t>
            </w:r>
          </w:p>
        </w:tc>
        <w:tc>
          <w:tcPr>
            <w:tcW w:w="4394" w:type="dxa"/>
          </w:tcPr>
          <w:p w14:paraId="76735299" w14:textId="5556E898" w:rsidR="00525CEC" w:rsidRDefault="00525CEC" w:rsidP="00525CEC">
            <w:pPr>
              <w:pStyle w:val="Default"/>
              <w:rPr>
                <w:sz w:val="23"/>
                <w:szCs w:val="23"/>
              </w:rPr>
            </w:pPr>
            <w:r>
              <w:rPr>
                <w:sz w:val="23"/>
                <w:szCs w:val="23"/>
              </w:rPr>
              <w:t>Rekomendacija  dėl  pasiūlymo vertinimo kriterijų ir jų parametrų:</w:t>
            </w:r>
          </w:p>
          <w:p w14:paraId="01830BF2" w14:textId="77777777" w:rsidR="00525CEC" w:rsidRDefault="00525CEC" w:rsidP="00525CEC">
            <w:pPr>
              <w:pStyle w:val="Default"/>
              <w:rPr>
                <w:sz w:val="23"/>
                <w:szCs w:val="23"/>
              </w:rPr>
            </w:pPr>
            <w:r>
              <w:rPr>
                <w:sz w:val="23"/>
                <w:szCs w:val="23"/>
              </w:rPr>
              <w:t xml:space="preserve">40% (kokybė) - 60% (kaina) </w:t>
            </w:r>
          </w:p>
          <w:p w14:paraId="54CC9231" w14:textId="056202CB" w:rsidR="00525CEC" w:rsidRDefault="00525CEC" w:rsidP="00525CEC">
            <w:pPr>
              <w:pStyle w:val="Default"/>
              <w:rPr>
                <w:sz w:val="23"/>
                <w:szCs w:val="23"/>
              </w:rPr>
            </w:pPr>
          </w:p>
        </w:tc>
        <w:tc>
          <w:tcPr>
            <w:tcW w:w="4253" w:type="dxa"/>
          </w:tcPr>
          <w:p w14:paraId="47114D8C" w14:textId="226D1798" w:rsidR="00525CEC" w:rsidRPr="00630F35" w:rsidRDefault="00525CEC" w:rsidP="00525CEC">
            <w:pPr>
              <w:jc w:val="both"/>
              <w:rPr>
                <w:rFonts w:ascii="Times New Roman" w:hAnsi="Times New Roman" w:cs="Times New Roman"/>
              </w:rPr>
            </w:pPr>
            <w:r w:rsidRPr="00630F35">
              <w:rPr>
                <w:rFonts w:ascii="Times New Roman" w:hAnsi="Times New Roman" w:cs="Times New Roman"/>
              </w:rPr>
              <w:t>Kokybės kriterijaus santykis nebus didinamas daugiau nei 30 %, nes šio santykio didinimas viršys kokybiniams kriterijams apmokėti skirtas lėšas.</w:t>
            </w:r>
          </w:p>
        </w:tc>
      </w:tr>
      <w:tr w:rsidR="00525CEC" w14:paraId="56DACE2B" w14:textId="77777777" w:rsidTr="003E1A73">
        <w:tc>
          <w:tcPr>
            <w:tcW w:w="846" w:type="dxa"/>
          </w:tcPr>
          <w:p w14:paraId="1CDE5A23" w14:textId="66C6198C" w:rsidR="00525CEC" w:rsidRDefault="00C77BF0" w:rsidP="00525CEC">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4</w:t>
            </w:r>
          </w:p>
        </w:tc>
        <w:tc>
          <w:tcPr>
            <w:tcW w:w="4394" w:type="dxa"/>
          </w:tcPr>
          <w:p w14:paraId="4E81D2B7" w14:textId="749AD6CF" w:rsidR="00525CEC" w:rsidRPr="004506CD" w:rsidRDefault="00525CEC" w:rsidP="00525CEC">
            <w:pPr>
              <w:pStyle w:val="Default"/>
              <w:jc w:val="both"/>
            </w:pPr>
            <w:r w:rsidRPr="004506CD">
              <w:t xml:space="preserve">Kaip tiksliai būtų nustatomi Kriterijaus parametro ribos balai? </w:t>
            </w:r>
            <w:proofErr w:type="spellStart"/>
            <w:r w:rsidRPr="004506CD">
              <w:t>Pvz</w:t>
            </w:r>
            <w:proofErr w:type="spellEnd"/>
            <w:r w:rsidRPr="004506CD">
              <w:t xml:space="preserve"> R1 (Min. 0 balų, </w:t>
            </w:r>
            <w:proofErr w:type="spellStart"/>
            <w:r w:rsidRPr="004506CD">
              <w:t>maks</w:t>
            </w:r>
            <w:proofErr w:type="spellEnd"/>
            <w:r w:rsidRPr="004506CD">
              <w:t xml:space="preserve">. 6 balai); R2 (Min. 0 balų, </w:t>
            </w:r>
            <w:proofErr w:type="spellStart"/>
            <w:r w:rsidRPr="004506CD">
              <w:t>maks</w:t>
            </w:r>
            <w:proofErr w:type="spellEnd"/>
            <w:r w:rsidRPr="004506CD">
              <w:t xml:space="preserve">. 8 balų) </w:t>
            </w:r>
          </w:p>
          <w:p w14:paraId="1934B8E0" w14:textId="77777777" w:rsidR="00525CEC" w:rsidRDefault="00525CEC" w:rsidP="00525CEC">
            <w:pPr>
              <w:pStyle w:val="Default"/>
              <w:rPr>
                <w:sz w:val="23"/>
                <w:szCs w:val="23"/>
              </w:rPr>
            </w:pPr>
          </w:p>
        </w:tc>
        <w:tc>
          <w:tcPr>
            <w:tcW w:w="4253" w:type="dxa"/>
          </w:tcPr>
          <w:p w14:paraId="16A519C8" w14:textId="77C88850" w:rsidR="00525CEC" w:rsidRDefault="00525CEC" w:rsidP="00525CEC">
            <w:pPr>
              <w:jc w:val="both"/>
              <w:rPr>
                <w:rFonts w:ascii="Times New Roman" w:hAnsi="Times New Roman" w:cs="Times New Roman"/>
              </w:rPr>
            </w:pPr>
            <w:r>
              <w:rPr>
                <w:rFonts w:ascii="Times New Roman" w:hAnsi="Times New Roman" w:cs="Times New Roman"/>
              </w:rPr>
              <w:t xml:space="preserve">Balų skyrimo tvarka yra aprašyta Specialiųjų pirkimo sąlygų </w:t>
            </w:r>
            <w:r w:rsidRPr="003071EE">
              <w:rPr>
                <w:rFonts w:ascii="Times New Roman" w:hAnsi="Times New Roman" w:cs="Times New Roman"/>
              </w:rPr>
              <w:t>7 pried</w:t>
            </w:r>
            <w:r>
              <w:rPr>
                <w:rFonts w:ascii="Times New Roman" w:hAnsi="Times New Roman" w:cs="Times New Roman"/>
              </w:rPr>
              <w:t>e</w:t>
            </w:r>
            <w:r w:rsidRPr="003071EE">
              <w:rPr>
                <w:rFonts w:ascii="Times New Roman" w:hAnsi="Times New Roman" w:cs="Times New Roman"/>
              </w:rPr>
              <w:t xml:space="preserve"> „Pasiūlymų vertinimo kriterijai ir sąlygos“</w:t>
            </w:r>
            <w:r>
              <w:rPr>
                <w:rFonts w:ascii="Times New Roman" w:hAnsi="Times New Roman" w:cs="Times New Roman"/>
              </w:rPr>
              <w:t>.</w:t>
            </w:r>
          </w:p>
        </w:tc>
      </w:tr>
      <w:tr w:rsidR="00525CEC" w14:paraId="008F962F" w14:textId="77777777" w:rsidTr="003E1A73">
        <w:tc>
          <w:tcPr>
            <w:tcW w:w="846" w:type="dxa"/>
          </w:tcPr>
          <w:p w14:paraId="672631FF" w14:textId="19A832FF" w:rsidR="00525CEC" w:rsidRDefault="00C77BF0" w:rsidP="00525CEC">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5</w:t>
            </w:r>
          </w:p>
        </w:tc>
        <w:tc>
          <w:tcPr>
            <w:tcW w:w="4394" w:type="dxa"/>
          </w:tcPr>
          <w:p w14:paraId="2EB342EE" w14:textId="77777777" w:rsidR="00525CEC" w:rsidRDefault="00525CEC" w:rsidP="00525CEC">
            <w:pPr>
              <w:pStyle w:val="Default"/>
              <w:jc w:val="both"/>
              <w:rPr>
                <w:sz w:val="23"/>
                <w:szCs w:val="23"/>
              </w:rPr>
            </w:pPr>
            <w:r>
              <w:rPr>
                <w:sz w:val="23"/>
                <w:szCs w:val="23"/>
              </w:rPr>
              <w:t xml:space="preserve">Siekiant pritraukti daugiau tarptautinių ekspertų ir patyrusių tiekėjų, būtų galima svarstyti didesnį lankstumą darbo kalbos atžvilgiu. Pvz., suderinus su užsakovu, dalis darbo susitikimų galėtų vykti anglų kalba. Galutinė dokumentacija ir rezultatai būtų pateikiami lietuvių kalba. </w:t>
            </w:r>
          </w:p>
          <w:p w14:paraId="3F58FCA5" w14:textId="77777777" w:rsidR="00525CEC" w:rsidRDefault="00525CEC" w:rsidP="00525CEC">
            <w:pPr>
              <w:pStyle w:val="Default"/>
              <w:rPr>
                <w:sz w:val="23"/>
                <w:szCs w:val="23"/>
              </w:rPr>
            </w:pPr>
          </w:p>
        </w:tc>
        <w:tc>
          <w:tcPr>
            <w:tcW w:w="4253" w:type="dxa"/>
          </w:tcPr>
          <w:p w14:paraId="285B39F1" w14:textId="0B8C52EE"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Pr>
                <w:rFonts w:ascii="Times New Roman" w:hAnsi="Times New Roman" w:cs="Times New Roman"/>
              </w:rPr>
              <w:t>.</w:t>
            </w:r>
          </w:p>
          <w:p w14:paraId="1C937F2A" w14:textId="77777777" w:rsidR="003E1A73" w:rsidRPr="00C77BF0" w:rsidRDefault="003E1A73" w:rsidP="00525CEC">
            <w:pPr>
              <w:jc w:val="both"/>
              <w:rPr>
                <w:rFonts w:ascii="Times New Roman" w:hAnsi="Times New Roman" w:cs="Times New Roman"/>
                <w:i/>
                <w:iCs/>
              </w:rPr>
            </w:pPr>
          </w:p>
          <w:p w14:paraId="16A1AC7E" w14:textId="77777777" w:rsidR="003E1A73" w:rsidRPr="00C77BF0" w:rsidRDefault="003E1A73" w:rsidP="003E1A73">
            <w:pPr>
              <w:jc w:val="both"/>
              <w:rPr>
                <w:rFonts w:ascii="Times New Roman" w:hAnsi="Times New Roman" w:cs="Times New Roman"/>
                <w:i/>
                <w:iCs/>
              </w:rPr>
            </w:pPr>
            <w:r w:rsidRPr="00C77BF0">
              <w:rPr>
                <w:rFonts w:ascii="Times New Roman" w:hAnsi="Times New Roman" w:cs="Times New Roman"/>
                <w:i/>
                <w:iCs/>
              </w:rPr>
              <w:t>Pakoreguota versija:</w:t>
            </w:r>
          </w:p>
          <w:p w14:paraId="506C8830" w14:textId="77777777" w:rsidR="003E1A73" w:rsidRPr="00C77BF0" w:rsidRDefault="003E1A73" w:rsidP="00525CEC">
            <w:pPr>
              <w:jc w:val="both"/>
              <w:rPr>
                <w:rFonts w:ascii="Times New Roman" w:hAnsi="Times New Roman" w:cs="Times New Roman"/>
                <w:i/>
                <w:iCs/>
              </w:rPr>
            </w:pPr>
          </w:p>
          <w:p w14:paraId="53E12D31" w14:textId="0410B46A" w:rsidR="003E1A73" w:rsidRDefault="003E1A73" w:rsidP="00525CEC">
            <w:pPr>
              <w:jc w:val="both"/>
              <w:rPr>
                <w:rFonts w:ascii="Times New Roman" w:hAnsi="Times New Roman" w:cs="Times New Roman"/>
              </w:rPr>
            </w:pPr>
            <w:r w:rsidRPr="00C77BF0">
              <w:rPr>
                <w:rFonts w:ascii="Times New Roman" w:hAnsi="Times New Roman" w:cs="Times New Roman"/>
                <w:i/>
                <w:iCs/>
              </w:rPr>
              <w:t xml:space="preserve">3.9. </w:t>
            </w:r>
            <w:r w:rsidRPr="00C77BF0">
              <w:rPr>
                <w:rFonts w:ascii="Times New Roman" w:hAnsi="Times New Roman" w:cs="Times New Roman"/>
                <w:i/>
                <w:iCs/>
              </w:rPr>
              <w:tab/>
              <w:t>Suderinus su Užsakovu dalis susitikimų gali būti organizuojama ir anglų kalba.</w:t>
            </w:r>
          </w:p>
        </w:tc>
      </w:tr>
      <w:tr w:rsidR="00525CEC" w14:paraId="33EFEF9C" w14:textId="77777777" w:rsidTr="003E1A73">
        <w:tc>
          <w:tcPr>
            <w:tcW w:w="846" w:type="dxa"/>
          </w:tcPr>
          <w:p w14:paraId="26F44941" w14:textId="2E6D29DE" w:rsidR="00525CEC" w:rsidRDefault="00C77BF0" w:rsidP="00525CEC">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6</w:t>
            </w:r>
          </w:p>
        </w:tc>
        <w:tc>
          <w:tcPr>
            <w:tcW w:w="4394" w:type="dxa"/>
          </w:tcPr>
          <w:p w14:paraId="04AAFFE9" w14:textId="16C80C9D" w:rsidR="00525CEC" w:rsidRDefault="00525CEC" w:rsidP="00525CEC">
            <w:pPr>
              <w:pStyle w:val="Default"/>
              <w:jc w:val="both"/>
              <w:rPr>
                <w:sz w:val="23"/>
                <w:szCs w:val="23"/>
              </w:rPr>
            </w:pPr>
            <w:r>
              <w:t>Tiekėjas turėtų būti publikavęs mokslinių straipsnių pastatų gyvavimo ciklo vertinimo tema; tiekėjo anglų kalbos lygis turi būti ne žemiau C1</w:t>
            </w:r>
          </w:p>
        </w:tc>
        <w:tc>
          <w:tcPr>
            <w:tcW w:w="4253" w:type="dxa"/>
          </w:tcPr>
          <w:p w14:paraId="2F283116" w14:textId="2BB73503" w:rsidR="00525CEC" w:rsidRDefault="00525CEC" w:rsidP="00525CEC">
            <w:pPr>
              <w:jc w:val="both"/>
              <w:rPr>
                <w:rFonts w:ascii="Times New Roman" w:hAnsi="Times New Roman" w:cs="Times New Roman"/>
              </w:rPr>
            </w:pPr>
            <w:r>
              <w:rPr>
                <w:rFonts w:ascii="Times New Roman" w:hAnsi="Times New Roman" w:cs="Times New Roman"/>
              </w:rPr>
              <w:t>Į pastabą nebus atsižvelgiama, nes tai būtų perteklinis kvalifikacinis reikalavimas, dėl kurio būtų ribojama tiekėjų konkurencija.</w:t>
            </w:r>
          </w:p>
        </w:tc>
      </w:tr>
      <w:tr w:rsidR="00525CEC" w14:paraId="144CC173" w14:textId="77777777" w:rsidTr="003E1A73">
        <w:tc>
          <w:tcPr>
            <w:tcW w:w="846" w:type="dxa"/>
          </w:tcPr>
          <w:p w14:paraId="183D8169" w14:textId="742C5124" w:rsidR="00525CEC" w:rsidRDefault="00C77BF0" w:rsidP="00525CEC">
            <w:pPr>
              <w:jc w:val="both"/>
              <w:rPr>
                <w:rFonts w:ascii="Times New Roman" w:hAnsi="Times New Roman" w:cs="Times New Roman"/>
              </w:rPr>
            </w:pPr>
            <w:r>
              <w:rPr>
                <w:rFonts w:ascii="Times New Roman" w:hAnsi="Times New Roman" w:cs="Times New Roman"/>
              </w:rPr>
              <w:t>1</w:t>
            </w:r>
            <w:r w:rsidR="00630F35">
              <w:rPr>
                <w:rFonts w:ascii="Times New Roman" w:hAnsi="Times New Roman" w:cs="Times New Roman"/>
              </w:rPr>
              <w:t>7</w:t>
            </w:r>
          </w:p>
        </w:tc>
        <w:tc>
          <w:tcPr>
            <w:tcW w:w="4394" w:type="dxa"/>
          </w:tcPr>
          <w:p w14:paraId="5CADB924" w14:textId="6AF76372" w:rsidR="00525CEC" w:rsidRPr="00A50B40" w:rsidRDefault="00525CEC" w:rsidP="00525CEC">
            <w:pPr>
              <w:pStyle w:val="Patvirtinta"/>
              <w:spacing w:before="240"/>
              <w:ind w:left="0"/>
              <w:jc w:val="both"/>
              <w:rPr>
                <w:rFonts w:ascii="Times New Roman" w:hAnsi="Times New Roman"/>
                <w:noProof/>
                <w:sz w:val="24"/>
                <w:szCs w:val="24"/>
              </w:rPr>
            </w:pPr>
            <w:r w:rsidRPr="00A50B40">
              <w:rPr>
                <w:rFonts w:ascii="Times New Roman" w:hAnsi="Times New Roman"/>
                <w:noProof/>
                <w:sz w:val="24"/>
                <w:szCs w:val="24"/>
                <w:lang w:val="lt-LT"/>
              </w:rPr>
              <w:t xml:space="preserve">Pastaba dėl </w:t>
            </w:r>
            <w:r w:rsidRPr="00A50B40">
              <w:rPr>
                <w:rFonts w:ascii="Times New Roman" w:hAnsi="Times New Roman"/>
                <w:noProof/>
                <w:sz w:val="24"/>
                <w:szCs w:val="24"/>
              </w:rPr>
              <w:t>2.3.1.5 punkto</w:t>
            </w:r>
            <w:r>
              <w:rPr>
                <w:rFonts w:ascii="Times New Roman" w:hAnsi="Times New Roman"/>
                <w:noProof/>
                <w:sz w:val="24"/>
                <w:szCs w:val="24"/>
              </w:rPr>
              <w:t>:</w:t>
            </w:r>
          </w:p>
          <w:p w14:paraId="0A9A4AC0" w14:textId="4696AF9C" w:rsidR="00525CEC" w:rsidRPr="006C2203" w:rsidRDefault="00525CEC" w:rsidP="00525CEC">
            <w:pPr>
              <w:pStyle w:val="Patvirtinta"/>
              <w:spacing w:before="240"/>
              <w:ind w:left="0"/>
              <w:jc w:val="both"/>
              <w:rPr>
                <w:rFonts w:ascii="Times New Roman" w:hAnsi="Times New Roman"/>
                <w:b/>
                <w:bCs/>
                <w:noProof/>
                <w:sz w:val="24"/>
                <w:szCs w:val="24"/>
              </w:rPr>
            </w:pPr>
            <w:r w:rsidRPr="00A50B40">
              <w:rPr>
                <w:rFonts w:ascii="Times New Roman" w:hAnsi="Times New Roman"/>
                <w:noProof/>
                <w:sz w:val="24"/>
                <w:szCs w:val="24"/>
              </w:rPr>
              <w:t>Iš esmės skirtingų skaičiavimo principų kol kas neegzistuoja.</w:t>
            </w:r>
          </w:p>
        </w:tc>
        <w:tc>
          <w:tcPr>
            <w:tcW w:w="4253" w:type="dxa"/>
          </w:tcPr>
          <w:p w14:paraId="3A84E24C" w14:textId="2FF95706"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p>
          <w:p w14:paraId="3DF367FE" w14:textId="77777777" w:rsidR="00A7533C" w:rsidRDefault="00A7533C" w:rsidP="00A7533C">
            <w:pPr>
              <w:jc w:val="both"/>
              <w:rPr>
                <w:rFonts w:ascii="Times New Roman" w:hAnsi="Times New Roman" w:cs="Times New Roman"/>
              </w:rPr>
            </w:pPr>
          </w:p>
          <w:p w14:paraId="38652E62" w14:textId="77777777" w:rsidR="00A7533C" w:rsidRDefault="00A7533C" w:rsidP="00A7533C">
            <w:pPr>
              <w:jc w:val="both"/>
              <w:rPr>
                <w:rFonts w:ascii="Times New Roman" w:hAnsi="Times New Roman" w:cs="Times New Roman"/>
              </w:rPr>
            </w:pPr>
          </w:p>
          <w:p w14:paraId="580C5603" w14:textId="77777777" w:rsidR="00A7533C" w:rsidRDefault="00A7533C" w:rsidP="00A7533C">
            <w:pPr>
              <w:jc w:val="both"/>
              <w:rPr>
                <w:rFonts w:ascii="Times New Roman" w:hAnsi="Times New Roman" w:cs="Times New Roman"/>
              </w:rPr>
            </w:pPr>
          </w:p>
          <w:p w14:paraId="16219225" w14:textId="1CB14763" w:rsidR="00A7533C" w:rsidRPr="00C77BF0" w:rsidRDefault="00A7533C" w:rsidP="00A7533C">
            <w:pPr>
              <w:jc w:val="both"/>
              <w:rPr>
                <w:rFonts w:ascii="Times New Roman" w:hAnsi="Times New Roman" w:cs="Times New Roman"/>
                <w:i/>
                <w:iCs/>
              </w:rPr>
            </w:pPr>
            <w:r w:rsidRPr="00C77BF0">
              <w:rPr>
                <w:rFonts w:ascii="Times New Roman" w:hAnsi="Times New Roman" w:cs="Times New Roman"/>
                <w:i/>
                <w:iCs/>
              </w:rPr>
              <w:t>Pakoreguota versija:</w:t>
            </w:r>
          </w:p>
          <w:p w14:paraId="390C92B9" w14:textId="77777777" w:rsidR="00A7533C" w:rsidRPr="00C77BF0" w:rsidRDefault="00A7533C" w:rsidP="00525CEC">
            <w:pPr>
              <w:jc w:val="both"/>
              <w:rPr>
                <w:rFonts w:ascii="Times New Roman" w:hAnsi="Times New Roman" w:cs="Times New Roman"/>
                <w:i/>
                <w:iCs/>
              </w:rPr>
            </w:pPr>
          </w:p>
          <w:p w14:paraId="5C3264AA" w14:textId="6C3F6BD7" w:rsidR="00A7533C" w:rsidRDefault="00A7533C" w:rsidP="00525CEC">
            <w:pPr>
              <w:jc w:val="both"/>
              <w:rPr>
                <w:rFonts w:ascii="Times New Roman" w:hAnsi="Times New Roman" w:cs="Times New Roman"/>
              </w:rPr>
            </w:pPr>
            <w:r w:rsidRPr="00C77BF0">
              <w:rPr>
                <w:rFonts w:ascii="Times New Roman" w:hAnsi="Times New Roman" w:cs="Times New Roman"/>
                <w:i/>
                <w:iCs/>
              </w:rPr>
              <w:t>2.3.1.5.</w:t>
            </w:r>
            <w:r w:rsidRPr="00C77BF0">
              <w:rPr>
                <w:rFonts w:ascii="Times New Roman" w:hAnsi="Times New Roman" w:cs="Times New Roman"/>
                <w:i/>
                <w:iCs/>
              </w:rPr>
              <w:tab/>
              <w:t>Metodikoje privaloma įvertinti skirtingų pastatų kategorijų, tipų, jų paskirties (vadovaujantis STR „Statinių ir patalpų klasifikavimas“), amžiaus ir būklės ypatumus. Atskirai pateikti skaičiavimo metodiką statomiems naujiems pastatams, rekonstruojamiems ir renovuojamiems pastatams. Be to, turi būti įvertinta, kad skirtingų paskirčių pastatams (pvz., administraciniai, gyvenamieji, gamybiniai, logistiniai pastatai ir kt.) reikia skirtingų apimčių skaičiavimo principų dėl jų konstrukcinių, energetinių ir funkcinės paskirties skirtumų. Metodikoje turi būti numatyti aiškūs skaičiavimų diferencijavimo kriterijai pagal pastato tipą ir paskirtį, kad būtų išvengta netikslių ar nepagrįstų skirtingų segmentų palyginimų. Metodikoje turi būti įtraukti atsinaujinantys energijos šaltiniai į pastatų SGC skaičiavimus, aiškiai apibrėžiant skaičiavimo ribas ir skaičiavimo etapus. Turi būti nustatytos atsinaujinančių energijos šaltinių įtraukimo ribos (pavyzdžiui, numatant, kad skaičiuojamas tik tų saulės kolektorių medžiagų poveikis aplinkai, kurių galia įtraukta į pastato energijos balansą arba kurie integruoti į pastato stogo dangą, fasadą).</w:t>
            </w:r>
          </w:p>
        </w:tc>
      </w:tr>
      <w:tr w:rsidR="00525CEC" w14:paraId="1ADC45CD" w14:textId="77777777" w:rsidTr="003E1A73">
        <w:tc>
          <w:tcPr>
            <w:tcW w:w="846" w:type="dxa"/>
          </w:tcPr>
          <w:p w14:paraId="435C414F" w14:textId="086E5091" w:rsidR="00525CEC" w:rsidRPr="00A50B40" w:rsidRDefault="00C77BF0" w:rsidP="00525CEC">
            <w:pPr>
              <w:jc w:val="both"/>
              <w:rPr>
                <w:rFonts w:ascii="Times New Roman" w:hAnsi="Times New Roman" w:cs="Times New Roman"/>
              </w:rPr>
            </w:pPr>
            <w:r>
              <w:rPr>
                <w:rFonts w:ascii="Times New Roman" w:hAnsi="Times New Roman" w:cs="Times New Roman"/>
              </w:rPr>
              <w:lastRenderedPageBreak/>
              <w:t>1</w:t>
            </w:r>
            <w:r w:rsidR="00630F35">
              <w:rPr>
                <w:rFonts w:ascii="Times New Roman" w:hAnsi="Times New Roman" w:cs="Times New Roman"/>
              </w:rPr>
              <w:t>8</w:t>
            </w:r>
          </w:p>
        </w:tc>
        <w:tc>
          <w:tcPr>
            <w:tcW w:w="4394" w:type="dxa"/>
          </w:tcPr>
          <w:p w14:paraId="1C718B50" w14:textId="663C80E8" w:rsidR="00525CEC" w:rsidRDefault="00525CEC" w:rsidP="00525CEC">
            <w:pPr>
              <w:pStyle w:val="Patvirtinta"/>
              <w:spacing w:before="240"/>
              <w:ind w:left="0"/>
              <w:jc w:val="both"/>
              <w:rPr>
                <w:rFonts w:ascii="Times New Roman" w:hAnsi="Times New Roman"/>
                <w:noProof/>
                <w:sz w:val="24"/>
                <w:szCs w:val="24"/>
              </w:rPr>
            </w:pPr>
            <w:r w:rsidRPr="00A50B40">
              <w:rPr>
                <w:rFonts w:ascii="Times New Roman" w:hAnsi="Times New Roman"/>
                <w:noProof/>
                <w:sz w:val="24"/>
                <w:szCs w:val="24"/>
                <w:lang w:val="lt-LT"/>
              </w:rPr>
              <w:t xml:space="preserve">Pastaba dėl </w:t>
            </w:r>
            <w:r w:rsidRPr="00A50B40">
              <w:rPr>
                <w:rFonts w:ascii="Times New Roman" w:hAnsi="Times New Roman"/>
                <w:noProof/>
                <w:sz w:val="24"/>
                <w:szCs w:val="24"/>
              </w:rPr>
              <w:t>2.3.1.7 punkto</w:t>
            </w:r>
            <w:r>
              <w:rPr>
                <w:rFonts w:ascii="Times New Roman" w:hAnsi="Times New Roman"/>
                <w:noProof/>
                <w:sz w:val="24"/>
                <w:szCs w:val="24"/>
              </w:rPr>
              <w:t>:</w:t>
            </w:r>
          </w:p>
          <w:p w14:paraId="242BB7F7" w14:textId="64589471" w:rsidR="00525CEC" w:rsidRPr="00A50B40" w:rsidRDefault="00525CEC" w:rsidP="00525CEC">
            <w:pPr>
              <w:pStyle w:val="Patvirtinta"/>
              <w:spacing w:before="240"/>
              <w:ind w:left="0"/>
              <w:jc w:val="both"/>
              <w:rPr>
                <w:rFonts w:ascii="Times New Roman" w:hAnsi="Times New Roman"/>
                <w:noProof/>
                <w:sz w:val="24"/>
                <w:szCs w:val="24"/>
              </w:rPr>
            </w:pPr>
            <w:r>
              <w:rPr>
                <w:rFonts w:ascii="Times New Roman" w:hAnsi="Times New Roman"/>
                <w:noProof/>
                <w:sz w:val="24"/>
                <w:szCs w:val="24"/>
              </w:rPr>
              <w:t>“</w:t>
            </w:r>
            <w:r w:rsidRPr="00F8507E">
              <w:rPr>
                <w:rFonts w:ascii="Times New Roman" w:eastAsia="Times New Roman" w:hAnsi="Times New Roman"/>
                <w:noProof/>
                <w:sz w:val="24"/>
                <w:szCs w:val="24"/>
                <w:lang w:val="lt-LT"/>
              </w:rPr>
              <w:t>kokios bendrinių medžiagų, gaminių ir kitų duomenų bazės turėtų būti naudojamos SGC skaičiavimams Lietuvoje</w:t>
            </w:r>
            <w:r>
              <w:rPr>
                <w:rFonts w:ascii="Times New Roman" w:eastAsia="Times New Roman" w:hAnsi="Times New Roman"/>
                <w:noProof/>
                <w:sz w:val="24"/>
                <w:szCs w:val="24"/>
                <w:lang w:val="lt-LT"/>
              </w:rPr>
              <w:t>“</w:t>
            </w:r>
          </w:p>
          <w:p w14:paraId="102F4A7B" w14:textId="57C8F249" w:rsidR="00525CEC" w:rsidRPr="00A50B40" w:rsidRDefault="00525CEC" w:rsidP="00525CEC">
            <w:pPr>
              <w:pStyle w:val="Patvirtinta"/>
              <w:spacing w:before="240"/>
              <w:ind w:left="0"/>
              <w:jc w:val="both"/>
              <w:rPr>
                <w:rFonts w:ascii="Times New Roman" w:hAnsi="Times New Roman"/>
                <w:noProof/>
                <w:sz w:val="24"/>
                <w:szCs w:val="24"/>
              </w:rPr>
            </w:pPr>
            <w:r w:rsidRPr="00A50B40">
              <w:rPr>
                <w:rFonts w:ascii="Times New Roman" w:hAnsi="Times New Roman"/>
                <w:noProof/>
                <w:sz w:val="24"/>
                <w:szCs w:val="24"/>
              </w:rPr>
              <w:t>Turima omenyje, kad metodika gali referuoti į išorines duomenų bazes? Kas jas įsigytų? Ar duomenų bazės turi būti integruotos į metodiką?</w:t>
            </w:r>
          </w:p>
          <w:p w14:paraId="45424020" w14:textId="77777777" w:rsidR="00525CEC" w:rsidRPr="00A50B40" w:rsidRDefault="00525CEC" w:rsidP="00525CEC">
            <w:pPr>
              <w:pStyle w:val="Patvirtinta"/>
              <w:spacing w:before="240"/>
              <w:ind w:left="0"/>
              <w:jc w:val="both"/>
              <w:rPr>
                <w:rFonts w:ascii="Times New Roman" w:hAnsi="Times New Roman"/>
                <w:noProof/>
                <w:sz w:val="24"/>
                <w:szCs w:val="24"/>
                <w:lang w:val="lt-LT"/>
              </w:rPr>
            </w:pPr>
          </w:p>
        </w:tc>
        <w:tc>
          <w:tcPr>
            <w:tcW w:w="4253" w:type="dxa"/>
          </w:tcPr>
          <w:p w14:paraId="4F5BDE75" w14:textId="71B460FA"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p>
          <w:p w14:paraId="4B17F5C5" w14:textId="77777777" w:rsidR="00C77BF0" w:rsidRPr="00C77BF0" w:rsidRDefault="00C77BF0" w:rsidP="00525CEC">
            <w:pPr>
              <w:jc w:val="both"/>
              <w:rPr>
                <w:rFonts w:ascii="Times New Roman" w:hAnsi="Times New Roman" w:cs="Times New Roman"/>
                <w:i/>
                <w:iCs/>
              </w:rPr>
            </w:pPr>
          </w:p>
          <w:p w14:paraId="61FBC212" w14:textId="77777777" w:rsidR="00C77BF0" w:rsidRPr="00C77BF0" w:rsidRDefault="00C77BF0" w:rsidP="00C77BF0">
            <w:pPr>
              <w:jc w:val="both"/>
              <w:rPr>
                <w:rFonts w:ascii="Times New Roman" w:hAnsi="Times New Roman" w:cs="Times New Roman"/>
                <w:i/>
                <w:iCs/>
              </w:rPr>
            </w:pPr>
            <w:r w:rsidRPr="00C77BF0">
              <w:rPr>
                <w:rFonts w:ascii="Times New Roman" w:hAnsi="Times New Roman" w:cs="Times New Roman"/>
                <w:i/>
                <w:iCs/>
              </w:rPr>
              <w:t>Pakoreguota versija:</w:t>
            </w:r>
          </w:p>
          <w:p w14:paraId="3D3DD80E" w14:textId="77777777" w:rsidR="00A7533C" w:rsidRPr="00C77BF0" w:rsidRDefault="00A7533C" w:rsidP="00525CEC">
            <w:pPr>
              <w:jc w:val="both"/>
              <w:rPr>
                <w:rFonts w:ascii="Times New Roman" w:hAnsi="Times New Roman" w:cs="Times New Roman"/>
                <w:i/>
                <w:iCs/>
              </w:rPr>
            </w:pPr>
          </w:p>
          <w:p w14:paraId="19A2EFF5" w14:textId="6B0ED5C8" w:rsidR="00A7533C" w:rsidRPr="00A7533C" w:rsidRDefault="00A7533C" w:rsidP="00525CEC">
            <w:pPr>
              <w:jc w:val="both"/>
              <w:rPr>
                <w:rFonts w:ascii="Times New Roman" w:hAnsi="Times New Roman" w:cs="Times New Roman"/>
                <w:b/>
                <w:bCs/>
              </w:rPr>
            </w:pPr>
            <w:r w:rsidRPr="00C77BF0">
              <w:rPr>
                <w:rFonts w:ascii="Times New Roman" w:hAnsi="Times New Roman" w:cs="Times New Roman"/>
                <w:i/>
                <w:iCs/>
              </w:rPr>
              <w:t>2.3.1.7.</w:t>
            </w:r>
            <w:r w:rsidRPr="00C77BF0">
              <w:rPr>
                <w:rFonts w:ascii="Times New Roman" w:hAnsi="Times New Roman" w:cs="Times New Roman"/>
                <w:i/>
                <w:iCs/>
              </w:rPr>
              <w:tab/>
              <w:t xml:space="preserve">Pateikti rekomendacijas, kokios bendrinių medžiagų, gaminių ir kitų duomenų bazės turėtų būti naudojamos SGC skaičiavimams Lietuvoje. Rekomendacijos turi būti pagrįstos kitų šalių analize ir (ar) ekspertų išvadomis. Įvertinti galimybes sukurti nacionalinę bendrinių duomenų bazę. </w:t>
            </w:r>
            <w:r w:rsidRPr="00C77BF0">
              <w:rPr>
                <w:rFonts w:ascii="Times New Roman" w:hAnsi="Times New Roman" w:cs="Times New Roman"/>
                <w:i/>
                <w:iCs/>
              </w:rPr>
              <w:lastRenderedPageBreak/>
              <w:t xml:space="preserve">Apibrėžti kriterijus ir principus, kaip nacionalinės duomenų bazės turėtų būti sudaromos, atnaujinamos ir prižiūrimos. Pateikti rekomendacijas dėl perėjimo prie nacionalinių bendrinių duomenų sudarymo metodikos. Numatyti sąlygas ir metodus bendrinių duomenų bazių taikymams panaudojant Statinio informacinio modeliavimo metodais (BIM) parengtus statinių projektus. Pateikti rekomendacijas </w:t>
            </w:r>
            <w:proofErr w:type="spellStart"/>
            <w:r w:rsidRPr="00C77BF0">
              <w:rPr>
                <w:rFonts w:ascii="Times New Roman" w:hAnsi="Times New Roman" w:cs="Times New Roman"/>
                <w:i/>
                <w:iCs/>
              </w:rPr>
              <w:t>sąsajumui</w:t>
            </w:r>
            <w:proofErr w:type="spellEnd"/>
            <w:r w:rsidRPr="00C77BF0">
              <w:rPr>
                <w:rFonts w:ascii="Times New Roman" w:hAnsi="Times New Roman" w:cs="Times New Roman"/>
                <w:i/>
                <w:iCs/>
              </w:rPr>
              <w:t xml:space="preserve"> su NSIK komponentais, naudojamais Statinio informaciniame modeliavime, užtikrinimui.</w:t>
            </w:r>
          </w:p>
        </w:tc>
      </w:tr>
      <w:tr w:rsidR="00525CEC" w14:paraId="3F10B92D" w14:textId="77777777" w:rsidTr="003E1A73">
        <w:tc>
          <w:tcPr>
            <w:tcW w:w="846" w:type="dxa"/>
          </w:tcPr>
          <w:p w14:paraId="004A2F61" w14:textId="04B0D06E" w:rsidR="00525CEC" w:rsidRPr="005D55BA" w:rsidRDefault="00630F35" w:rsidP="00525CEC">
            <w:pPr>
              <w:jc w:val="both"/>
              <w:rPr>
                <w:rFonts w:ascii="Times New Roman" w:hAnsi="Times New Roman" w:cs="Times New Roman"/>
              </w:rPr>
            </w:pPr>
            <w:r>
              <w:rPr>
                <w:rFonts w:ascii="Times New Roman" w:hAnsi="Times New Roman" w:cs="Times New Roman"/>
              </w:rPr>
              <w:lastRenderedPageBreak/>
              <w:t>19</w:t>
            </w:r>
          </w:p>
        </w:tc>
        <w:tc>
          <w:tcPr>
            <w:tcW w:w="4394" w:type="dxa"/>
          </w:tcPr>
          <w:p w14:paraId="6668BF8A" w14:textId="7E6FFDBD" w:rsidR="00525CEC" w:rsidRPr="005D55BA" w:rsidRDefault="00525CEC" w:rsidP="00525CEC">
            <w:pPr>
              <w:pStyle w:val="Patvirtinta"/>
              <w:spacing w:before="240"/>
              <w:ind w:left="0"/>
              <w:jc w:val="both"/>
              <w:rPr>
                <w:rFonts w:ascii="Times New Roman" w:hAnsi="Times New Roman"/>
                <w:noProof/>
                <w:sz w:val="24"/>
                <w:szCs w:val="24"/>
              </w:rPr>
            </w:pPr>
            <w:r w:rsidRPr="005D55BA">
              <w:rPr>
                <w:rFonts w:ascii="Times New Roman" w:hAnsi="Times New Roman"/>
                <w:noProof/>
                <w:sz w:val="24"/>
                <w:szCs w:val="24"/>
                <w:lang w:val="lt-LT"/>
              </w:rPr>
              <w:t xml:space="preserve">Pastaba dėl </w:t>
            </w:r>
            <w:r w:rsidRPr="005D55BA">
              <w:rPr>
                <w:rFonts w:ascii="Times New Roman" w:hAnsi="Times New Roman"/>
                <w:noProof/>
                <w:sz w:val="24"/>
                <w:szCs w:val="24"/>
              </w:rPr>
              <w:t>2.3.1.15</w:t>
            </w:r>
            <w:r>
              <w:rPr>
                <w:rFonts w:ascii="Times New Roman" w:hAnsi="Times New Roman"/>
                <w:noProof/>
                <w:sz w:val="24"/>
                <w:szCs w:val="24"/>
              </w:rPr>
              <w:t xml:space="preserve"> punkto:</w:t>
            </w:r>
          </w:p>
          <w:p w14:paraId="41902EC7" w14:textId="7124A232" w:rsidR="00525CEC" w:rsidRPr="005D55BA" w:rsidRDefault="00525CEC" w:rsidP="00525CEC">
            <w:pPr>
              <w:pStyle w:val="Patvirtinta"/>
              <w:spacing w:before="240"/>
              <w:ind w:left="0"/>
              <w:jc w:val="both"/>
              <w:rPr>
                <w:rFonts w:ascii="Times New Roman" w:hAnsi="Times New Roman"/>
                <w:noProof/>
                <w:sz w:val="24"/>
                <w:szCs w:val="24"/>
              </w:rPr>
            </w:pPr>
            <w:r w:rsidRPr="005D55BA">
              <w:rPr>
                <w:rFonts w:ascii="Times New Roman" w:hAnsi="Times New Roman"/>
                <w:noProof/>
                <w:sz w:val="24"/>
                <w:szCs w:val="24"/>
                <w:lang w:val="lt-LT"/>
              </w:rPr>
              <w:t>Ar čia ne pagal direktyvoje reikalaujamus rodiklius norite vertinti?</w:t>
            </w:r>
          </w:p>
          <w:p w14:paraId="39084B72" w14:textId="48B1C1E8" w:rsidR="00525CEC" w:rsidRPr="005D55BA" w:rsidRDefault="00525CEC" w:rsidP="00525CEC">
            <w:pPr>
              <w:pStyle w:val="Patvirtinta"/>
              <w:spacing w:before="240"/>
              <w:ind w:left="0"/>
              <w:jc w:val="both"/>
              <w:rPr>
                <w:rFonts w:ascii="Times New Roman" w:hAnsi="Times New Roman"/>
                <w:noProof/>
                <w:sz w:val="24"/>
                <w:szCs w:val="24"/>
                <w:lang w:val="lt-LT"/>
              </w:rPr>
            </w:pPr>
          </w:p>
        </w:tc>
        <w:tc>
          <w:tcPr>
            <w:tcW w:w="4253" w:type="dxa"/>
          </w:tcPr>
          <w:p w14:paraId="676B39FB" w14:textId="585858F0"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r w:rsidR="00C77BF0">
              <w:rPr>
                <w:rFonts w:ascii="Times New Roman" w:hAnsi="Times New Roman" w:cs="Times New Roman"/>
              </w:rPr>
              <w:t>.</w:t>
            </w:r>
          </w:p>
          <w:p w14:paraId="251AC6F6" w14:textId="77777777" w:rsidR="00C77BF0" w:rsidRDefault="00C77BF0" w:rsidP="00525CEC">
            <w:pPr>
              <w:jc w:val="both"/>
              <w:rPr>
                <w:rFonts w:ascii="Times New Roman" w:hAnsi="Times New Roman" w:cs="Times New Roman"/>
              </w:rPr>
            </w:pPr>
          </w:p>
          <w:p w14:paraId="5CCF7981" w14:textId="77777777" w:rsidR="00C77BF0" w:rsidRPr="00C77BF0" w:rsidRDefault="00C77BF0" w:rsidP="00C77BF0">
            <w:pPr>
              <w:jc w:val="both"/>
              <w:rPr>
                <w:rFonts w:ascii="Times New Roman" w:hAnsi="Times New Roman" w:cs="Times New Roman"/>
                <w:i/>
                <w:iCs/>
              </w:rPr>
            </w:pPr>
            <w:r w:rsidRPr="00C77BF0">
              <w:rPr>
                <w:rFonts w:ascii="Times New Roman" w:hAnsi="Times New Roman" w:cs="Times New Roman"/>
                <w:i/>
                <w:iCs/>
              </w:rPr>
              <w:t>Pakoreguota versija:</w:t>
            </w:r>
          </w:p>
          <w:p w14:paraId="5F73DB47" w14:textId="77777777" w:rsidR="00A7533C" w:rsidRPr="00C77BF0" w:rsidRDefault="00A7533C" w:rsidP="00525CEC">
            <w:pPr>
              <w:jc w:val="both"/>
              <w:rPr>
                <w:rFonts w:ascii="Times New Roman" w:hAnsi="Times New Roman" w:cs="Times New Roman"/>
                <w:i/>
                <w:iCs/>
              </w:rPr>
            </w:pPr>
          </w:p>
          <w:p w14:paraId="0E431887" w14:textId="4568367F" w:rsidR="00A7533C" w:rsidRDefault="00A7533C" w:rsidP="00525CEC">
            <w:pPr>
              <w:jc w:val="both"/>
              <w:rPr>
                <w:rFonts w:ascii="Times New Roman" w:hAnsi="Times New Roman" w:cs="Times New Roman"/>
              </w:rPr>
            </w:pPr>
            <w:r w:rsidRPr="00C77BF0">
              <w:rPr>
                <w:rFonts w:ascii="Times New Roman" w:eastAsia="Times New Roman" w:hAnsi="Times New Roman"/>
                <w:i/>
                <w:iCs/>
                <w:noProof/>
              </w:rPr>
              <w:t>2.3.1.15. Parinkti ar apibrėžti SGC rezultato rodiklių (pvz. CO2 ekvivalentas / m2 / metus ir pan.) sistemą pagal LST EN 15978</w:t>
            </w:r>
          </w:p>
        </w:tc>
      </w:tr>
      <w:tr w:rsidR="00525CEC" w14:paraId="766DA3FA" w14:textId="77777777" w:rsidTr="003E1A73">
        <w:tc>
          <w:tcPr>
            <w:tcW w:w="846" w:type="dxa"/>
          </w:tcPr>
          <w:p w14:paraId="49386D0F" w14:textId="32D594B2" w:rsidR="00525CEC" w:rsidRDefault="00C77BF0" w:rsidP="00525CEC">
            <w:pPr>
              <w:jc w:val="both"/>
              <w:rPr>
                <w:rFonts w:ascii="Times New Roman" w:hAnsi="Times New Roman" w:cs="Times New Roman"/>
              </w:rPr>
            </w:pPr>
            <w:r>
              <w:rPr>
                <w:rFonts w:ascii="Times New Roman" w:hAnsi="Times New Roman" w:cs="Times New Roman"/>
              </w:rPr>
              <w:t>2</w:t>
            </w:r>
            <w:r w:rsidR="00630F35">
              <w:rPr>
                <w:rFonts w:ascii="Times New Roman" w:hAnsi="Times New Roman" w:cs="Times New Roman"/>
              </w:rPr>
              <w:t>0</w:t>
            </w:r>
          </w:p>
        </w:tc>
        <w:tc>
          <w:tcPr>
            <w:tcW w:w="4394" w:type="dxa"/>
          </w:tcPr>
          <w:p w14:paraId="34D81587" w14:textId="13D41D43" w:rsidR="00525CEC" w:rsidRPr="005D55BA" w:rsidRDefault="00525CEC" w:rsidP="00525CEC">
            <w:pPr>
              <w:pStyle w:val="Patvirtinta"/>
              <w:spacing w:before="240"/>
              <w:ind w:left="0"/>
              <w:jc w:val="both"/>
              <w:rPr>
                <w:rFonts w:ascii="Times New Roman" w:hAnsi="Times New Roman"/>
                <w:noProof/>
                <w:sz w:val="24"/>
                <w:szCs w:val="24"/>
              </w:rPr>
            </w:pPr>
            <w:r w:rsidRPr="005D55BA">
              <w:rPr>
                <w:rFonts w:ascii="Times New Roman" w:hAnsi="Times New Roman"/>
                <w:noProof/>
                <w:sz w:val="24"/>
                <w:szCs w:val="24"/>
                <w:lang w:val="lt-LT"/>
              </w:rPr>
              <w:t xml:space="preserve">Pastaba dėl </w:t>
            </w:r>
            <w:r w:rsidRPr="005D55BA">
              <w:rPr>
                <w:rFonts w:ascii="Times New Roman" w:hAnsi="Times New Roman"/>
                <w:noProof/>
                <w:sz w:val="24"/>
                <w:szCs w:val="24"/>
              </w:rPr>
              <w:t>2.3.2.2.3</w:t>
            </w:r>
            <w:r>
              <w:rPr>
                <w:rFonts w:ascii="Times New Roman" w:hAnsi="Times New Roman"/>
                <w:noProof/>
                <w:sz w:val="24"/>
                <w:szCs w:val="24"/>
              </w:rPr>
              <w:t xml:space="preserve"> punkto:</w:t>
            </w:r>
          </w:p>
          <w:p w14:paraId="48F57F84" w14:textId="5AA0B268" w:rsidR="00525CEC" w:rsidRPr="005D55BA" w:rsidRDefault="00525CEC" w:rsidP="00525CEC">
            <w:pPr>
              <w:pStyle w:val="Patvirtinta"/>
              <w:spacing w:before="240"/>
              <w:ind w:left="0"/>
              <w:jc w:val="both"/>
              <w:rPr>
                <w:rFonts w:ascii="Times New Roman" w:hAnsi="Times New Roman"/>
                <w:noProof/>
                <w:sz w:val="24"/>
                <w:szCs w:val="24"/>
              </w:rPr>
            </w:pPr>
            <w:r w:rsidRPr="005D55BA">
              <w:rPr>
                <w:rFonts w:ascii="Times New Roman" w:hAnsi="Times New Roman"/>
                <w:noProof/>
                <w:sz w:val="24"/>
                <w:szCs w:val="24"/>
              </w:rPr>
              <w:t>Kas turima omenyje? NSIK medžiagų ontologija?</w:t>
            </w:r>
          </w:p>
          <w:p w14:paraId="14BCB716" w14:textId="77777777" w:rsidR="00525CEC" w:rsidRDefault="00525CEC" w:rsidP="00525CEC">
            <w:pPr>
              <w:pStyle w:val="Patvirtinta"/>
              <w:spacing w:before="240"/>
              <w:ind w:left="0"/>
              <w:jc w:val="both"/>
              <w:rPr>
                <w:rFonts w:ascii="Times New Roman" w:hAnsi="Times New Roman"/>
                <w:b/>
                <w:bCs/>
                <w:noProof/>
                <w:sz w:val="24"/>
                <w:szCs w:val="24"/>
                <w:lang w:val="lt-LT"/>
              </w:rPr>
            </w:pPr>
          </w:p>
        </w:tc>
        <w:tc>
          <w:tcPr>
            <w:tcW w:w="4253" w:type="dxa"/>
          </w:tcPr>
          <w:p w14:paraId="59CA8772" w14:textId="5488778B"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p>
          <w:p w14:paraId="4C144F37" w14:textId="77777777" w:rsidR="00C77BF0" w:rsidRDefault="00C77BF0" w:rsidP="00525CEC">
            <w:pPr>
              <w:jc w:val="both"/>
              <w:rPr>
                <w:rFonts w:ascii="Times New Roman" w:hAnsi="Times New Roman" w:cs="Times New Roman"/>
              </w:rPr>
            </w:pPr>
          </w:p>
          <w:p w14:paraId="27C28EB8" w14:textId="77777777" w:rsidR="00C77BF0" w:rsidRPr="00C77BF0" w:rsidRDefault="00C77BF0" w:rsidP="00C77BF0">
            <w:pPr>
              <w:jc w:val="both"/>
              <w:rPr>
                <w:rFonts w:ascii="Times New Roman" w:hAnsi="Times New Roman" w:cs="Times New Roman"/>
                <w:i/>
                <w:iCs/>
              </w:rPr>
            </w:pPr>
            <w:r w:rsidRPr="00C77BF0">
              <w:rPr>
                <w:rFonts w:ascii="Times New Roman" w:hAnsi="Times New Roman" w:cs="Times New Roman"/>
                <w:i/>
                <w:iCs/>
              </w:rPr>
              <w:t>Pakoreguota versija:</w:t>
            </w:r>
          </w:p>
          <w:p w14:paraId="4116EE58" w14:textId="77777777" w:rsidR="00C77BF0" w:rsidRPr="00C77BF0" w:rsidRDefault="00C77BF0" w:rsidP="00525CEC">
            <w:pPr>
              <w:jc w:val="both"/>
              <w:rPr>
                <w:rFonts w:ascii="Times New Roman" w:hAnsi="Times New Roman" w:cs="Times New Roman"/>
                <w:i/>
                <w:iCs/>
              </w:rPr>
            </w:pPr>
          </w:p>
          <w:p w14:paraId="26C88A48" w14:textId="422FDBFA" w:rsidR="00A7533C" w:rsidRDefault="00A7533C" w:rsidP="00525CEC">
            <w:pPr>
              <w:jc w:val="both"/>
              <w:rPr>
                <w:rFonts w:ascii="Times New Roman" w:hAnsi="Times New Roman" w:cs="Times New Roman"/>
              </w:rPr>
            </w:pPr>
            <w:r w:rsidRPr="00C77BF0">
              <w:rPr>
                <w:rFonts w:ascii="Times New Roman" w:hAnsi="Times New Roman" w:cs="Times New Roman"/>
                <w:i/>
                <w:iCs/>
              </w:rPr>
              <w:t>2.3.2.2.3.</w:t>
            </w:r>
            <w:r w:rsidRPr="00C77BF0">
              <w:rPr>
                <w:rFonts w:ascii="Times New Roman" w:hAnsi="Times New Roman" w:cs="Times New Roman"/>
                <w:i/>
                <w:iCs/>
              </w:rPr>
              <w:tab/>
              <w:t>Nurodyti klasifikavimo sistemą medžiagų tipams, kuri būtų tinkama transporto emisijų skaičiavimui ir taikymui projektinėje praktikoje, pritaikant NSIK medžiagų ontologiją.</w:t>
            </w:r>
          </w:p>
        </w:tc>
      </w:tr>
      <w:tr w:rsidR="00525CEC" w14:paraId="4D5EF69D" w14:textId="77777777" w:rsidTr="003E1A73">
        <w:tc>
          <w:tcPr>
            <w:tcW w:w="846" w:type="dxa"/>
          </w:tcPr>
          <w:p w14:paraId="0F0005D3" w14:textId="5921765F" w:rsidR="00525CEC" w:rsidRDefault="00C77BF0" w:rsidP="00525CEC">
            <w:pPr>
              <w:jc w:val="both"/>
              <w:rPr>
                <w:rFonts w:ascii="Times New Roman" w:hAnsi="Times New Roman" w:cs="Times New Roman"/>
              </w:rPr>
            </w:pPr>
            <w:r>
              <w:rPr>
                <w:rFonts w:ascii="Times New Roman" w:hAnsi="Times New Roman" w:cs="Times New Roman"/>
              </w:rPr>
              <w:t>2</w:t>
            </w:r>
            <w:r w:rsidR="00630F35">
              <w:rPr>
                <w:rFonts w:ascii="Times New Roman" w:hAnsi="Times New Roman" w:cs="Times New Roman"/>
              </w:rPr>
              <w:t>1</w:t>
            </w:r>
          </w:p>
        </w:tc>
        <w:tc>
          <w:tcPr>
            <w:tcW w:w="4394" w:type="dxa"/>
          </w:tcPr>
          <w:p w14:paraId="070065A5" w14:textId="77777777" w:rsidR="00525CEC" w:rsidRPr="00132E0C" w:rsidRDefault="00525CEC" w:rsidP="00525CEC">
            <w:pPr>
              <w:pStyle w:val="Patvirtinta"/>
              <w:spacing w:before="240"/>
              <w:ind w:left="0"/>
              <w:jc w:val="both"/>
              <w:rPr>
                <w:rFonts w:ascii="Times New Roman" w:hAnsi="Times New Roman"/>
                <w:noProof/>
                <w:sz w:val="24"/>
                <w:szCs w:val="24"/>
              </w:rPr>
            </w:pPr>
            <w:r w:rsidRPr="00132E0C">
              <w:rPr>
                <w:rFonts w:ascii="Times New Roman" w:hAnsi="Times New Roman"/>
                <w:noProof/>
                <w:sz w:val="24"/>
                <w:szCs w:val="24"/>
                <w:lang w:val="lt-LT"/>
              </w:rPr>
              <w:t xml:space="preserve">Pastaba dėl </w:t>
            </w:r>
            <w:r w:rsidRPr="00132E0C">
              <w:rPr>
                <w:rFonts w:ascii="Times New Roman" w:hAnsi="Times New Roman"/>
                <w:noProof/>
                <w:sz w:val="24"/>
                <w:szCs w:val="24"/>
              </w:rPr>
              <w:t>2.3.</w:t>
            </w:r>
            <w:r>
              <w:rPr>
                <w:rFonts w:ascii="Times New Roman" w:hAnsi="Times New Roman"/>
                <w:noProof/>
                <w:sz w:val="24"/>
                <w:szCs w:val="24"/>
              </w:rPr>
              <w:t>2.4.</w:t>
            </w:r>
            <w:r w:rsidRPr="00132E0C">
              <w:rPr>
                <w:rFonts w:ascii="Times New Roman" w:hAnsi="Times New Roman"/>
                <w:noProof/>
                <w:sz w:val="24"/>
                <w:szCs w:val="24"/>
              </w:rPr>
              <w:t xml:space="preserve"> punkto: </w:t>
            </w:r>
          </w:p>
          <w:p w14:paraId="35481BA5" w14:textId="77777777" w:rsidR="00525CEC" w:rsidRPr="00132E0C" w:rsidRDefault="00525CEC" w:rsidP="00525CEC">
            <w:pPr>
              <w:pStyle w:val="Patvirtinta"/>
              <w:spacing w:before="240"/>
              <w:ind w:left="0"/>
              <w:jc w:val="both"/>
              <w:rPr>
                <w:rFonts w:ascii="Times New Roman" w:hAnsi="Times New Roman"/>
                <w:noProof/>
                <w:sz w:val="24"/>
                <w:szCs w:val="24"/>
                <w:lang w:val="lt-LT"/>
              </w:rPr>
            </w:pPr>
            <w:r w:rsidRPr="00132E0C">
              <w:rPr>
                <w:rFonts w:ascii="Times New Roman" w:hAnsi="Times New Roman"/>
                <w:noProof/>
                <w:sz w:val="24"/>
                <w:szCs w:val="24"/>
                <w:lang w:val="lt-LT"/>
              </w:rPr>
              <w:t>nerišlus sakinys</w:t>
            </w:r>
          </w:p>
          <w:p w14:paraId="0EEC2A1A" w14:textId="77777777" w:rsidR="00525CEC" w:rsidRPr="005D55BA" w:rsidRDefault="00525CEC" w:rsidP="00525CEC">
            <w:pPr>
              <w:pStyle w:val="Patvirtinta"/>
              <w:spacing w:before="240"/>
              <w:ind w:left="0"/>
              <w:jc w:val="both"/>
              <w:rPr>
                <w:rFonts w:ascii="Times New Roman" w:hAnsi="Times New Roman"/>
                <w:noProof/>
                <w:sz w:val="24"/>
                <w:szCs w:val="24"/>
                <w:lang w:val="lt-LT"/>
              </w:rPr>
            </w:pPr>
          </w:p>
        </w:tc>
        <w:tc>
          <w:tcPr>
            <w:tcW w:w="4253" w:type="dxa"/>
          </w:tcPr>
          <w:p w14:paraId="2418413E" w14:textId="15CEC4EF"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p>
          <w:p w14:paraId="451409A5" w14:textId="77777777" w:rsidR="00C77BF0" w:rsidRDefault="00C77BF0" w:rsidP="00525CEC">
            <w:pPr>
              <w:jc w:val="both"/>
              <w:rPr>
                <w:rFonts w:ascii="Times New Roman" w:hAnsi="Times New Roman" w:cs="Times New Roman"/>
              </w:rPr>
            </w:pPr>
          </w:p>
          <w:p w14:paraId="37784E06" w14:textId="77777777" w:rsidR="00C77BF0" w:rsidRPr="00C77BF0" w:rsidRDefault="00C77BF0" w:rsidP="00C77BF0">
            <w:pPr>
              <w:jc w:val="both"/>
              <w:rPr>
                <w:rFonts w:ascii="Times New Roman" w:hAnsi="Times New Roman" w:cs="Times New Roman"/>
                <w:i/>
                <w:iCs/>
              </w:rPr>
            </w:pPr>
            <w:r w:rsidRPr="00C77BF0">
              <w:rPr>
                <w:rFonts w:ascii="Times New Roman" w:hAnsi="Times New Roman" w:cs="Times New Roman"/>
                <w:i/>
                <w:iCs/>
              </w:rPr>
              <w:t>Pakoreguota versija:</w:t>
            </w:r>
          </w:p>
          <w:p w14:paraId="47F25A20" w14:textId="77777777" w:rsidR="00C77BF0" w:rsidRPr="00C77BF0" w:rsidRDefault="00C77BF0" w:rsidP="00525CEC">
            <w:pPr>
              <w:jc w:val="both"/>
              <w:rPr>
                <w:rFonts w:ascii="Times New Roman" w:hAnsi="Times New Roman" w:cs="Times New Roman"/>
                <w:i/>
                <w:iCs/>
              </w:rPr>
            </w:pPr>
          </w:p>
          <w:p w14:paraId="773898F7" w14:textId="77777777" w:rsidR="00A7533C" w:rsidRPr="00C77BF0" w:rsidRDefault="00A7533C" w:rsidP="00525CEC">
            <w:pPr>
              <w:jc w:val="both"/>
              <w:rPr>
                <w:rFonts w:ascii="Times New Roman" w:hAnsi="Times New Roman" w:cs="Times New Roman"/>
                <w:i/>
                <w:iCs/>
              </w:rPr>
            </w:pPr>
          </w:p>
          <w:p w14:paraId="1517CEA3" w14:textId="268F9A46" w:rsidR="00A7533C" w:rsidRDefault="00A7533C" w:rsidP="00525CEC">
            <w:pPr>
              <w:jc w:val="both"/>
              <w:rPr>
                <w:rFonts w:ascii="Times New Roman" w:hAnsi="Times New Roman" w:cs="Times New Roman"/>
              </w:rPr>
            </w:pPr>
            <w:r w:rsidRPr="00C77BF0">
              <w:rPr>
                <w:rFonts w:ascii="Times New Roman" w:hAnsi="Times New Roman" w:cs="Times New Roman"/>
                <w:i/>
                <w:iCs/>
              </w:rPr>
              <w:t>2.3.2.4.</w:t>
            </w:r>
            <w:r w:rsidRPr="00C77BF0">
              <w:rPr>
                <w:rFonts w:ascii="Times New Roman" w:hAnsi="Times New Roman" w:cs="Times New Roman"/>
                <w:i/>
                <w:iCs/>
              </w:rPr>
              <w:tab/>
              <w:t xml:space="preserve">Atlikti statybinių atliekų analizę kaip A5 modulio  vertinimo dalį. </w:t>
            </w:r>
            <w:r w:rsidRPr="00C77BF0">
              <w:rPr>
                <w:rFonts w:ascii="Times New Roman" w:hAnsi="Times New Roman" w:cs="Times New Roman"/>
                <w:i/>
                <w:iCs/>
              </w:rPr>
              <w:lastRenderedPageBreak/>
              <w:t xml:space="preserve">Kurios tikslas nustatyti statinio gyvavimo ciklo metu susidarančių atliekų kiekius ir jų frakcijas pagal medžiagų tipus, naudojant tą pačią medžiagų klasifikavimo sistemą kaip naudojama A4 modulyje. Kiekvienai frakcijai turi būti apskaičiuota atliekų procentinė dalis (%) bei su ja susijusios emisijos (kg </w:t>
            </w:r>
            <w:proofErr w:type="spellStart"/>
            <w:r w:rsidRPr="00C77BF0">
              <w:rPr>
                <w:rFonts w:ascii="Times New Roman" w:hAnsi="Times New Roman" w:cs="Times New Roman"/>
                <w:i/>
                <w:iCs/>
              </w:rPr>
              <w:t>CO₂e</w:t>
            </w:r>
            <w:proofErr w:type="spellEnd"/>
            <w:r w:rsidRPr="00C77BF0">
              <w:rPr>
                <w:rFonts w:ascii="Times New Roman" w:hAnsi="Times New Roman" w:cs="Times New Roman"/>
                <w:i/>
                <w:iCs/>
              </w:rPr>
              <w:t>/kg medžiagos). Vertinimas turi būti pritaikytas Lietuvos kontekstui ir pagrįstas patikimais tarptautiniais šaltiniais ir duomenų bazėmis.</w:t>
            </w:r>
          </w:p>
        </w:tc>
      </w:tr>
      <w:tr w:rsidR="00525CEC" w14:paraId="192E4A8C" w14:textId="77777777" w:rsidTr="003E1A73">
        <w:tc>
          <w:tcPr>
            <w:tcW w:w="846" w:type="dxa"/>
          </w:tcPr>
          <w:p w14:paraId="7A2489EE" w14:textId="355EF26D" w:rsidR="00525CEC" w:rsidRDefault="00C77BF0" w:rsidP="00525CEC">
            <w:pPr>
              <w:jc w:val="both"/>
              <w:rPr>
                <w:rFonts w:ascii="Times New Roman" w:hAnsi="Times New Roman" w:cs="Times New Roman"/>
              </w:rPr>
            </w:pPr>
            <w:r>
              <w:rPr>
                <w:rFonts w:ascii="Times New Roman" w:hAnsi="Times New Roman" w:cs="Times New Roman"/>
              </w:rPr>
              <w:lastRenderedPageBreak/>
              <w:t>2</w:t>
            </w:r>
            <w:r w:rsidR="00630F35">
              <w:rPr>
                <w:rFonts w:ascii="Times New Roman" w:hAnsi="Times New Roman" w:cs="Times New Roman"/>
              </w:rPr>
              <w:t>2</w:t>
            </w:r>
          </w:p>
        </w:tc>
        <w:tc>
          <w:tcPr>
            <w:tcW w:w="4394" w:type="dxa"/>
          </w:tcPr>
          <w:p w14:paraId="6E22602D" w14:textId="79BC1818" w:rsidR="00525CEC" w:rsidRDefault="00525CEC" w:rsidP="00525CEC">
            <w:pPr>
              <w:pStyle w:val="Patvirtinta"/>
              <w:spacing w:before="240"/>
              <w:ind w:left="0"/>
              <w:jc w:val="both"/>
              <w:rPr>
                <w:rFonts w:ascii="Times New Roman" w:hAnsi="Times New Roman"/>
                <w:noProof/>
                <w:sz w:val="24"/>
                <w:szCs w:val="24"/>
              </w:rPr>
            </w:pPr>
            <w:r w:rsidRPr="005D55BA">
              <w:rPr>
                <w:rFonts w:ascii="Times New Roman" w:hAnsi="Times New Roman"/>
                <w:noProof/>
                <w:sz w:val="24"/>
                <w:szCs w:val="24"/>
                <w:lang w:val="lt-LT"/>
              </w:rPr>
              <w:t xml:space="preserve">Pastaba dėl </w:t>
            </w:r>
            <w:r w:rsidRPr="005D55BA">
              <w:rPr>
                <w:rFonts w:ascii="Times New Roman" w:hAnsi="Times New Roman"/>
                <w:noProof/>
                <w:sz w:val="24"/>
                <w:szCs w:val="24"/>
              </w:rPr>
              <w:t>2.3.</w:t>
            </w:r>
            <w:r>
              <w:rPr>
                <w:rFonts w:ascii="Times New Roman" w:hAnsi="Times New Roman"/>
                <w:noProof/>
                <w:sz w:val="24"/>
                <w:szCs w:val="24"/>
              </w:rPr>
              <w:t>3.2 punkto:</w:t>
            </w:r>
          </w:p>
          <w:p w14:paraId="22CC3255" w14:textId="37D0806E" w:rsidR="00525CEC" w:rsidRPr="005D55BA" w:rsidRDefault="00525CEC" w:rsidP="00525CEC">
            <w:pPr>
              <w:pStyle w:val="Patvirtinta"/>
              <w:spacing w:before="240"/>
              <w:ind w:left="0"/>
              <w:jc w:val="both"/>
              <w:rPr>
                <w:rFonts w:ascii="Times New Roman" w:hAnsi="Times New Roman"/>
                <w:noProof/>
                <w:sz w:val="24"/>
                <w:szCs w:val="24"/>
              </w:rPr>
            </w:pPr>
            <w:r w:rsidRPr="005D55BA">
              <w:rPr>
                <w:rFonts w:ascii="Times New Roman" w:hAnsi="Times New Roman"/>
                <w:noProof/>
                <w:sz w:val="24"/>
                <w:szCs w:val="24"/>
              </w:rPr>
              <w:t>Remtis Pastatų duomenų banko metodika?</w:t>
            </w:r>
          </w:p>
          <w:p w14:paraId="66CC5BA8" w14:textId="77777777" w:rsidR="00525CEC" w:rsidRDefault="00525CEC" w:rsidP="00525CEC">
            <w:pPr>
              <w:pStyle w:val="Patvirtinta"/>
              <w:spacing w:before="240"/>
              <w:ind w:left="0"/>
              <w:jc w:val="both"/>
              <w:rPr>
                <w:rFonts w:ascii="Times New Roman" w:hAnsi="Times New Roman"/>
                <w:b/>
                <w:bCs/>
                <w:noProof/>
                <w:sz w:val="24"/>
                <w:szCs w:val="24"/>
                <w:lang w:val="lt-LT"/>
              </w:rPr>
            </w:pPr>
          </w:p>
        </w:tc>
        <w:tc>
          <w:tcPr>
            <w:tcW w:w="4253" w:type="dxa"/>
          </w:tcPr>
          <w:p w14:paraId="5BDBE454" w14:textId="7FDE388D"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p>
          <w:p w14:paraId="7B616F5F" w14:textId="77777777" w:rsidR="00C77BF0" w:rsidRDefault="00C77BF0" w:rsidP="00525CEC">
            <w:pPr>
              <w:jc w:val="both"/>
              <w:rPr>
                <w:rFonts w:ascii="Times New Roman" w:hAnsi="Times New Roman" w:cs="Times New Roman"/>
              </w:rPr>
            </w:pPr>
          </w:p>
          <w:p w14:paraId="0E438F47" w14:textId="77777777" w:rsidR="00C77BF0" w:rsidRPr="00C77BF0" w:rsidRDefault="00C77BF0" w:rsidP="00C77BF0">
            <w:pPr>
              <w:jc w:val="both"/>
              <w:rPr>
                <w:rFonts w:ascii="Times New Roman" w:hAnsi="Times New Roman" w:cs="Times New Roman"/>
                <w:i/>
                <w:iCs/>
              </w:rPr>
            </w:pPr>
            <w:r w:rsidRPr="00C77BF0">
              <w:rPr>
                <w:rFonts w:ascii="Times New Roman" w:hAnsi="Times New Roman" w:cs="Times New Roman"/>
                <w:i/>
                <w:iCs/>
              </w:rPr>
              <w:t>Pakoreguota versija:</w:t>
            </w:r>
          </w:p>
          <w:p w14:paraId="4F3C8E59" w14:textId="77777777" w:rsidR="00A7533C" w:rsidRPr="00C77BF0" w:rsidRDefault="00A7533C" w:rsidP="00525CEC">
            <w:pPr>
              <w:jc w:val="both"/>
              <w:rPr>
                <w:rFonts w:ascii="Times New Roman" w:hAnsi="Times New Roman" w:cs="Times New Roman"/>
                <w:i/>
                <w:iCs/>
              </w:rPr>
            </w:pPr>
          </w:p>
          <w:p w14:paraId="48E520F6" w14:textId="05DF46C4" w:rsidR="00A7533C" w:rsidRDefault="00A7533C" w:rsidP="00525CEC">
            <w:pPr>
              <w:jc w:val="both"/>
              <w:rPr>
                <w:rFonts w:ascii="Times New Roman" w:hAnsi="Times New Roman" w:cs="Times New Roman"/>
              </w:rPr>
            </w:pPr>
            <w:r w:rsidRPr="00C77BF0">
              <w:rPr>
                <w:rFonts w:ascii="Times New Roman" w:hAnsi="Times New Roman" w:cs="Times New Roman"/>
                <w:i/>
                <w:iCs/>
              </w:rPr>
              <w:t>2.3.3.2.</w:t>
            </w:r>
            <w:r w:rsidRPr="00C77BF0">
              <w:rPr>
                <w:rFonts w:ascii="Times New Roman" w:hAnsi="Times New Roman" w:cs="Times New Roman"/>
                <w:i/>
                <w:iCs/>
              </w:rPr>
              <w:tab/>
              <w:t>Parengti SGC metodiką B4 modulio (keitimo) skaičiavimams, sudarant aiškią pastato komponentų ir pagrindinių medžiagų klasifikaciją su nustatytomis jų gyvavimo trukmėmis</w:t>
            </w:r>
            <w:r w:rsidRPr="00A7533C">
              <w:rPr>
                <w:rFonts w:ascii="Times New Roman" w:hAnsi="Times New Roman" w:cs="Times New Roman"/>
              </w:rPr>
              <w:t>.</w:t>
            </w:r>
          </w:p>
        </w:tc>
      </w:tr>
      <w:tr w:rsidR="00525CEC" w14:paraId="6224A28F" w14:textId="77777777" w:rsidTr="003E1A73">
        <w:tc>
          <w:tcPr>
            <w:tcW w:w="846" w:type="dxa"/>
          </w:tcPr>
          <w:p w14:paraId="637A7B42" w14:textId="54C89350" w:rsidR="00525CEC" w:rsidRDefault="00C77BF0" w:rsidP="00525CEC">
            <w:pPr>
              <w:jc w:val="both"/>
              <w:rPr>
                <w:rFonts w:ascii="Times New Roman" w:hAnsi="Times New Roman" w:cs="Times New Roman"/>
              </w:rPr>
            </w:pPr>
            <w:r>
              <w:rPr>
                <w:rFonts w:ascii="Times New Roman" w:hAnsi="Times New Roman" w:cs="Times New Roman"/>
              </w:rPr>
              <w:t>2</w:t>
            </w:r>
            <w:r w:rsidR="00630F35">
              <w:rPr>
                <w:rFonts w:ascii="Times New Roman" w:hAnsi="Times New Roman" w:cs="Times New Roman"/>
              </w:rPr>
              <w:t>3</w:t>
            </w:r>
          </w:p>
        </w:tc>
        <w:tc>
          <w:tcPr>
            <w:tcW w:w="4394" w:type="dxa"/>
          </w:tcPr>
          <w:p w14:paraId="0ACA26C8" w14:textId="21C0C5A2" w:rsidR="00525CEC" w:rsidRPr="00780E39" w:rsidRDefault="00525CEC" w:rsidP="00525CEC">
            <w:pPr>
              <w:pStyle w:val="Patvirtinta"/>
              <w:spacing w:before="240"/>
              <w:ind w:left="0"/>
              <w:jc w:val="both"/>
              <w:rPr>
                <w:rFonts w:ascii="Times New Roman" w:hAnsi="Times New Roman"/>
                <w:noProof/>
                <w:sz w:val="24"/>
                <w:szCs w:val="24"/>
                <w:lang w:val="lt-LT"/>
              </w:rPr>
            </w:pPr>
            <w:r w:rsidRPr="00780E39">
              <w:rPr>
                <w:rFonts w:ascii="Times New Roman" w:hAnsi="Times New Roman"/>
                <w:noProof/>
                <w:sz w:val="24"/>
                <w:szCs w:val="24"/>
                <w:lang w:val="lt-LT"/>
              </w:rPr>
              <w:t>Pastaba dėl 2.3.3.6 punkto</w:t>
            </w:r>
            <w:r>
              <w:rPr>
                <w:rFonts w:ascii="Times New Roman" w:hAnsi="Times New Roman"/>
                <w:noProof/>
                <w:sz w:val="24"/>
                <w:szCs w:val="24"/>
                <w:lang w:val="lt-LT"/>
              </w:rPr>
              <w:t>:</w:t>
            </w:r>
          </w:p>
          <w:p w14:paraId="144DB722" w14:textId="3848D58E" w:rsidR="00525CEC" w:rsidRPr="00780E39" w:rsidRDefault="00525CEC" w:rsidP="00525CEC">
            <w:pPr>
              <w:pStyle w:val="Patvirtinta"/>
              <w:spacing w:before="240"/>
              <w:ind w:left="0"/>
              <w:jc w:val="both"/>
              <w:rPr>
                <w:rFonts w:ascii="Times New Roman" w:hAnsi="Times New Roman"/>
                <w:noProof/>
                <w:sz w:val="24"/>
                <w:szCs w:val="24"/>
                <w:lang w:val="lt-LT"/>
              </w:rPr>
            </w:pPr>
            <w:r w:rsidRPr="00780E39">
              <w:rPr>
                <w:rFonts w:ascii="Times New Roman" w:hAnsi="Times New Roman"/>
                <w:noProof/>
                <w:sz w:val="24"/>
                <w:szCs w:val="24"/>
                <w:lang w:val="lt-LT"/>
              </w:rPr>
              <w:t>Atskiras projektas</w:t>
            </w:r>
          </w:p>
          <w:p w14:paraId="6CD76C83" w14:textId="77777777" w:rsidR="00525CEC" w:rsidRDefault="00525CEC" w:rsidP="00525CEC">
            <w:pPr>
              <w:pStyle w:val="Patvirtinta"/>
              <w:spacing w:before="240"/>
              <w:ind w:left="0"/>
              <w:jc w:val="both"/>
              <w:rPr>
                <w:rFonts w:ascii="Times New Roman" w:hAnsi="Times New Roman"/>
                <w:b/>
                <w:bCs/>
                <w:noProof/>
                <w:sz w:val="24"/>
                <w:szCs w:val="24"/>
                <w:lang w:val="lt-LT"/>
              </w:rPr>
            </w:pPr>
          </w:p>
        </w:tc>
        <w:tc>
          <w:tcPr>
            <w:tcW w:w="4253" w:type="dxa"/>
          </w:tcPr>
          <w:p w14:paraId="59AA4A37" w14:textId="0B2C76A8" w:rsidR="00525CEC" w:rsidRDefault="00525CEC" w:rsidP="00525CEC">
            <w:pPr>
              <w:jc w:val="both"/>
              <w:rPr>
                <w:rFonts w:ascii="Times New Roman" w:hAnsi="Times New Roman" w:cs="Times New Roman"/>
              </w:rPr>
            </w:pPr>
            <w:r>
              <w:rPr>
                <w:rFonts w:ascii="Times New Roman" w:hAnsi="Times New Roman" w:cs="Times New Roman"/>
              </w:rPr>
              <w:t xml:space="preserve">Į </w:t>
            </w:r>
            <w:r w:rsidRPr="003B11C9">
              <w:rPr>
                <w:rFonts w:ascii="Times New Roman" w:hAnsi="Times New Roman" w:cs="Times New Roman"/>
              </w:rPr>
              <w:t>pastabą bus atsižvelgiama ir pirkimo dokumentų koregavimas (patikslinimas) pagal pateiktą pastabą bus pateikiamas galutiniuose pirkimo dokumentuose skelbiant pirkimą</w:t>
            </w:r>
          </w:p>
          <w:p w14:paraId="317863F1" w14:textId="77777777" w:rsidR="00C77BF0" w:rsidRPr="00C77BF0" w:rsidRDefault="00C77BF0" w:rsidP="00525CEC">
            <w:pPr>
              <w:jc w:val="both"/>
              <w:rPr>
                <w:rFonts w:ascii="Times New Roman" w:hAnsi="Times New Roman" w:cs="Times New Roman"/>
                <w:i/>
                <w:iCs/>
              </w:rPr>
            </w:pPr>
          </w:p>
          <w:p w14:paraId="6DAB16BA" w14:textId="77777777" w:rsidR="00C77BF0" w:rsidRPr="00C77BF0" w:rsidRDefault="00C77BF0" w:rsidP="00C77BF0">
            <w:pPr>
              <w:jc w:val="both"/>
              <w:rPr>
                <w:rFonts w:ascii="Times New Roman" w:hAnsi="Times New Roman" w:cs="Times New Roman"/>
                <w:i/>
                <w:iCs/>
              </w:rPr>
            </w:pPr>
            <w:r w:rsidRPr="00C77BF0">
              <w:rPr>
                <w:rFonts w:ascii="Times New Roman" w:hAnsi="Times New Roman" w:cs="Times New Roman"/>
                <w:i/>
                <w:iCs/>
              </w:rPr>
              <w:t>Pakoreguota versija:</w:t>
            </w:r>
          </w:p>
          <w:p w14:paraId="6D21EA95" w14:textId="77777777" w:rsidR="00A7533C" w:rsidRPr="00C77BF0" w:rsidRDefault="00A7533C" w:rsidP="00525CEC">
            <w:pPr>
              <w:jc w:val="both"/>
              <w:rPr>
                <w:rFonts w:ascii="Times New Roman" w:hAnsi="Times New Roman" w:cs="Times New Roman"/>
                <w:i/>
                <w:iCs/>
              </w:rPr>
            </w:pPr>
          </w:p>
          <w:p w14:paraId="1F6AE01E" w14:textId="05ACBCB2" w:rsidR="00A7533C" w:rsidRDefault="00A7533C" w:rsidP="00525CEC">
            <w:pPr>
              <w:jc w:val="both"/>
              <w:rPr>
                <w:rFonts w:ascii="Times New Roman" w:hAnsi="Times New Roman" w:cs="Times New Roman"/>
              </w:rPr>
            </w:pPr>
            <w:r w:rsidRPr="00C77BF0">
              <w:rPr>
                <w:rFonts w:ascii="Times New Roman" w:hAnsi="Times New Roman" w:cs="Times New Roman"/>
                <w:i/>
                <w:iCs/>
              </w:rPr>
              <w:t>2.3.3.6.</w:t>
            </w:r>
            <w:r w:rsidRPr="00C77BF0">
              <w:rPr>
                <w:rFonts w:ascii="Times New Roman" w:hAnsi="Times New Roman" w:cs="Times New Roman"/>
                <w:i/>
                <w:iCs/>
              </w:rPr>
              <w:tab/>
              <w:t>ENERGIS ar kitų esamų duomenų pagrindu atlikti analizę apie energijos suvartojimą skirtingų paskirčių pastatuose Lietuvoje (gyvenamieji, administraciniai, visuomeniniai, pramoniniai), įskaitant skirtingas pastatų energetines klases (A++, A+, A, B ir kt.).</w:t>
            </w:r>
          </w:p>
        </w:tc>
      </w:tr>
      <w:tr w:rsidR="00525CEC" w14:paraId="2C9C8BB4" w14:textId="77777777" w:rsidTr="003E1A73">
        <w:tc>
          <w:tcPr>
            <w:tcW w:w="846" w:type="dxa"/>
          </w:tcPr>
          <w:p w14:paraId="6570AEC0" w14:textId="0A3019C8" w:rsidR="00525CEC" w:rsidRDefault="00630F35" w:rsidP="00525CEC">
            <w:pPr>
              <w:jc w:val="both"/>
              <w:rPr>
                <w:rFonts w:ascii="Times New Roman" w:hAnsi="Times New Roman" w:cs="Times New Roman"/>
              </w:rPr>
            </w:pPr>
            <w:r>
              <w:rPr>
                <w:rFonts w:ascii="Times New Roman" w:hAnsi="Times New Roman" w:cs="Times New Roman"/>
              </w:rPr>
              <w:t>24</w:t>
            </w:r>
          </w:p>
        </w:tc>
        <w:tc>
          <w:tcPr>
            <w:tcW w:w="4394" w:type="dxa"/>
          </w:tcPr>
          <w:p w14:paraId="312D0B64" w14:textId="5E3102BF" w:rsidR="00525CEC" w:rsidRPr="00780E39" w:rsidRDefault="00525CEC" w:rsidP="00525CEC">
            <w:pPr>
              <w:pStyle w:val="Patvirtinta"/>
              <w:spacing w:before="240"/>
              <w:ind w:left="0"/>
              <w:jc w:val="both"/>
              <w:rPr>
                <w:rFonts w:ascii="Times New Roman" w:hAnsi="Times New Roman"/>
                <w:noProof/>
                <w:sz w:val="24"/>
                <w:szCs w:val="24"/>
                <w:lang w:val="lt-LT"/>
              </w:rPr>
            </w:pPr>
            <w:r w:rsidRPr="00780E39">
              <w:rPr>
                <w:rFonts w:ascii="Times New Roman" w:hAnsi="Times New Roman"/>
                <w:noProof/>
                <w:sz w:val="24"/>
                <w:szCs w:val="24"/>
                <w:lang w:val="lt-LT"/>
              </w:rPr>
              <w:t xml:space="preserve">Pastaba dėl 4.2 punkto: </w:t>
            </w:r>
          </w:p>
          <w:p w14:paraId="4C3F585B" w14:textId="42338831" w:rsidR="00525CEC" w:rsidRPr="00780E39" w:rsidRDefault="00525CEC" w:rsidP="00525CEC">
            <w:pPr>
              <w:pStyle w:val="Patvirtinta"/>
              <w:spacing w:before="240"/>
              <w:ind w:left="0"/>
              <w:jc w:val="both"/>
              <w:rPr>
                <w:rFonts w:ascii="Times New Roman" w:hAnsi="Times New Roman"/>
                <w:noProof/>
                <w:sz w:val="24"/>
                <w:szCs w:val="24"/>
                <w:lang w:val="lt-LT"/>
              </w:rPr>
            </w:pPr>
            <w:r w:rsidRPr="00780E39">
              <w:rPr>
                <w:rFonts w:ascii="Times New Roman" w:hAnsi="Times New Roman"/>
                <w:noProof/>
                <w:sz w:val="24"/>
                <w:szCs w:val="24"/>
                <w:lang w:val="lt-LT"/>
              </w:rPr>
              <w:t xml:space="preserve">18 mėn. </w:t>
            </w:r>
          </w:p>
          <w:p w14:paraId="2EECDC42" w14:textId="3661D705" w:rsidR="00525CEC" w:rsidRDefault="00525CEC" w:rsidP="00525CEC">
            <w:pPr>
              <w:pStyle w:val="Patvirtinta"/>
              <w:spacing w:before="240"/>
              <w:ind w:left="0"/>
              <w:jc w:val="both"/>
              <w:rPr>
                <w:rFonts w:ascii="Times New Roman" w:hAnsi="Times New Roman"/>
                <w:b/>
                <w:bCs/>
                <w:noProof/>
                <w:sz w:val="24"/>
                <w:szCs w:val="24"/>
                <w:lang w:val="lt-LT"/>
              </w:rPr>
            </w:pPr>
          </w:p>
        </w:tc>
        <w:tc>
          <w:tcPr>
            <w:tcW w:w="4253" w:type="dxa"/>
          </w:tcPr>
          <w:p w14:paraId="3A397C96" w14:textId="77777777" w:rsidR="00630F35" w:rsidRDefault="00630F35" w:rsidP="00630F35">
            <w:pPr>
              <w:jc w:val="both"/>
              <w:rPr>
                <w:rFonts w:ascii="Times New Roman" w:hAnsi="Times New Roman" w:cs="Times New Roman"/>
              </w:rPr>
            </w:pPr>
            <w:r>
              <w:rPr>
                <w:rFonts w:ascii="Times New Roman" w:hAnsi="Times New Roman" w:cs="Times New Roman"/>
              </w:rPr>
              <w:t>Paslaugų teikimo terminas bus patikslintas, atsižvelgiant į visų rinkos dalyvių pastabas ir rekomendacijas dėl paslaugų suteikimo termino bei projekto galimybes. B</w:t>
            </w:r>
            <w:r w:rsidRPr="003B11C9">
              <w:rPr>
                <w:rFonts w:ascii="Times New Roman" w:hAnsi="Times New Roman" w:cs="Times New Roman"/>
              </w:rPr>
              <w:t>us pateikiama galutiniuose pirkimo dokumentuose skelbiant pirkimą</w:t>
            </w:r>
            <w:r>
              <w:rPr>
                <w:rFonts w:ascii="Times New Roman" w:hAnsi="Times New Roman" w:cs="Times New Roman"/>
              </w:rPr>
              <w:t>.</w:t>
            </w:r>
          </w:p>
          <w:p w14:paraId="4A6D5B9C" w14:textId="77777777" w:rsidR="00630F35" w:rsidRDefault="00630F35" w:rsidP="00630F35">
            <w:pPr>
              <w:jc w:val="both"/>
              <w:rPr>
                <w:rFonts w:ascii="Times New Roman" w:hAnsi="Times New Roman" w:cs="Times New Roman"/>
              </w:rPr>
            </w:pPr>
          </w:p>
          <w:p w14:paraId="606056B2"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t>Pakoreguota versija:</w:t>
            </w:r>
          </w:p>
          <w:p w14:paraId="6AEAE17F" w14:textId="77777777" w:rsidR="00630F35" w:rsidRPr="00630F35" w:rsidRDefault="00630F35" w:rsidP="00630F35">
            <w:pPr>
              <w:jc w:val="both"/>
              <w:rPr>
                <w:rFonts w:ascii="Times New Roman" w:hAnsi="Times New Roman" w:cs="Times New Roman"/>
                <w:i/>
                <w:iCs/>
              </w:rPr>
            </w:pPr>
            <w:r w:rsidRPr="00630F35">
              <w:rPr>
                <w:rFonts w:ascii="Times New Roman" w:hAnsi="Times New Roman" w:cs="Times New Roman"/>
                <w:i/>
                <w:iCs/>
              </w:rPr>
              <w:lastRenderedPageBreak/>
              <w:t>4.1.</w:t>
            </w:r>
            <w:r w:rsidRPr="00630F35">
              <w:rPr>
                <w:rFonts w:ascii="Times New Roman" w:hAnsi="Times New Roman" w:cs="Times New Roman"/>
                <w:i/>
                <w:iCs/>
              </w:rPr>
              <w:tab/>
              <w:t>Paslaugos turi būti suteiktos per 10 mėnesių nuo sutarties įsigaliojimo datos.</w:t>
            </w:r>
          </w:p>
          <w:p w14:paraId="4FCAA804" w14:textId="23293CEF" w:rsidR="00525CEC" w:rsidRDefault="00A7533C" w:rsidP="00525CEC">
            <w:pPr>
              <w:jc w:val="both"/>
              <w:rPr>
                <w:rFonts w:ascii="Times New Roman" w:hAnsi="Times New Roman" w:cs="Times New Roman"/>
              </w:rPr>
            </w:pPr>
            <w:r w:rsidRPr="00C77BF0">
              <w:rPr>
                <w:rFonts w:ascii="Times New Roman" w:hAnsi="Times New Roman" w:cs="Times New Roman"/>
                <w:i/>
                <w:iCs/>
              </w:rPr>
              <w:t>4.2.</w:t>
            </w:r>
            <w:r w:rsidRPr="00C77BF0">
              <w:rPr>
                <w:rFonts w:ascii="Times New Roman" w:hAnsi="Times New Roman" w:cs="Times New Roman"/>
                <w:i/>
                <w:iCs/>
              </w:rPr>
              <w:tab/>
              <w:t>Per 4 mėn. nuo sutarties įsigaliojimo datos turi būti parengta pirminė Metodikos versija su SGC vertinimo skaičiavimo modeliu ir pirminis interaktyvus skaičiuoklės prototipas. Skaičiavimo modelis turi apimti skaičiavimo principus, duomenų šaltinius bei duomenų srautus, parodyti tarpinių ir galutinių skaičiavimo rezultatų detalumą bei struktūrą. Modelis turi būti rengiamas kaip tarpinis Metodikos rezultatas, kuris vėliau papildomas ir išplėtojamas iki pilnos apimties Metodikos.</w:t>
            </w:r>
            <w:r w:rsidR="00525CEC">
              <w:rPr>
                <w:rFonts w:ascii="Times New Roman" w:hAnsi="Times New Roman" w:cs="Times New Roman"/>
              </w:rPr>
              <w:t xml:space="preserve"> </w:t>
            </w:r>
          </w:p>
        </w:tc>
      </w:tr>
    </w:tbl>
    <w:p w14:paraId="2D2FC8D5" w14:textId="77777777" w:rsidR="00AA0E10" w:rsidRPr="00AA0E10" w:rsidRDefault="00AA0E10" w:rsidP="00AA0E10">
      <w:pPr>
        <w:jc w:val="both"/>
        <w:rPr>
          <w:rFonts w:ascii="Times New Roman" w:hAnsi="Times New Roman" w:cs="Times New Roman"/>
        </w:rPr>
      </w:pPr>
    </w:p>
    <w:sectPr w:rsidR="00AA0E10" w:rsidRPr="00AA0E1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530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7D71"/>
    <w:multiLevelType w:val="hybridMultilevel"/>
    <w:tmpl w:val="6834F844"/>
    <w:lvl w:ilvl="0" w:tplc="E4D8F26A">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7A7E35"/>
    <w:multiLevelType w:val="multilevel"/>
    <w:tmpl w:val="08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1915043">
    <w:abstractNumId w:val="0"/>
  </w:num>
  <w:num w:numId="2" w16cid:durableId="1462114501">
    <w:abstractNumId w:val="2"/>
  </w:num>
  <w:num w:numId="3" w16cid:durableId="124695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10"/>
    <w:rsid w:val="0002443A"/>
    <w:rsid w:val="00043F2D"/>
    <w:rsid w:val="000F6634"/>
    <w:rsid w:val="00132E0C"/>
    <w:rsid w:val="0032264A"/>
    <w:rsid w:val="003537E8"/>
    <w:rsid w:val="00386C86"/>
    <w:rsid w:val="00395833"/>
    <w:rsid w:val="003B3F5F"/>
    <w:rsid w:val="003D64D6"/>
    <w:rsid w:val="003E1A73"/>
    <w:rsid w:val="00431735"/>
    <w:rsid w:val="00445FAD"/>
    <w:rsid w:val="004506CD"/>
    <w:rsid w:val="0045529E"/>
    <w:rsid w:val="00475E92"/>
    <w:rsid w:val="00480C40"/>
    <w:rsid w:val="00481B00"/>
    <w:rsid w:val="00525CEC"/>
    <w:rsid w:val="0055466C"/>
    <w:rsid w:val="005D55BA"/>
    <w:rsid w:val="00605302"/>
    <w:rsid w:val="00611DFE"/>
    <w:rsid w:val="00630F35"/>
    <w:rsid w:val="006C2203"/>
    <w:rsid w:val="00720D43"/>
    <w:rsid w:val="00780E39"/>
    <w:rsid w:val="009146AA"/>
    <w:rsid w:val="009751EC"/>
    <w:rsid w:val="00977131"/>
    <w:rsid w:val="00A25DFE"/>
    <w:rsid w:val="00A50B40"/>
    <w:rsid w:val="00A7533C"/>
    <w:rsid w:val="00AA0E10"/>
    <w:rsid w:val="00AC3E02"/>
    <w:rsid w:val="00AD0B12"/>
    <w:rsid w:val="00BD541A"/>
    <w:rsid w:val="00C671DC"/>
    <w:rsid w:val="00C77BF0"/>
    <w:rsid w:val="00C811C6"/>
    <w:rsid w:val="00DB5BE5"/>
    <w:rsid w:val="00F16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A8DE"/>
  <w15:chartTrackingRefBased/>
  <w15:docId w15:val="{01D5DDDD-3EA2-49D5-A66C-D5A45811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0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0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A0E1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0E1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0E1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A0E1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0E1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A0E1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0E1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0E1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0E1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0E1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0E1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0E1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A0E1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0E1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A0E1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0E1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A0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0E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0E1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0E1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0E1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0E10"/>
    <w:rPr>
      <w:i/>
      <w:iCs/>
      <w:color w:val="404040" w:themeColor="text1" w:themeTint="BF"/>
    </w:rPr>
  </w:style>
  <w:style w:type="paragraph" w:styleId="Sraopastraipa">
    <w:name w:val="List Paragraph"/>
    <w:basedOn w:val="prastasis"/>
    <w:uiPriority w:val="34"/>
    <w:qFormat/>
    <w:rsid w:val="00AA0E10"/>
    <w:pPr>
      <w:ind w:left="720"/>
      <w:contextualSpacing/>
    </w:pPr>
  </w:style>
  <w:style w:type="character" w:styleId="Rykuspabraukimas">
    <w:name w:val="Intense Emphasis"/>
    <w:basedOn w:val="Numatytasispastraiposriftas"/>
    <w:uiPriority w:val="21"/>
    <w:qFormat/>
    <w:rsid w:val="00AA0E10"/>
    <w:rPr>
      <w:i/>
      <w:iCs/>
      <w:color w:val="0F4761" w:themeColor="accent1" w:themeShade="BF"/>
    </w:rPr>
  </w:style>
  <w:style w:type="paragraph" w:styleId="Iskirtacitata">
    <w:name w:val="Intense Quote"/>
    <w:basedOn w:val="prastasis"/>
    <w:next w:val="prastasis"/>
    <w:link w:val="IskirtacitataDiagrama"/>
    <w:uiPriority w:val="30"/>
    <w:qFormat/>
    <w:rsid w:val="00AA0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0E10"/>
    <w:rPr>
      <w:i/>
      <w:iCs/>
      <w:color w:val="0F4761" w:themeColor="accent1" w:themeShade="BF"/>
    </w:rPr>
  </w:style>
  <w:style w:type="character" w:styleId="Rykinuoroda">
    <w:name w:val="Intense Reference"/>
    <w:basedOn w:val="Numatytasispastraiposriftas"/>
    <w:uiPriority w:val="32"/>
    <w:qFormat/>
    <w:rsid w:val="00AA0E10"/>
    <w:rPr>
      <w:b/>
      <w:bCs/>
      <w:smallCaps/>
      <w:color w:val="0F4761" w:themeColor="accent1" w:themeShade="BF"/>
      <w:spacing w:val="5"/>
    </w:rPr>
  </w:style>
  <w:style w:type="table" w:styleId="Lentelstinklelis">
    <w:name w:val="Table Grid"/>
    <w:basedOn w:val="prastojilentel"/>
    <w:uiPriority w:val="39"/>
    <w:rsid w:val="00AA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1B00"/>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4506CD"/>
    <w:rPr>
      <w:sz w:val="16"/>
      <w:szCs w:val="16"/>
    </w:rPr>
  </w:style>
  <w:style w:type="paragraph" w:styleId="Komentarotekstas">
    <w:name w:val="annotation text"/>
    <w:basedOn w:val="prastasis"/>
    <w:link w:val="KomentarotekstasDiagrama"/>
    <w:uiPriority w:val="99"/>
    <w:unhideWhenUsed/>
    <w:rsid w:val="004506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6CD"/>
    <w:rPr>
      <w:sz w:val="20"/>
      <w:szCs w:val="20"/>
    </w:rPr>
  </w:style>
  <w:style w:type="paragraph" w:styleId="Komentarotema">
    <w:name w:val="annotation subject"/>
    <w:basedOn w:val="Komentarotekstas"/>
    <w:next w:val="Komentarotekstas"/>
    <w:link w:val="KomentarotemaDiagrama"/>
    <w:uiPriority w:val="99"/>
    <w:semiHidden/>
    <w:unhideWhenUsed/>
    <w:rsid w:val="004506CD"/>
    <w:rPr>
      <w:b/>
      <w:bCs/>
    </w:rPr>
  </w:style>
  <w:style w:type="character" w:customStyle="1" w:styleId="KomentarotemaDiagrama">
    <w:name w:val="Komentaro tema Diagrama"/>
    <w:basedOn w:val="KomentarotekstasDiagrama"/>
    <w:link w:val="Komentarotema"/>
    <w:uiPriority w:val="99"/>
    <w:semiHidden/>
    <w:rsid w:val="004506CD"/>
    <w:rPr>
      <w:b/>
      <w:bCs/>
      <w:sz w:val="20"/>
      <w:szCs w:val="20"/>
    </w:rPr>
  </w:style>
  <w:style w:type="paragraph" w:customStyle="1" w:styleId="Patvirtinta">
    <w:name w:val="Patvirtinta"/>
    <w:rsid w:val="006C2203"/>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19007">
      <w:bodyDiv w:val="1"/>
      <w:marLeft w:val="0"/>
      <w:marRight w:val="0"/>
      <w:marTop w:val="0"/>
      <w:marBottom w:val="0"/>
      <w:divBdr>
        <w:top w:val="none" w:sz="0" w:space="0" w:color="auto"/>
        <w:left w:val="none" w:sz="0" w:space="0" w:color="auto"/>
        <w:bottom w:val="none" w:sz="0" w:space="0" w:color="auto"/>
        <w:right w:val="none" w:sz="0" w:space="0" w:color="auto"/>
      </w:divBdr>
    </w:div>
    <w:div w:id="334497013">
      <w:bodyDiv w:val="1"/>
      <w:marLeft w:val="0"/>
      <w:marRight w:val="0"/>
      <w:marTop w:val="0"/>
      <w:marBottom w:val="0"/>
      <w:divBdr>
        <w:top w:val="none" w:sz="0" w:space="0" w:color="auto"/>
        <w:left w:val="none" w:sz="0" w:space="0" w:color="auto"/>
        <w:bottom w:val="none" w:sz="0" w:space="0" w:color="auto"/>
        <w:right w:val="none" w:sz="0" w:space="0" w:color="auto"/>
      </w:divBdr>
    </w:div>
    <w:div w:id="358630630">
      <w:bodyDiv w:val="1"/>
      <w:marLeft w:val="0"/>
      <w:marRight w:val="0"/>
      <w:marTop w:val="0"/>
      <w:marBottom w:val="0"/>
      <w:divBdr>
        <w:top w:val="none" w:sz="0" w:space="0" w:color="auto"/>
        <w:left w:val="none" w:sz="0" w:space="0" w:color="auto"/>
        <w:bottom w:val="none" w:sz="0" w:space="0" w:color="auto"/>
        <w:right w:val="none" w:sz="0" w:space="0" w:color="auto"/>
      </w:divBdr>
    </w:div>
    <w:div w:id="369037626">
      <w:bodyDiv w:val="1"/>
      <w:marLeft w:val="0"/>
      <w:marRight w:val="0"/>
      <w:marTop w:val="0"/>
      <w:marBottom w:val="0"/>
      <w:divBdr>
        <w:top w:val="none" w:sz="0" w:space="0" w:color="auto"/>
        <w:left w:val="none" w:sz="0" w:space="0" w:color="auto"/>
        <w:bottom w:val="none" w:sz="0" w:space="0" w:color="auto"/>
        <w:right w:val="none" w:sz="0" w:space="0" w:color="auto"/>
      </w:divBdr>
    </w:div>
    <w:div w:id="395711068">
      <w:bodyDiv w:val="1"/>
      <w:marLeft w:val="0"/>
      <w:marRight w:val="0"/>
      <w:marTop w:val="0"/>
      <w:marBottom w:val="0"/>
      <w:divBdr>
        <w:top w:val="none" w:sz="0" w:space="0" w:color="auto"/>
        <w:left w:val="none" w:sz="0" w:space="0" w:color="auto"/>
        <w:bottom w:val="none" w:sz="0" w:space="0" w:color="auto"/>
        <w:right w:val="none" w:sz="0" w:space="0" w:color="auto"/>
      </w:divBdr>
    </w:div>
    <w:div w:id="400711386">
      <w:bodyDiv w:val="1"/>
      <w:marLeft w:val="0"/>
      <w:marRight w:val="0"/>
      <w:marTop w:val="0"/>
      <w:marBottom w:val="0"/>
      <w:divBdr>
        <w:top w:val="none" w:sz="0" w:space="0" w:color="auto"/>
        <w:left w:val="none" w:sz="0" w:space="0" w:color="auto"/>
        <w:bottom w:val="none" w:sz="0" w:space="0" w:color="auto"/>
        <w:right w:val="none" w:sz="0" w:space="0" w:color="auto"/>
      </w:divBdr>
    </w:div>
    <w:div w:id="439491124">
      <w:bodyDiv w:val="1"/>
      <w:marLeft w:val="0"/>
      <w:marRight w:val="0"/>
      <w:marTop w:val="0"/>
      <w:marBottom w:val="0"/>
      <w:divBdr>
        <w:top w:val="none" w:sz="0" w:space="0" w:color="auto"/>
        <w:left w:val="none" w:sz="0" w:space="0" w:color="auto"/>
        <w:bottom w:val="none" w:sz="0" w:space="0" w:color="auto"/>
        <w:right w:val="none" w:sz="0" w:space="0" w:color="auto"/>
      </w:divBdr>
    </w:div>
    <w:div w:id="520316287">
      <w:bodyDiv w:val="1"/>
      <w:marLeft w:val="0"/>
      <w:marRight w:val="0"/>
      <w:marTop w:val="0"/>
      <w:marBottom w:val="0"/>
      <w:divBdr>
        <w:top w:val="none" w:sz="0" w:space="0" w:color="auto"/>
        <w:left w:val="none" w:sz="0" w:space="0" w:color="auto"/>
        <w:bottom w:val="none" w:sz="0" w:space="0" w:color="auto"/>
        <w:right w:val="none" w:sz="0" w:space="0" w:color="auto"/>
      </w:divBdr>
    </w:div>
    <w:div w:id="548348522">
      <w:bodyDiv w:val="1"/>
      <w:marLeft w:val="0"/>
      <w:marRight w:val="0"/>
      <w:marTop w:val="0"/>
      <w:marBottom w:val="0"/>
      <w:divBdr>
        <w:top w:val="none" w:sz="0" w:space="0" w:color="auto"/>
        <w:left w:val="none" w:sz="0" w:space="0" w:color="auto"/>
        <w:bottom w:val="none" w:sz="0" w:space="0" w:color="auto"/>
        <w:right w:val="none" w:sz="0" w:space="0" w:color="auto"/>
      </w:divBdr>
    </w:div>
    <w:div w:id="568882595">
      <w:bodyDiv w:val="1"/>
      <w:marLeft w:val="0"/>
      <w:marRight w:val="0"/>
      <w:marTop w:val="0"/>
      <w:marBottom w:val="0"/>
      <w:divBdr>
        <w:top w:val="none" w:sz="0" w:space="0" w:color="auto"/>
        <w:left w:val="none" w:sz="0" w:space="0" w:color="auto"/>
        <w:bottom w:val="none" w:sz="0" w:space="0" w:color="auto"/>
        <w:right w:val="none" w:sz="0" w:space="0" w:color="auto"/>
      </w:divBdr>
    </w:div>
    <w:div w:id="606352156">
      <w:bodyDiv w:val="1"/>
      <w:marLeft w:val="0"/>
      <w:marRight w:val="0"/>
      <w:marTop w:val="0"/>
      <w:marBottom w:val="0"/>
      <w:divBdr>
        <w:top w:val="none" w:sz="0" w:space="0" w:color="auto"/>
        <w:left w:val="none" w:sz="0" w:space="0" w:color="auto"/>
        <w:bottom w:val="none" w:sz="0" w:space="0" w:color="auto"/>
        <w:right w:val="none" w:sz="0" w:space="0" w:color="auto"/>
      </w:divBdr>
    </w:div>
    <w:div w:id="737829508">
      <w:bodyDiv w:val="1"/>
      <w:marLeft w:val="0"/>
      <w:marRight w:val="0"/>
      <w:marTop w:val="0"/>
      <w:marBottom w:val="0"/>
      <w:divBdr>
        <w:top w:val="none" w:sz="0" w:space="0" w:color="auto"/>
        <w:left w:val="none" w:sz="0" w:space="0" w:color="auto"/>
        <w:bottom w:val="none" w:sz="0" w:space="0" w:color="auto"/>
        <w:right w:val="none" w:sz="0" w:space="0" w:color="auto"/>
      </w:divBdr>
    </w:div>
    <w:div w:id="774130752">
      <w:bodyDiv w:val="1"/>
      <w:marLeft w:val="0"/>
      <w:marRight w:val="0"/>
      <w:marTop w:val="0"/>
      <w:marBottom w:val="0"/>
      <w:divBdr>
        <w:top w:val="none" w:sz="0" w:space="0" w:color="auto"/>
        <w:left w:val="none" w:sz="0" w:space="0" w:color="auto"/>
        <w:bottom w:val="none" w:sz="0" w:space="0" w:color="auto"/>
        <w:right w:val="none" w:sz="0" w:space="0" w:color="auto"/>
      </w:divBdr>
    </w:div>
    <w:div w:id="789665907">
      <w:bodyDiv w:val="1"/>
      <w:marLeft w:val="0"/>
      <w:marRight w:val="0"/>
      <w:marTop w:val="0"/>
      <w:marBottom w:val="0"/>
      <w:divBdr>
        <w:top w:val="none" w:sz="0" w:space="0" w:color="auto"/>
        <w:left w:val="none" w:sz="0" w:space="0" w:color="auto"/>
        <w:bottom w:val="none" w:sz="0" w:space="0" w:color="auto"/>
        <w:right w:val="none" w:sz="0" w:space="0" w:color="auto"/>
      </w:divBdr>
    </w:div>
    <w:div w:id="809785134">
      <w:bodyDiv w:val="1"/>
      <w:marLeft w:val="0"/>
      <w:marRight w:val="0"/>
      <w:marTop w:val="0"/>
      <w:marBottom w:val="0"/>
      <w:divBdr>
        <w:top w:val="none" w:sz="0" w:space="0" w:color="auto"/>
        <w:left w:val="none" w:sz="0" w:space="0" w:color="auto"/>
        <w:bottom w:val="none" w:sz="0" w:space="0" w:color="auto"/>
        <w:right w:val="none" w:sz="0" w:space="0" w:color="auto"/>
      </w:divBdr>
    </w:div>
    <w:div w:id="994576604">
      <w:bodyDiv w:val="1"/>
      <w:marLeft w:val="0"/>
      <w:marRight w:val="0"/>
      <w:marTop w:val="0"/>
      <w:marBottom w:val="0"/>
      <w:divBdr>
        <w:top w:val="none" w:sz="0" w:space="0" w:color="auto"/>
        <w:left w:val="none" w:sz="0" w:space="0" w:color="auto"/>
        <w:bottom w:val="none" w:sz="0" w:space="0" w:color="auto"/>
        <w:right w:val="none" w:sz="0" w:space="0" w:color="auto"/>
      </w:divBdr>
    </w:div>
    <w:div w:id="1021861168">
      <w:bodyDiv w:val="1"/>
      <w:marLeft w:val="0"/>
      <w:marRight w:val="0"/>
      <w:marTop w:val="0"/>
      <w:marBottom w:val="0"/>
      <w:divBdr>
        <w:top w:val="none" w:sz="0" w:space="0" w:color="auto"/>
        <w:left w:val="none" w:sz="0" w:space="0" w:color="auto"/>
        <w:bottom w:val="none" w:sz="0" w:space="0" w:color="auto"/>
        <w:right w:val="none" w:sz="0" w:space="0" w:color="auto"/>
      </w:divBdr>
    </w:div>
    <w:div w:id="1129014080">
      <w:bodyDiv w:val="1"/>
      <w:marLeft w:val="0"/>
      <w:marRight w:val="0"/>
      <w:marTop w:val="0"/>
      <w:marBottom w:val="0"/>
      <w:divBdr>
        <w:top w:val="none" w:sz="0" w:space="0" w:color="auto"/>
        <w:left w:val="none" w:sz="0" w:space="0" w:color="auto"/>
        <w:bottom w:val="none" w:sz="0" w:space="0" w:color="auto"/>
        <w:right w:val="none" w:sz="0" w:space="0" w:color="auto"/>
      </w:divBdr>
    </w:div>
    <w:div w:id="1271935518">
      <w:bodyDiv w:val="1"/>
      <w:marLeft w:val="0"/>
      <w:marRight w:val="0"/>
      <w:marTop w:val="0"/>
      <w:marBottom w:val="0"/>
      <w:divBdr>
        <w:top w:val="none" w:sz="0" w:space="0" w:color="auto"/>
        <w:left w:val="none" w:sz="0" w:space="0" w:color="auto"/>
        <w:bottom w:val="none" w:sz="0" w:space="0" w:color="auto"/>
        <w:right w:val="none" w:sz="0" w:space="0" w:color="auto"/>
      </w:divBdr>
    </w:div>
    <w:div w:id="1367171559">
      <w:bodyDiv w:val="1"/>
      <w:marLeft w:val="0"/>
      <w:marRight w:val="0"/>
      <w:marTop w:val="0"/>
      <w:marBottom w:val="0"/>
      <w:divBdr>
        <w:top w:val="none" w:sz="0" w:space="0" w:color="auto"/>
        <w:left w:val="none" w:sz="0" w:space="0" w:color="auto"/>
        <w:bottom w:val="none" w:sz="0" w:space="0" w:color="auto"/>
        <w:right w:val="none" w:sz="0" w:space="0" w:color="auto"/>
      </w:divBdr>
    </w:div>
    <w:div w:id="1518034875">
      <w:bodyDiv w:val="1"/>
      <w:marLeft w:val="0"/>
      <w:marRight w:val="0"/>
      <w:marTop w:val="0"/>
      <w:marBottom w:val="0"/>
      <w:divBdr>
        <w:top w:val="none" w:sz="0" w:space="0" w:color="auto"/>
        <w:left w:val="none" w:sz="0" w:space="0" w:color="auto"/>
        <w:bottom w:val="none" w:sz="0" w:space="0" w:color="auto"/>
        <w:right w:val="none" w:sz="0" w:space="0" w:color="auto"/>
      </w:divBdr>
    </w:div>
    <w:div w:id="1542595527">
      <w:bodyDiv w:val="1"/>
      <w:marLeft w:val="0"/>
      <w:marRight w:val="0"/>
      <w:marTop w:val="0"/>
      <w:marBottom w:val="0"/>
      <w:divBdr>
        <w:top w:val="none" w:sz="0" w:space="0" w:color="auto"/>
        <w:left w:val="none" w:sz="0" w:space="0" w:color="auto"/>
        <w:bottom w:val="none" w:sz="0" w:space="0" w:color="auto"/>
        <w:right w:val="none" w:sz="0" w:space="0" w:color="auto"/>
      </w:divBdr>
    </w:div>
    <w:div w:id="1775131122">
      <w:bodyDiv w:val="1"/>
      <w:marLeft w:val="0"/>
      <w:marRight w:val="0"/>
      <w:marTop w:val="0"/>
      <w:marBottom w:val="0"/>
      <w:divBdr>
        <w:top w:val="none" w:sz="0" w:space="0" w:color="auto"/>
        <w:left w:val="none" w:sz="0" w:space="0" w:color="auto"/>
        <w:bottom w:val="none" w:sz="0" w:space="0" w:color="auto"/>
        <w:right w:val="none" w:sz="0" w:space="0" w:color="auto"/>
      </w:divBdr>
    </w:div>
    <w:div w:id="1779134862">
      <w:bodyDiv w:val="1"/>
      <w:marLeft w:val="0"/>
      <w:marRight w:val="0"/>
      <w:marTop w:val="0"/>
      <w:marBottom w:val="0"/>
      <w:divBdr>
        <w:top w:val="none" w:sz="0" w:space="0" w:color="auto"/>
        <w:left w:val="none" w:sz="0" w:space="0" w:color="auto"/>
        <w:bottom w:val="none" w:sz="0" w:space="0" w:color="auto"/>
        <w:right w:val="none" w:sz="0" w:space="0" w:color="auto"/>
      </w:divBdr>
    </w:div>
    <w:div w:id="1791511453">
      <w:bodyDiv w:val="1"/>
      <w:marLeft w:val="0"/>
      <w:marRight w:val="0"/>
      <w:marTop w:val="0"/>
      <w:marBottom w:val="0"/>
      <w:divBdr>
        <w:top w:val="none" w:sz="0" w:space="0" w:color="auto"/>
        <w:left w:val="none" w:sz="0" w:space="0" w:color="auto"/>
        <w:bottom w:val="none" w:sz="0" w:space="0" w:color="auto"/>
        <w:right w:val="none" w:sz="0" w:space="0" w:color="auto"/>
      </w:divBdr>
    </w:div>
    <w:div w:id="21212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465</TotalTime>
  <Pages>8</Pages>
  <Words>2253</Words>
  <Characters>12848</Characters>
  <Application>Microsoft Office Word</Application>
  <DocSecurity>0</DocSecurity>
  <Lines>107</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Andrijevskaja</dc:creator>
  <cp:keywords/>
  <dc:description/>
  <cp:lastModifiedBy>Žygimantas Norkus</cp:lastModifiedBy>
  <cp:revision>10</cp:revision>
  <dcterms:created xsi:type="dcterms:W3CDTF">2025-07-03T05:54:00Z</dcterms:created>
  <dcterms:modified xsi:type="dcterms:W3CDTF">2025-07-15T13:01:00Z</dcterms:modified>
</cp:coreProperties>
</file>