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FB80" w14:textId="7F385871" w:rsidR="005D1705" w:rsidRPr="00F5741F" w:rsidRDefault="00A22C49" w:rsidP="00850983">
      <w:r w:rsidRPr="00F5741F">
        <w:t>Suinteresuotiems tiekėjams</w:t>
      </w:r>
      <w:r w:rsidR="005D1705" w:rsidRPr="00F5741F">
        <w:t xml:space="preserve">, </w:t>
      </w:r>
    </w:p>
    <w:p w14:paraId="47A0C909" w14:textId="63FACBF8" w:rsidR="00BF7076" w:rsidRPr="00F5741F" w:rsidRDefault="003473ED" w:rsidP="00BF7076">
      <w:pPr>
        <w:jc w:val="both"/>
        <w:rPr>
          <w:szCs w:val="24"/>
          <w:lang w:eastAsia="lt-LT"/>
        </w:rPr>
      </w:pPr>
      <w:r w:rsidRPr="00F5741F">
        <w:rPr>
          <w:szCs w:val="24"/>
          <w:lang w:eastAsia="lt-LT"/>
        </w:rPr>
        <w:t>pirkimo Nr. 3525082</w:t>
      </w:r>
    </w:p>
    <w:p w14:paraId="75789BD9" w14:textId="77777777" w:rsidR="00850983" w:rsidRPr="00F5741F" w:rsidRDefault="00850983" w:rsidP="00850983"/>
    <w:p w14:paraId="228897FB" w14:textId="77777777" w:rsidR="00F5741F" w:rsidRPr="00F5741F" w:rsidRDefault="00F5741F" w:rsidP="00850983"/>
    <w:p w14:paraId="068D3B6E" w14:textId="1FB294B1" w:rsidR="00D83A43" w:rsidRPr="00F5741F" w:rsidRDefault="00902288" w:rsidP="00850983">
      <w:pPr>
        <w:jc w:val="both"/>
        <w:rPr>
          <w:b/>
          <w:bCs/>
        </w:rPr>
      </w:pPr>
      <w:r w:rsidRPr="00F5741F">
        <w:rPr>
          <w:b/>
          <w:bCs/>
        </w:rPr>
        <w:t>DĖL PRETENZIJOS IŠNAGRINĖJIMO IR PASIŪLYMŲ PATEIKIMO TERMINO</w:t>
      </w:r>
      <w:r w:rsidR="00DF6D2C" w:rsidRPr="00F5741F">
        <w:rPr>
          <w:b/>
          <w:bCs/>
        </w:rPr>
        <w:t xml:space="preserve"> </w:t>
      </w:r>
      <w:r w:rsidR="004D2B32" w:rsidRPr="00F5741F">
        <w:rPr>
          <w:b/>
          <w:bCs/>
        </w:rPr>
        <w:t xml:space="preserve">PRATĘSIMO </w:t>
      </w:r>
      <w:r w:rsidR="00D83A43" w:rsidRPr="00F5741F">
        <w:rPr>
          <w:b/>
          <w:bCs/>
        </w:rPr>
        <w:t xml:space="preserve">(PIRKIMO NUMERIS </w:t>
      </w:r>
      <w:r w:rsidR="007F1739" w:rsidRPr="00F5741F">
        <w:rPr>
          <w:b/>
          <w:bCs/>
        </w:rPr>
        <w:t>3525082</w:t>
      </w:r>
      <w:r w:rsidR="00D83A43" w:rsidRPr="00F5741F">
        <w:rPr>
          <w:b/>
          <w:bCs/>
        </w:rPr>
        <w:t>)</w:t>
      </w:r>
    </w:p>
    <w:p w14:paraId="3EB31051" w14:textId="77777777" w:rsidR="002263D1" w:rsidRPr="00F5741F" w:rsidRDefault="002263D1" w:rsidP="00850983">
      <w:pPr>
        <w:rPr>
          <w:b/>
          <w:bCs/>
        </w:rPr>
      </w:pPr>
    </w:p>
    <w:p w14:paraId="149346B6" w14:textId="77777777" w:rsidR="00F5741F" w:rsidRPr="00F5741F" w:rsidRDefault="00F5741F" w:rsidP="00850983">
      <w:pPr>
        <w:rPr>
          <w:b/>
          <w:bCs/>
        </w:rPr>
      </w:pPr>
    </w:p>
    <w:p w14:paraId="6A6E5FAE" w14:textId="3CEC8E12" w:rsidR="009D0DA8" w:rsidRPr="00F5741F" w:rsidRDefault="003D7405" w:rsidP="00850983">
      <w:pPr>
        <w:ind w:firstLine="1134"/>
        <w:jc w:val="both"/>
      </w:pPr>
      <w:r w:rsidRPr="00F5741F">
        <w:t>Informuojame</w:t>
      </w:r>
      <w:r w:rsidR="000158A5" w:rsidRPr="00F5741F">
        <w:t xml:space="preserve"> </w:t>
      </w:r>
      <w:r w:rsidR="004A4094" w:rsidRPr="00F5741F">
        <w:t>apie</w:t>
      </w:r>
      <w:r w:rsidRPr="00F5741F">
        <w:t xml:space="preserve"> </w:t>
      </w:r>
      <w:r w:rsidR="00B67DCF" w:rsidRPr="00F5741F">
        <w:t xml:space="preserve">Alkos II tvenkinio Druskininkuose biologinės įvairovės tyrimų, rekomendacijų parengimo ir jų vykdymo priežiūros </w:t>
      </w:r>
      <w:r w:rsidR="002F6CCA" w:rsidRPr="00F5741F">
        <w:t>pirkimui (toliau – Pirkimas) 2025 m. liepos 14 d. pateiktos pretenzijos (toliau – Pretenzija) išnagrinėjimą ir priimtus sprendimus</w:t>
      </w:r>
      <w:r w:rsidR="00682FCC" w:rsidRPr="00F5741F">
        <w:t>.</w:t>
      </w:r>
    </w:p>
    <w:p w14:paraId="67020726" w14:textId="77777777" w:rsidR="00375DAA" w:rsidRPr="00F5741F" w:rsidRDefault="00375DAA" w:rsidP="00850983">
      <w:pPr>
        <w:ind w:firstLine="1134"/>
        <w:jc w:val="both"/>
      </w:pPr>
    </w:p>
    <w:p w14:paraId="27D3BA42" w14:textId="09B8B3F9" w:rsidR="00375DAA" w:rsidRPr="00F5741F" w:rsidRDefault="00375DAA" w:rsidP="00850983">
      <w:pPr>
        <w:ind w:firstLine="1134"/>
        <w:rPr>
          <w:b/>
          <w:i/>
          <w:szCs w:val="24"/>
        </w:rPr>
      </w:pPr>
      <w:r w:rsidRPr="00F5741F">
        <w:rPr>
          <w:b/>
          <w:i/>
          <w:szCs w:val="24"/>
        </w:rPr>
        <w:t>2025 m. liepos 14 d. Pretenzijoje pareikšti reikalavimai</w:t>
      </w:r>
      <w:r w:rsidR="00DC48B8" w:rsidRPr="00F5741F">
        <w:rPr>
          <w:b/>
          <w:i/>
          <w:szCs w:val="24"/>
        </w:rPr>
        <w:t>:</w:t>
      </w:r>
      <w:r w:rsidRPr="00F5741F">
        <w:rPr>
          <w:b/>
          <w:i/>
          <w:szCs w:val="24"/>
        </w:rPr>
        <w:t xml:space="preserve"> </w:t>
      </w:r>
    </w:p>
    <w:p w14:paraId="05F6C1B4" w14:textId="77777777" w:rsidR="005E0841" w:rsidRPr="00F5741F" w:rsidRDefault="005E0841" w:rsidP="00850983">
      <w:pPr>
        <w:ind w:firstLine="1134"/>
        <w:jc w:val="both"/>
      </w:pPr>
      <w:r w:rsidRPr="00F5741F">
        <w:t xml:space="preserve">1. Nedelsiant sustabdyti pirkimo procedūras iki bus išnagrinėta ši pretenzija; </w:t>
      </w:r>
    </w:p>
    <w:p w14:paraId="36A1F817" w14:textId="77777777" w:rsidR="005E0841" w:rsidRPr="00F5741F" w:rsidRDefault="005E0841" w:rsidP="00850983">
      <w:pPr>
        <w:ind w:firstLine="1134"/>
        <w:jc w:val="both"/>
      </w:pPr>
      <w:r w:rsidRPr="00F5741F">
        <w:t xml:space="preserve">2. Pateikti UAB „Inžinerinis projektavimas“ parengtą dokumentą, kuris yra būtinas tinkamam pasiūlymo kainos įvertinimui; </w:t>
      </w:r>
    </w:p>
    <w:p w14:paraId="58897201" w14:textId="77777777" w:rsidR="005E0841" w:rsidRPr="00F5741F" w:rsidRDefault="005E0841" w:rsidP="00850983">
      <w:pPr>
        <w:ind w:firstLine="1134"/>
        <w:jc w:val="both"/>
      </w:pPr>
      <w:r w:rsidRPr="00F5741F">
        <w:t xml:space="preserve">3. Pratęsti pasiūlymų pateikimo terminą bent iki 2025-07-18, kad tiekėjai turėtų pakankamai laiko pasirengti; </w:t>
      </w:r>
    </w:p>
    <w:p w14:paraId="2856F5F7" w14:textId="7EB74971" w:rsidR="005E0841" w:rsidRPr="00F5741F" w:rsidRDefault="005E0841" w:rsidP="00850983">
      <w:pPr>
        <w:ind w:firstLine="1134"/>
        <w:jc w:val="both"/>
        <w:rPr>
          <w:b/>
          <w:i/>
          <w:szCs w:val="24"/>
        </w:rPr>
      </w:pPr>
      <w:r w:rsidRPr="00F5741F">
        <w:t>4. Pateikti motyvuotą atsakymą dėl pretenzijoje išdėstytų motyvų, vadovaujantis VPĮ 102 straipsnio 3 dalimi.</w:t>
      </w:r>
    </w:p>
    <w:p w14:paraId="4211F1F0" w14:textId="77777777" w:rsidR="00CA26C4" w:rsidRPr="00F5741F" w:rsidRDefault="00CA26C4" w:rsidP="00850983">
      <w:pPr>
        <w:ind w:firstLine="1134"/>
        <w:jc w:val="both"/>
      </w:pPr>
    </w:p>
    <w:p w14:paraId="17A68BF4" w14:textId="40885EE8" w:rsidR="00961A90" w:rsidRPr="00F5741F" w:rsidRDefault="00F57165" w:rsidP="00850983">
      <w:pPr>
        <w:ind w:firstLine="1134"/>
        <w:rPr>
          <w:b/>
          <w:i/>
          <w:szCs w:val="24"/>
        </w:rPr>
      </w:pPr>
      <w:r w:rsidRPr="00F5741F">
        <w:rPr>
          <w:b/>
          <w:i/>
          <w:szCs w:val="24"/>
        </w:rPr>
        <w:t>Tiekėjo motyvai:</w:t>
      </w:r>
    </w:p>
    <w:p w14:paraId="277CF39B" w14:textId="1FCEA196" w:rsidR="00CA26C4" w:rsidRPr="00F5741F" w:rsidRDefault="001F4042" w:rsidP="00850983">
      <w:pPr>
        <w:ind w:firstLine="1134"/>
        <w:jc w:val="both"/>
      </w:pPr>
      <w:r w:rsidRPr="00F5741F">
        <w:t>Prie Pirkimo dokumentų nėra pateiktas UAB „Inžinerinis projektavimas“ parengtas „Druskininkų mieste, Alkos parke esančio Alkos II vandens telkinio valymo aprašas“, tačiau reikalaujama įvertinti tvenkinio valymo priežiūros paslaugas. Tiekėjui nematant, kokie konkretūs sprendiniai numatyti minėtame apraše, sunku įvertinti valymo priežiūros kainą, juolab, kad minėtas aprašas bus pagrindinis dokumentas, kuriuo turės vadovautis tiekėjas ir darbų rangovas.</w:t>
      </w:r>
    </w:p>
    <w:p w14:paraId="5C8AEC4D" w14:textId="77777777" w:rsidR="00634A53" w:rsidRPr="00F5741F" w:rsidRDefault="00634A53" w:rsidP="00850983">
      <w:pPr>
        <w:ind w:firstLine="1134"/>
        <w:jc w:val="both"/>
      </w:pPr>
    </w:p>
    <w:p w14:paraId="3734A87C" w14:textId="77777777" w:rsidR="004D2B32" w:rsidRPr="00F5741F" w:rsidRDefault="002F1E31" w:rsidP="004D2B32">
      <w:pPr>
        <w:ind w:firstLine="1134"/>
        <w:jc w:val="both"/>
        <w:rPr>
          <w:b/>
          <w:bCs/>
          <w:i/>
          <w:iCs/>
          <w:szCs w:val="24"/>
        </w:rPr>
      </w:pPr>
      <w:r w:rsidRPr="00F5741F">
        <w:rPr>
          <w:b/>
          <w:bCs/>
          <w:i/>
          <w:iCs/>
          <w:szCs w:val="24"/>
        </w:rPr>
        <w:t>Perkančiosios organizacijos atsakymas:</w:t>
      </w:r>
    </w:p>
    <w:p w14:paraId="422DE6E6" w14:textId="740D80BC" w:rsidR="004D2B32" w:rsidRPr="00F5741F" w:rsidRDefault="004D2B32" w:rsidP="004D2B32">
      <w:pPr>
        <w:ind w:firstLine="1134"/>
        <w:jc w:val="both"/>
        <w:rPr>
          <w:spacing w:val="2"/>
        </w:rPr>
      </w:pPr>
      <w:r w:rsidRPr="00F5741F">
        <w:rPr>
          <w:szCs w:val="24"/>
        </w:rPr>
        <w:t>1.</w:t>
      </w:r>
      <w:r w:rsidRPr="00F5741F">
        <w:rPr>
          <w:b/>
          <w:bCs/>
          <w:i/>
          <w:iCs/>
          <w:szCs w:val="24"/>
        </w:rPr>
        <w:t xml:space="preserve"> </w:t>
      </w:r>
      <w:r w:rsidRPr="00F5741F">
        <w:rPr>
          <w:spacing w:val="2"/>
        </w:rPr>
        <w:t xml:space="preserve">Nuo 2023 m. sausio 1 d. pasikeitus įstatymui Lietuvos Respublikos viešųjų pirkimų įstatymo 103 straipsnio 2 dalyje nebeliko reikalavimo stabdyti pirkimo procedūras iki bus išnagrinėta pretenzija, </w:t>
      </w:r>
      <w:r w:rsidR="00F4017E" w:rsidRPr="00F5741F">
        <w:rPr>
          <w:spacing w:val="2"/>
        </w:rPr>
        <w:t xml:space="preserve">todėl </w:t>
      </w:r>
      <w:r w:rsidRPr="00F5741F">
        <w:rPr>
          <w:spacing w:val="2"/>
        </w:rPr>
        <w:t>pirkimuose, kurių procedūros pradėtos nuo 2023 m. sausio 1 d.  pirkimo procedūr</w:t>
      </w:r>
      <w:r w:rsidR="00F4017E" w:rsidRPr="00F5741F">
        <w:rPr>
          <w:spacing w:val="2"/>
        </w:rPr>
        <w:t xml:space="preserve">os nestabdomos. </w:t>
      </w:r>
    </w:p>
    <w:p w14:paraId="0CDB1937" w14:textId="49A0088E" w:rsidR="004D2B32" w:rsidRDefault="00F4017E" w:rsidP="00F4017E">
      <w:pPr>
        <w:ind w:firstLine="1134"/>
        <w:jc w:val="both"/>
        <w:rPr>
          <w:spacing w:val="2"/>
        </w:rPr>
      </w:pPr>
      <w:r w:rsidRPr="00F5741F">
        <w:rPr>
          <w:spacing w:val="2"/>
        </w:rPr>
        <w:t>B</w:t>
      </w:r>
      <w:r w:rsidR="004D2B32" w:rsidRPr="00F5741F">
        <w:rPr>
          <w:spacing w:val="2"/>
        </w:rPr>
        <w:t>et kuriuo atveju, Perkančioji organizacija, gavusi pretenziją, sudaro pirkimo sutartį ar preliminariąją sutartį ne</w:t>
      </w:r>
      <w:r w:rsidRPr="00F5741F">
        <w:rPr>
          <w:spacing w:val="2"/>
        </w:rPr>
        <w:t xml:space="preserve"> </w:t>
      </w:r>
      <w:r w:rsidR="004D2B32" w:rsidRPr="00F5741F">
        <w:rPr>
          <w:spacing w:val="2"/>
        </w:rPr>
        <w:t>anksčiau kaip po 10 dienų (supaprastintų pirkimų atveju –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 </w:t>
      </w:r>
    </w:p>
    <w:p w14:paraId="6141F3AD" w14:textId="77777777" w:rsidR="00F5741F" w:rsidRPr="00F5741F" w:rsidRDefault="00F5741F" w:rsidP="00F4017E">
      <w:pPr>
        <w:ind w:firstLine="1134"/>
        <w:jc w:val="both"/>
        <w:rPr>
          <w:b/>
          <w:bCs/>
          <w:i/>
          <w:iCs/>
          <w:szCs w:val="24"/>
        </w:rPr>
      </w:pPr>
    </w:p>
    <w:p w14:paraId="7DEDEC41" w14:textId="6241D52D" w:rsidR="00D6629F" w:rsidRPr="00F5741F" w:rsidRDefault="00F4017E" w:rsidP="00850983">
      <w:pPr>
        <w:ind w:firstLine="1134"/>
        <w:jc w:val="both"/>
        <w:rPr>
          <w:szCs w:val="24"/>
        </w:rPr>
      </w:pPr>
      <w:r w:rsidRPr="00F5741F">
        <w:rPr>
          <w:szCs w:val="24"/>
        </w:rPr>
        <w:t xml:space="preserve">2. </w:t>
      </w:r>
      <w:r w:rsidR="00406D76" w:rsidRPr="00F5741F">
        <w:rPr>
          <w:szCs w:val="24"/>
        </w:rPr>
        <w:t xml:space="preserve">Tiekėjas nepagrįstai teigia, kad iš jo reikalaujama įvertinti tvenkinio valymo priežiūros paslaugas. Šiuo Pirkimu </w:t>
      </w:r>
      <w:r w:rsidR="00406D76" w:rsidRPr="00F5741F">
        <w:rPr>
          <w:b/>
          <w:bCs/>
          <w:szCs w:val="24"/>
        </w:rPr>
        <w:t>nėra</w:t>
      </w:r>
      <w:r w:rsidR="00406D76" w:rsidRPr="00F5741F">
        <w:rPr>
          <w:szCs w:val="24"/>
        </w:rPr>
        <w:t xml:space="preserve"> perkamos </w:t>
      </w:r>
      <w:r w:rsidR="00406D76" w:rsidRPr="00F5741F">
        <w:rPr>
          <w:b/>
          <w:bCs/>
          <w:szCs w:val="24"/>
        </w:rPr>
        <w:t>Tvenkinio valymo priežiūros paslaugos</w:t>
      </w:r>
      <w:r w:rsidR="00406D76" w:rsidRPr="00F5741F">
        <w:rPr>
          <w:szCs w:val="24"/>
        </w:rPr>
        <w:t xml:space="preserve">. Tiekėjas neturės dubliuoti techninės priežiūros ir projekto vykdymo priežiūros paslaugų. Šiuo pirkimu perkami bioįvairovės tyrimų, rekomendacijų parengimo ir jų vykdymo priežiūros paslaugos Alkos II tvenkinio valymo metu. Tiekėjas tvenkinio valymo metu turės prižiūrėti, kaip laikomasi jo pateiktų rekomendacijų – kaip užtikrinamos rekomendacijose numatytos </w:t>
      </w:r>
      <w:proofErr w:type="spellStart"/>
      <w:r w:rsidR="00406D76" w:rsidRPr="00F5741F">
        <w:rPr>
          <w:szCs w:val="24"/>
        </w:rPr>
        <w:t>ichtiofaunos</w:t>
      </w:r>
      <w:proofErr w:type="spellEnd"/>
      <w:r w:rsidR="00406D76" w:rsidRPr="00F5741F">
        <w:rPr>
          <w:szCs w:val="24"/>
        </w:rPr>
        <w:t xml:space="preserve">, </w:t>
      </w:r>
      <w:proofErr w:type="spellStart"/>
      <w:r w:rsidR="00406D76" w:rsidRPr="00F5741F">
        <w:rPr>
          <w:szCs w:val="24"/>
        </w:rPr>
        <w:t>zoobentoso</w:t>
      </w:r>
      <w:proofErr w:type="spellEnd"/>
      <w:r w:rsidR="00406D76" w:rsidRPr="00F5741F">
        <w:rPr>
          <w:szCs w:val="24"/>
        </w:rPr>
        <w:t xml:space="preserve"> ir vandens floros išsaugojimo priemonės.</w:t>
      </w:r>
    </w:p>
    <w:p w14:paraId="6FB9730C" w14:textId="77777777" w:rsidR="004716E5" w:rsidRPr="00F5741F" w:rsidRDefault="004716E5" w:rsidP="00850983">
      <w:pPr>
        <w:ind w:firstLine="1134"/>
        <w:jc w:val="both"/>
        <w:rPr>
          <w:szCs w:val="24"/>
        </w:rPr>
      </w:pPr>
    </w:p>
    <w:p w14:paraId="3F5DA7C0" w14:textId="51F1A326" w:rsidR="00AA14C6" w:rsidRPr="00F5741F" w:rsidRDefault="00F4017E" w:rsidP="00850983">
      <w:pPr>
        <w:ind w:firstLine="1134"/>
        <w:jc w:val="both"/>
        <w:rPr>
          <w:b/>
          <w:bCs/>
          <w:i/>
          <w:iCs/>
          <w:szCs w:val="24"/>
        </w:rPr>
      </w:pPr>
      <w:r w:rsidRPr="00F5741F">
        <w:rPr>
          <w:b/>
          <w:bCs/>
          <w:i/>
          <w:iCs/>
          <w:szCs w:val="24"/>
        </w:rPr>
        <w:t xml:space="preserve">3. </w:t>
      </w:r>
      <w:r w:rsidR="00573D5D" w:rsidRPr="00F5741F">
        <w:rPr>
          <w:b/>
          <w:bCs/>
          <w:i/>
          <w:iCs/>
          <w:szCs w:val="24"/>
        </w:rPr>
        <w:t>Perkančioji organizacija</w:t>
      </w:r>
      <w:r w:rsidR="008F5CB0" w:rsidRPr="00F5741F">
        <w:rPr>
          <w:b/>
          <w:bCs/>
          <w:i/>
          <w:iCs/>
          <w:szCs w:val="24"/>
        </w:rPr>
        <w:t xml:space="preserve">, siekdama konstruktyvaus viešųjų pirkimų proceso ir kad visos su pirkimu susijusios sąlygos būtų vienodai aiškios ir suprantamos visiems pirkimo dalyviams, </w:t>
      </w:r>
      <w:r w:rsidR="00573D5D" w:rsidRPr="00F5741F">
        <w:rPr>
          <w:b/>
          <w:bCs/>
          <w:i/>
          <w:iCs/>
          <w:szCs w:val="24"/>
        </w:rPr>
        <w:t>prideda</w:t>
      </w:r>
      <w:r w:rsidR="00720082" w:rsidRPr="00F5741F">
        <w:rPr>
          <w:b/>
          <w:bCs/>
          <w:i/>
          <w:iCs/>
          <w:szCs w:val="24"/>
        </w:rPr>
        <w:t xml:space="preserve"> šiuos dokumentus</w:t>
      </w:r>
      <w:r w:rsidR="00F237A8" w:rsidRPr="00F5741F">
        <w:rPr>
          <w:b/>
          <w:bCs/>
          <w:i/>
          <w:iCs/>
          <w:szCs w:val="24"/>
        </w:rPr>
        <w:t>:</w:t>
      </w:r>
      <w:r w:rsidR="00573D5D" w:rsidRPr="00F5741F">
        <w:rPr>
          <w:b/>
          <w:bCs/>
          <w:i/>
          <w:iCs/>
          <w:szCs w:val="24"/>
        </w:rPr>
        <w:t xml:space="preserve"> </w:t>
      </w:r>
    </w:p>
    <w:p w14:paraId="71B89429" w14:textId="610812A1" w:rsidR="00AA14C6" w:rsidRPr="00F5741F" w:rsidRDefault="00E51AA4" w:rsidP="00850983">
      <w:pPr>
        <w:pStyle w:val="Sraopastraipa"/>
        <w:numPr>
          <w:ilvl w:val="0"/>
          <w:numId w:val="1"/>
        </w:numPr>
        <w:tabs>
          <w:tab w:val="left" w:pos="1418"/>
        </w:tabs>
        <w:spacing w:after="0"/>
        <w:ind w:left="0" w:firstLine="1134"/>
        <w:jc w:val="both"/>
        <w:rPr>
          <w:rFonts w:ascii="Times New Roman" w:hAnsi="Times New Roman" w:cs="Times New Roman"/>
          <w:sz w:val="24"/>
          <w:szCs w:val="24"/>
        </w:rPr>
      </w:pPr>
      <w:r w:rsidRPr="00F5741F">
        <w:rPr>
          <w:rFonts w:ascii="Times New Roman" w:hAnsi="Times New Roman" w:cs="Times New Roman"/>
          <w:bCs/>
          <w:sz w:val="24"/>
          <w:szCs w:val="24"/>
        </w:rPr>
        <w:t xml:space="preserve">Alkos II tvenkinio tvarkymo </w:t>
      </w:r>
      <w:r w:rsidR="006B5B54" w:rsidRPr="00F5741F">
        <w:rPr>
          <w:rFonts w:ascii="Times New Roman" w:hAnsi="Times New Roman" w:cs="Times New Roman"/>
          <w:sz w:val="24"/>
          <w:szCs w:val="24"/>
        </w:rPr>
        <w:t>projektą „Druskininkų mieste, Alkos parke esančio Alkos II vandens telkinio valymo aprašas“</w:t>
      </w:r>
      <w:r w:rsidR="00AA14C6" w:rsidRPr="00F5741F">
        <w:rPr>
          <w:rFonts w:ascii="Times New Roman" w:hAnsi="Times New Roman" w:cs="Times New Roman"/>
          <w:sz w:val="24"/>
          <w:szCs w:val="24"/>
        </w:rPr>
        <w:t>;</w:t>
      </w:r>
    </w:p>
    <w:p w14:paraId="2A10C38A" w14:textId="6011F31B" w:rsidR="004D2B32" w:rsidRPr="00F5741F" w:rsidRDefault="0016251E" w:rsidP="004D2B32">
      <w:pPr>
        <w:pStyle w:val="Sraopastraipa"/>
        <w:numPr>
          <w:ilvl w:val="0"/>
          <w:numId w:val="1"/>
        </w:numPr>
        <w:spacing w:after="0"/>
        <w:jc w:val="both"/>
        <w:rPr>
          <w:rFonts w:ascii="Times New Roman" w:hAnsi="Times New Roman" w:cs="Times New Roman"/>
          <w:sz w:val="24"/>
          <w:szCs w:val="24"/>
        </w:rPr>
      </w:pPr>
      <w:r w:rsidRPr="00F5741F">
        <w:rPr>
          <w:rFonts w:ascii="Times New Roman" w:hAnsi="Times New Roman" w:cs="Times New Roman"/>
          <w:bCs/>
          <w:sz w:val="24"/>
          <w:szCs w:val="24"/>
        </w:rPr>
        <w:lastRenderedPageBreak/>
        <w:t>Alkos II-o tvenkinio naudojimo ir priežiūros taisykl</w:t>
      </w:r>
      <w:r w:rsidR="00714D22" w:rsidRPr="00F5741F">
        <w:rPr>
          <w:rFonts w:ascii="Times New Roman" w:hAnsi="Times New Roman" w:cs="Times New Roman"/>
          <w:bCs/>
          <w:sz w:val="24"/>
          <w:szCs w:val="24"/>
        </w:rPr>
        <w:t>e</w:t>
      </w:r>
      <w:r w:rsidRPr="00F5741F">
        <w:rPr>
          <w:rFonts w:ascii="Times New Roman" w:hAnsi="Times New Roman" w:cs="Times New Roman"/>
          <w:bCs/>
          <w:sz w:val="24"/>
          <w:szCs w:val="24"/>
        </w:rPr>
        <w:t>s</w:t>
      </w:r>
      <w:r w:rsidR="003E55FD" w:rsidRPr="00F5741F">
        <w:rPr>
          <w:rFonts w:ascii="Times New Roman" w:hAnsi="Times New Roman" w:cs="Times New Roman"/>
          <w:bCs/>
          <w:sz w:val="24"/>
          <w:szCs w:val="24"/>
        </w:rPr>
        <w:t>.</w:t>
      </w:r>
    </w:p>
    <w:p w14:paraId="2A758293" w14:textId="77777777" w:rsidR="00F4017E" w:rsidRPr="00F5741F" w:rsidRDefault="00F4017E" w:rsidP="004D2B32">
      <w:pPr>
        <w:ind w:firstLine="1276"/>
        <w:jc w:val="both"/>
        <w:rPr>
          <w:szCs w:val="24"/>
        </w:rPr>
      </w:pPr>
    </w:p>
    <w:p w14:paraId="27519135" w14:textId="51BF142A" w:rsidR="004D2B32" w:rsidRPr="00F5741F" w:rsidRDefault="00F4017E" w:rsidP="004D2B32">
      <w:pPr>
        <w:ind w:firstLine="1276"/>
        <w:jc w:val="both"/>
      </w:pPr>
      <w:r w:rsidRPr="00F5741F">
        <w:rPr>
          <w:szCs w:val="24"/>
        </w:rPr>
        <w:t>4. Perkančioji organizacija</w:t>
      </w:r>
      <w:r w:rsidRPr="00F5741F">
        <w:t xml:space="preserve"> t</w:t>
      </w:r>
      <w:r w:rsidR="004D2B32" w:rsidRPr="00F5741F">
        <w:t>aip pat informuoja, kad:</w:t>
      </w:r>
    </w:p>
    <w:p w14:paraId="621E2152" w14:textId="0D6E0B95" w:rsidR="004D2B32" w:rsidRPr="00F5741F" w:rsidRDefault="00F4017E" w:rsidP="004D2B32">
      <w:pPr>
        <w:ind w:firstLine="1276"/>
        <w:jc w:val="both"/>
      </w:pPr>
      <w:r w:rsidRPr="00F5741F">
        <w:t>4.</w:t>
      </w:r>
      <w:r w:rsidR="004D2B32" w:rsidRPr="00F5741F">
        <w:t>1. Tvenkinio valymo paslaugų pradžia – ne anksčiau, kaip 2025 m. liepos 1 d., pabaiga – 2026 m. rugsėjo 30 d. Žuvų neršto ir migracijos, paukščių perėjimo metu, t. y. nuo kovo 15 d. iki liepos 1 d. draudžiama atlikti vandens telkinių tvarkymo darbus. Darbai, kurių šiuo laikotarpiu negalima atlikti, nurodyti Paviršinių vandens telkinių tvarkymo reikalavimų apraše, patvirtintame Lietuvos Respublikos aplinkos ministro 2014 m. gruodžio 16 d. įsakymu Nr. D1-1038 „Dėl paviršinių vandens telkinių tvarkymo reikalavimų aprašo patvirtinimo“. Paslaugų teikimo terminas gali būti pratęstas tik dėl nuo tiekėjo nepriklausančių aplinkybių ir gavus Aplinkos apsaugos agentūros pritarimą, bet ne ilgesniam kaip 6 mėn. laikotarpiui.</w:t>
      </w:r>
    </w:p>
    <w:p w14:paraId="0D53B0C8" w14:textId="03A15FEE" w:rsidR="004D2B32" w:rsidRPr="00F5741F" w:rsidRDefault="00F4017E" w:rsidP="004D2B32">
      <w:pPr>
        <w:ind w:firstLine="1276"/>
        <w:jc w:val="both"/>
        <w:rPr>
          <w:szCs w:val="24"/>
        </w:rPr>
      </w:pPr>
      <w:r w:rsidRPr="00F5741F">
        <w:t xml:space="preserve">4.2. </w:t>
      </w:r>
      <w:r w:rsidR="004D2B32" w:rsidRPr="00F5741F">
        <w:t xml:space="preserve">Elk savivaldybės pateiktų dokumentų vertimą į lietuvių kalbą projekto lėšomis </w:t>
      </w:r>
      <w:r w:rsidR="00A522D7" w:rsidRPr="00F5741F">
        <w:t xml:space="preserve">užtikrins </w:t>
      </w:r>
      <w:r w:rsidR="004D2B32" w:rsidRPr="00F5741F">
        <w:t xml:space="preserve">perkančioji organizacija. </w:t>
      </w:r>
    </w:p>
    <w:p w14:paraId="3F1FAAAC" w14:textId="77777777" w:rsidR="004D2B32" w:rsidRPr="00F5741F" w:rsidRDefault="004D2B32" w:rsidP="004D2B32">
      <w:pPr>
        <w:jc w:val="both"/>
      </w:pPr>
    </w:p>
    <w:p w14:paraId="5480E1BB" w14:textId="77777777" w:rsidR="00302C02" w:rsidRPr="00F5741F" w:rsidRDefault="00302C02" w:rsidP="00850983">
      <w:pPr>
        <w:ind w:firstLine="1134"/>
        <w:rPr>
          <w:b/>
          <w:i/>
          <w:spacing w:val="2"/>
          <w:szCs w:val="24"/>
          <w:shd w:val="clear" w:color="auto" w:fill="FFFFFF"/>
        </w:rPr>
      </w:pPr>
      <w:r w:rsidRPr="00F5741F">
        <w:rPr>
          <w:b/>
          <w:i/>
        </w:rPr>
        <w:t xml:space="preserve">Dėl pasiūlymų pateikimo termino </w:t>
      </w:r>
    </w:p>
    <w:p w14:paraId="6FF4E1D0" w14:textId="06FB2D71" w:rsidR="00152DFE" w:rsidRPr="00F5741F" w:rsidRDefault="00A522D7" w:rsidP="00152DFE">
      <w:pPr>
        <w:ind w:firstLine="1134"/>
        <w:jc w:val="both"/>
        <w:rPr>
          <w:spacing w:val="2"/>
          <w:szCs w:val="24"/>
          <w:shd w:val="clear" w:color="auto" w:fill="FFFFFF"/>
        </w:rPr>
      </w:pPr>
      <w:r w:rsidRPr="00F5741F">
        <w:rPr>
          <w:spacing w:val="2"/>
          <w:szCs w:val="24"/>
          <w:shd w:val="clear" w:color="auto" w:fill="FFFFFF"/>
        </w:rPr>
        <w:t xml:space="preserve">1. </w:t>
      </w:r>
      <w:r w:rsidR="00302C02" w:rsidRPr="00F5741F">
        <w:rPr>
          <w:spacing w:val="2"/>
          <w:szCs w:val="24"/>
          <w:shd w:val="clear" w:color="auto" w:fill="FFFFFF"/>
        </w:rPr>
        <w:t xml:space="preserve">Atsižvelgiant į tai, kad </w:t>
      </w:r>
      <w:r w:rsidR="004D2B32" w:rsidRPr="00F5741F">
        <w:rPr>
          <w:spacing w:val="2"/>
          <w:szCs w:val="24"/>
          <w:shd w:val="clear" w:color="auto" w:fill="FFFFFF"/>
        </w:rPr>
        <w:t xml:space="preserve">atsakant į pretenziją pateikiami suinteresuoto tiekėjo parašomi dokumentai, </w:t>
      </w:r>
      <w:r w:rsidR="00302C02" w:rsidRPr="00F5741F">
        <w:rPr>
          <w:spacing w:val="2"/>
          <w:szCs w:val="24"/>
          <w:shd w:val="clear" w:color="auto" w:fill="FFFFFF"/>
        </w:rPr>
        <w:t xml:space="preserve">vadovaujantis Mažos vertės pirkimų tvarkos aprašo 24.3.8 punktu, perkančioji organizacija iš naujo skaičiuoja Pirkimo pasiūlymų pateikimo terminą. Pirkimo pasiūlymų pateikimo terminas yra </w:t>
      </w:r>
      <w:r w:rsidR="00302C02" w:rsidRPr="00F5741F">
        <w:rPr>
          <w:b/>
          <w:bCs/>
          <w:spacing w:val="2"/>
          <w:szCs w:val="24"/>
          <w:shd w:val="clear" w:color="auto" w:fill="FFFFFF"/>
        </w:rPr>
        <w:t>iki</w:t>
      </w:r>
      <w:r w:rsidR="00302C02" w:rsidRPr="00F5741F">
        <w:rPr>
          <w:spacing w:val="2"/>
          <w:szCs w:val="24"/>
          <w:shd w:val="clear" w:color="auto" w:fill="FFFFFF"/>
        </w:rPr>
        <w:t xml:space="preserve"> </w:t>
      </w:r>
      <w:r w:rsidR="00302C02" w:rsidRPr="00F5741F">
        <w:rPr>
          <w:b/>
          <w:bCs/>
          <w:spacing w:val="2"/>
          <w:szCs w:val="24"/>
          <w:shd w:val="clear" w:color="auto" w:fill="FFFFFF"/>
        </w:rPr>
        <w:t xml:space="preserve">2025 m. liepos </w:t>
      </w:r>
      <w:r w:rsidR="00AB4ACF" w:rsidRPr="00F5741F">
        <w:rPr>
          <w:b/>
          <w:bCs/>
          <w:spacing w:val="2"/>
          <w:szCs w:val="24"/>
          <w:shd w:val="clear" w:color="auto" w:fill="FFFFFF"/>
        </w:rPr>
        <w:t>2</w:t>
      </w:r>
      <w:r w:rsidR="00F5741F" w:rsidRPr="00F5741F">
        <w:rPr>
          <w:b/>
          <w:bCs/>
          <w:spacing w:val="2"/>
          <w:szCs w:val="24"/>
          <w:shd w:val="clear" w:color="auto" w:fill="FFFFFF"/>
        </w:rPr>
        <w:t>3</w:t>
      </w:r>
      <w:r w:rsidR="00302C02" w:rsidRPr="00F5741F">
        <w:rPr>
          <w:b/>
          <w:bCs/>
          <w:spacing w:val="2"/>
          <w:szCs w:val="24"/>
          <w:shd w:val="clear" w:color="auto" w:fill="FFFFFF"/>
        </w:rPr>
        <w:t xml:space="preserve"> d. 10.00 val.</w:t>
      </w:r>
      <w:r w:rsidR="00152DFE" w:rsidRPr="00F5741F">
        <w:rPr>
          <w:spacing w:val="2"/>
          <w:szCs w:val="24"/>
          <w:shd w:val="clear" w:color="auto" w:fill="FFFFFF"/>
        </w:rPr>
        <w:t xml:space="preserve"> </w:t>
      </w:r>
      <w:r w:rsidR="00152DFE" w:rsidRPr="00F5741F">
        <w:rPr>
          <w14:ligatures w14:val="none"/>
        </w:rPr>
        <w:t>Minėta informacija taip pat bus paskelbta patikslintame skelbime apie pirkimą ir CVP IS.</w:t>
      </w:r>
    </w:p>
    <w:p w14:paraId="7A3DBC3F" w14:textId="57AB4F5F" w:rsidR="00152DFE" w:rsidRPr="00F5741F" w:rsidRDefault="00152DFE" w:rsidP="00152DFE">
      <w:pPr>
        <w:ind w:firstLine="1134"/>
        <w:jc w:val="both"/>
        <w:rPr>
          <w:spacing w:val="2"/>
          <w:szCs w:val="24"/>
          <w:shd w:val="clear" w:color="auto" w:fill="FFFFFF"/>
        </w:rPr>
      </w:pPr>
      <w:r w:rsidRPr="00F5741F">
        <w:rPr>
          <w:szCs w:val="24"/>
          <w14:ligatures w14:val="none"/>
        </w:rPr>
        <w:t xml:space="preserve">2. Remiantis Viešųjų pirkimų tarnybos išaiškinimu, ir atsižvelgiant į tai, kad CVP IS </w:t>
      </w:r>
      <w:r w:rsidRPr="00F5741F">
        <w:rPr>
          <w:i/>
          <w:iCs/>
          <w:szCs w:val="24"/>
          <w14:ligatures w14:val="none"/>
        </w:rPr>
        <w:t xml:space="preserve">Pagrindinėje pirkimo informacijoje </w:t>
      </w:r>
      <w:r w:rsidRPr="00F5741F">
        <w:rPr>
          <w:szCs w:val="24"/>
          <w14:ligatures w14:val="none"/>
        </w:rPr>
        <w:t xml:space="preserve">nėra galimybės pakeisti Paaiškinimų termino pabaigos, todėl Perkančioji organizacija šiuo raštu informuoja, kad Paaiškinimų termino pabaiga yra pratęsiama iki </w:t>
      </w:r>
      <w:r w:rsidRPr="00F5741F">
        <w:rPr>
          <w:b/>
          <w:bCs/>
          <w:szCs w:val="24"/>
          <w14:ligatures w14:val="none"/>
        </w:rPr>
        <w:t xml:space="preserve">2025 m. liepos </w:t>
      </w:r>
      <w:r w:rsidR="00113EC6" w:rsidRPr="00F5741F">
        <w:rPr>
          <w:b/>
          <w:bCs/>
          <w:szCs w:val="24"/>
          <w14:ligatures w14:val="none"/>
        </w:rPr>
        <w:t>2</w:t>
      </w:r>
      <w:r w:rsidR="00F5741F" w:rsidRPr="00F5741F">
        <w:rPr>
          <w:b/>
          <w:bCs/>
          <w:szCs w:val="24"/>
          <w14:ligatures w14:val="none"/>
        </w:rPr>
        <w:t>1</w:t>
      </w:r>
      <w:r w:rsidRPr="00F5741F">
        <w:rPr>
          <w:b/>
          <w:bCs/>
          <w:szCs w:val="24"/>
          <w14:ligatures w14:val="none"/>
        </w:rPr>
        <w:t xml:space="preserve"> d.</w:t>
      </w:r>
      <w:r w:rsidRPr="00F5741F">
        <w:rPr>
          <w:szCs w:val="24"/>
          <w14:ligatures w14:val="none"/>
        </w:rPr>
        <w:t xml:space="preserve"> 00:00 val. ir informacija apie Paaiškinimų termino pabaigą bus pateikta prie pirkimo prisijungusiems tiekėjams, taip pat šis pranešimas bus pri</w:t>
      </w:r>
      <w:r w:rsidR="00EF12FB" w:rsidRPr="00F5741F">
        <w:rPr>
          <w:szCs w:val="24"/>
          <w14:ligatures w14:val="none"/>
        </w:rPr>
        <w:t>dėtas</w:t>
      </w:r>
      <w:r w:rsidRPr="00F5741F">
        <w:rPr>
          <w:szCs w:val="24"/>
          <w14:ligatures w14:val="none"/>
        </w:rPr>
        <w:t xml:space="preserve"> prie pirkimo dokumentų.</w:t>
      </w:r>
    </w:p>
    <w:p w14:paraId="02F00386" w14:textId="77777777" w:rsidR="00152DFE" w:rsidRPr="00F5741F" w:rsidRDefault="00152DFE" w:rsidP="004D2B32">
      <w:pPr>
        <w:jc w:val="both"/>
      </w:pPr>
    </w:p>
    <w:p w14:paraId="12070B31" w14:textId="77777777" w:rsidR="00152DFE" w:rsidRPr="00F5741F" w:rsidRDefault="00152DFE" w:rsidP="004D2B32">
      <w:pPr>
        <w:jc w:val="both"/>
      </w:pPr>
    </w:p>
    <w:p w14:paraId="43086809" w14:textId="77777777" w:rsidR="004D2B32" w:rsidRPr="00F5741F" w:rsidRDefault="004D2B32" w:rsidP="004D2B32">
      <w:pPr>
        <w:jc w:val="both"/>
      </w:pPr>
    </w:p>
    <w:p w14:paraId="7EADCB35" w14:textId="77777777" w:rsidR="00F5741F" w:rsidRPr="00F5741F" w:rsidRDefault="00F5741F" w:rsidP="004D2B32">
      <w:pPr>
        <w:jc w:val="both"/>
      </w:pPr>
    </w:p>
    <w:p w14:paraId="3AE0BE29" w14:textId="77777777" w:rsidR="00F5741F" w:rsidRPr="00F5741F" w:rsidRDefault="00F5741F" w:rsidP="004D2B32">
      <w:pPr>
        <w:jc w:val="both"/>
      </w:pPr>
    </w:p>
    <w:p w14:paraId="13A408FF" w14:textId="77777777" w:rsidR="00F5741F" w:rsidRPr="00F5741F" w:rsidRDefault="00F5741F" w:rsidP="004D2B32">
      <w:pPr>
        <w:jc w:val="both"/>
      </w:pPr>
    </w:p>
    <w:p w14:paraId="0B123C49" w14:textId="77777777" w:rsidR="00F5741F" w:rsidRPr="00F5741F" w:rsidRDefault="00F5741F" w:rsidP="004D2B32">
      <w:pPr>
        <w:jc w:val="both"/>
      </w:pPr>
    </w:p>
    <w:p w14:paraId="27E0DB9D" w14:textId="77777777" w:rsidR="00F5741F" w:rsidRPr="00F5741F" w:rsidRDefault="00F5741F" w:rsidP="004D2B32">
      <w:pPr>
        <w:jc w:val="both"/>
      </w:pPr>
    </w:p>
    <w:p w14:paraId="117351FC" w14:textId="77777777" w:rsidR="00F5741F" w:rsidRPr="00F5741F" w:rsidRDefault="00F5741F" w:rsidP="004D2B32">
      <w:pPr>
        <w:jc w:val="both"/>
      </w:pPr>
    </w:p>
    <w:p w14:paraId="4083FEEB" w14:textId="77777777" w:rsidR="00F5741F" w:rsidRPr="00F5741F" w:rsidRDefault="00F5741F" w:rsidP="004D2B32">
      <w:pPr>
        <w:jc w:val="both"/>
      </w:pPr>
    </w:p>
    <w:p w14:paraId="3BA3B3FF" w14:textId="77777777" w:rsidR="00F5741F" w:rsidRPr="00F5741F" w:rsidRDefault="00F5741F" w:rsidP="004D2B32">
      <w:pPr>
        <w:jc w:val="both"/>
      </w:pPr>
    </w:p>
    <w:p w14:paraId="49959934" w14:textId="77777777" w:rsidR="00F5741F" w:rsidRPr="00F5741F" w:rsidRDefault="00F5741F" w:rsidP="004D2B32">
      <w:pPr>
        <w:jc w:val="both"/>
      </w:pPr>
    </w:p>
    <w:p w14:paraId="61CC4835" w14:textId="77777777" w:rsidR="00F5741F" w:rsidRPr="00F5741F" w:rsidRDefault="00F5741F" w:rsidP="004D2B32">
      <w:pPr>
        <w:jc w:val="both"/>
      </w:pPr>
    </w:p>
    <w:p w14:paraId="5C3B1B25" w14:textId="77777777" w:rsidR="00F5741F" w:rsidRPr="00F5741F" w:rsidRDefault="00F5741F" w:rsidP="004D2B32">
      <w:pPr>
        <w:jc w:val="both"/>
      </w:pPr>
    </w:p>
    <w:p w14:paraId="61125DAF" w14:textId="77777777" w:rsidR="00F5741F" w:rsidRPr="00F5741F" w:rsidRDefault="00F5741F" w:rsidP="004D2B32">
      <w:pPr>
        <w:jc w:val="both"/>
      </w:pPr>
    </w:p>
    <w:p w14:paraId="71D23689" w14:textId="77777777" w:rsidR="00F5741F" w:rsidRPr="00F5741F" w:rsidRDefault="00F5741F" w:rsidP="004D2B32">
      <w:pPr>
        <w:jc w:val="both"/>
      </w:pPr>
    </w:p>
    <w:p w14:paraId="483225E8" w14:textId="77777777" w:rsidR="00F5741F" w:rsidRPr="00F5741F" w:rsidRDefault="00F5741F" w:rsidP="004D2B32">
      <w:pPr>
        <w:jc w:val="both"/>
      </w:pPr>
    </w:p>
    <w:p w14:paraId="5F114C72" w14:textId="77777777" w:rsidR="00F5741F" w:rsidRPr="00F5741F" w:rsidRDefault="00F5741F" w:rsidP="004D2B32">
      <w:pPr>
        <w:jc w:val="both"/>
      </w:pPr>
    </w:p>
    <w:p w14:paraId="555D961F" w14:textId="77777777" w:rsidR="009D0DA8" w:rsidRPr="00F5741F" w:rsidRDefault="009D0DA8" w:rsidP="00850983">
      <w:pPr>
        <w:rPr>
          <w:rFonts w:eastAsiaTheme="minorEastAsia"/>
          <w:szCs w:val="24"/>
          <w:lang w:eastAsia="lt-LT"/>
          <w14:ligatures w14:val="none"/>
        </w:rPr>
      </w:pPr>
      <w:r w:rsidRPr="00F5741F">
        <w:rPr>
          <w:rFonts w:eastAsiaTheme="minorEastAsia"/>
          <w:szCs w:val="24"/>
          <w:lang w:eastAsia="lt-LT"/>
          <w14:ligatures w14:val="none"/>
        </w:rPr>
        <w:t>Irena Šinkonytė</w:t>
      </w:r>
    </w:p>
    <w:p w14:paraId="0254F3D0" w14:textId="77777777" w:rsidR="009D0DA8" w:rsidRPr="00F5741F" w:rsidRDefault="009D0DA8" w:rsidP="00850983">
      <w:pPr>
        <w:rPr>
          <w:rFonts w:eastAsiaTheme="minorEastAsia"/>
          <w:szCs w:val="24"/>
          <w:lang w:eastAsia="lt-LT"/>
          <w14:ligatures w14:val="none"/>
        </w:rPr>
      </w:pPr>
      <w:r w:rsidRPr="00F5741F">
        <w:rPr>
          <w:rFonts w:eastAsiaTheme="minorEastAsia"/>
          <w:szCs w:val="24"/>
          <w:lang w:eastAsia="lt-LT"/>
          <w14:ligatures w14:val="none"/>
        </w:rPr>
        <w:t>Druskininkų savivaldybės administracijos</w:t>
      </w:r>
    </w:p>
    <w:p w14:paraId="101A3028" w14:textId="77777777" w:rsidR="009D0DA8" w:rsidRPr="00F5741F" w:rsidRDefault="009D0DA8" w:rsidP="00850983">
      <w:pPr>
        <w:rPr>
          <w:rFonts w:eastAsiaTheme="minorEastAsia"/>
          <w:szCs w:val="24"/>
          <w:lang w:eastAsia="lt-LT"/>
          <w14:ligatures w14:val="none"/>
        </w:rPr>
      </w:pPr>
      <w:r w:rsidRPr="00F5741F">
        <w:rPr>
          <w:rFonts w:eastAsiaTheme="minorEastAsia"/>
          <w:szCs w:val="24"/>
          <w:lang w:eastAsia="lt-LT"/>
          <w14:ligatures w14:val="none"/>
        </w:rPr>
        <w:t>Centralizuotų viešųjų pirkimų skyriaus</w:t>
      </w:r>
    </w:p>
    <w:p w14:paraId="57B62DD9" w14:textId="77777777" w:rsidR="009D0DA8" w:rsidRPr="00F5741F" w:rsidRDefault="009D0DA8" w:rsidP="00850983">
      <w:pPr>
        <w:rPr>
          <w:rFonts w:eastAsiaTheme="minorEastAsia"/>
          <w:szCs w:val="24"/>
          <w:lang w:eastAsia="lt-LT"/>
          <w14:ligatures w14:val="none"/>
        </w:rPr>
      </w:pPr>
      <w:r w:rsidRPr="00F5741F">
        <w:rPr>
          <w:rFonts w:eastAsiaTheme="minorEastAsia"/>
          <w:szCs w:val="24"/>
          <w:lang w:eastAsia="lt-LT"/>
          <w14:ligatures w14:val="none"/>
        </w:rPr>
        <w:t>vyriausioji specialistė</w:t>
      </w:r>
    </w:p>
    <w:p w14:paraId="0309BAF9" w14:textId="77777777" w:rsidR="009D0DA8" w:rsidRPr="00F5741F" w:rsidRDefault="009D0DA8" w:rsidP="00850983">
      <w:pPr>
        <w:rPr>
          <w:rFonts w:eastAsiaTheme="minorEastAsia"/>
          <w:szCs w:val="24"/>
          <w:lang w:eastAsia="lt-LT"/>
          <w14:ligatures w14:val="none"/>
        </w:rPr>
      </w:pPr>
      <w:r w:rsidRPr="00F5741F">
        <w:rPr>
          <w:rFonts w:eastAsiaTheme="minorEastAsia"/>
          <w:szCs w:val="24"/>
          <w:lang w:eastAsia="lt-LT"/>
          <w14:ligatures w14:val="none"/>
        </w:rPr>
        <w:t>Pirkimo organizatorius</w:t>
      </w:r>
    </w:p>
    <w:p w14:paraId="33312F14" w14:textId="2DE604AC" w:rsidR="009D0DA8" w:rsidRPr="00F5741F" w:rsidRDefault="009D0DA8" w:rsidP="00850983">
      <w:pPr>
        <w:jc w:val="both"/>
        <w:rPr>
          <w:rFonts w:eastAsia="Calibri"/>
          <w:sz w:val="22"/>
          <w:szCs w:val="22"/>
          <w:lang w:eastAsia="lt-LT"/>
          <w14:ligatures w14:val="none"/>
        </w:rPr>
      </w:pPr>
      <w:r w:rsidRPr="00F5741F">
        <w:rPr>
          <w:rFonts w:eastAsiaTheme="minorEastAsia"/>
          <w:szCs w:val="24"/>
          <w:lang w:eastAsia="lt-LT"/>
          <w14:ligatures w14:val="none"/>
        </w:rPr>
        <w:t>Tel. +370</w:t>
      </w:r>
      <w:r w:rsidR="00F45F9F" w:rsidRPr="00F5741F">
        <w:rPr>
          <w:rFonts w:eastAsiaTheme="minorEastAsia"/>
          <w:szCs w:val="24"/>
          <w:lang w:eastAsia="lt-LT"/>
          <w14:ligatures w14:val="none"/>
        </w:rPr>
        <w:t> 665 97800</w:t>
      </w:r>
    </w:p>
    <w:sectPr w:rsidR="009D0DA8" w:rsidRPr="00F5741F" w:rsidSect="00F5741F">
      <w:pgSz w:w="11906" w:h="16838"/>
      <w:pgMar w:top="1418"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Klee One"/>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BDB"/>
    <w:multiLevelType w:val="hybridMultilevel"/>
    <w:tmpl w:val="C7F4847E"/>
    <w:lvl w:ilvl="0" w:tplc="E5AA408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F3F243E"/>
    <w:multiLevelType w:val="hybridMultilevel"/>
    <w:tmpl w:val="2898A4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25397839">
    <w:abstractNumId w:val="0"/>
  </w:num>
  <w:num w:numId="2" w16cid:durableId="179322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E3"/>
    <w:rsid w:val="000158A5"/>
    <w:rsid w:val="00036ABB"/>
    <w:rsid w:val="00061DF4"/>
    <w:rsid w:val="000A0719"/>
    <w:rsid w:val="000B4C69"/>
    <w:rsid w:val="000B7A28"/>
    <w:rsid w:val="000F72DC"/>
    <w:rsid w:val="001104E9"/>
    <w:rsid w:val="00113EC6"/>
    <w:rsid w:val="00151B11"/>
    <w:rsid w:val="00152DFE"/>
    <w:rsid w:val="00153225"/>
    <w:rsid w:val="0016251E"/>
    <w:rsid w:val="001B0E3A"/>
    <w:rsid w:val="001D4C94"/>
    <w:rsid w:val="001E479D"/>
    <w:rsid w:val="001F4042"/>
    <w:rsid w:val="00200423"/>
    <w:rsid w:val="00202BA7"/>
    <w:rsid w:val="002263D1"/>
    <w:rsid w:val="00233EBE"/>
    <w:rsid w:val="002401F9"/>
    <w:rsid w:val="00240394"/>
    <w:rsid w:val="00272320"/>
    <w:rsid w:val="002E0F32"/>
    <w:rsid w:val="002E51EC"/>
    <w:rsid w:val="002F1E31"/>
    <w:rsid w:val="002F6CCA"/>
    <w:rsid w:val="00302C02"/>
    <w:rsid w:val="00306B7F"/>
    <w:rsid w:val="00342647"/>
    <w:rsid w:val="003473ED"/>
    <w:rsid w:val="00356BF0"/>
    <w:rsid w:val="00375DAA"/>
    <w:rsid w:val="003B1F4F"/>
    <w:rsid w:val="003C5E60"/>
    <w:rsid w:val="003D7405"/>
    <w:rsid w:val="003E55FD"/>
    <w:rsid w:val="003E6B66"/>
    <w:rsid w:val="00406D76"/>
    <w:rsid w:val="00411BE3"/>
    <w:rsid w:val="00427E13"/>
    <w:rsid w:val="00442E91"/>
    <w:rsid w:val="004716E5"/>
    <w:rsid w:val="004760A7"/>
    <w:rsid w:val="004A4094"/>
    <w:rsid w:val="004B41DE"/>
    <w:rsid w:val="004D2B32"/>
    <w:rsid w:val="004F7104"/>
    <w:rsid w:val="005302EE"/>
    <w:rsid w:val="005461B7"/>
    <w:rsid w:val="00547BF2"/>
    <w:rsid w:val="00573D5D"/>
    <w:rsid w:val="005845AE"/>
    <w:rsid w:val="005A4A38"/>
    <w:rsid w:val="005C690B"/>
    <w:rsid w:val="005D1705"/>
    <w:rsid w:val="005E0841"/>
    <w:rsid w:val="005E1C30"/>
    <w:rsid w:val="00623D4B"/>
    <w:rsid w:val="006269DA"/>
    <w:rsid w:val="00631340"/>
    <w:rsid w:val="00634A53"/>
    <w:rsid w:val="00651259"/>
    <w:rsid w:val="00682FCC"/>
    <w:rsid w:val="006A3EF3"/>
    <w:rsid w:val="006B5B54"/>
    <w:rsid w:val="006E75B1"/>
    <w:rsid w:val="00714D22"/>
    <w:rsid w:val="00720082"/>
    <w:rsid w:val="007770FA"/>
    <w:rsid w:val="00784A22"/>
    <w:rsid w:val="007B083B"/>
    <w:rsid w:val="007D36B2"/>
    <w:rsid w:val="007D6A9B"/>
    <w:rsid w:val="007F1739"/>
    <w:rsid w:val="008071D5"/>
    <w:rsid w:val="00810AAF"/>
    <w:rsid w:val="0084593A"/>
    <w:rsid w:val="00850983"/>
    <w:rsid w:val="00856EEE"/>
    <w:rsid w:val="008807E5"/>
    <w:rsid w:val="00883958"/>
    <w:rsid w:val="00896732"/>
    <w:rsid w:val="008C37CC"/>
    <w:rsid w:val="008F5CB0"/>
    <w:rsid w:val="00902288"/>
    <w:rsid w:val="00915383"/>
    <w:rsid w:val="00941C27"/>
    <w:rsid w:val="00960ABB"/>
    <w:rsid w:val="00961A90"/>
    <w:rsid w:val="00974A58"/>
    <w:rsid w:val="00976FC4"/>
    <w:rsid w:val="009A1F3E"/>
    <w:rsid w:val="009B51B8"/>
    <w:rsid w:val="009D0DA8"/>
    <w:rsid w:val="00A22C49"/>
    <w:rsid w:val="00A2414B"/>
    <w:rsid w:val="00A302E6"/>
    <w:rsid w:val="00A401BC"/>
    <w:rsid w:val="00A522D7"/>
    <w:rsid w:val="00A678C5"/>
    <w:rsid w:val="00A7067D"/>
    <w:rsid w:val="00A92DB7"/>
    <w:rsid w:val="00AA14C6"/>
    <w:rsid w:val="00AB4ACF"/>
    <w:rsid w:val="00AB696C"/>
    <w:rsid w:val="00AC370E"/>
    <w:rsid w:val="00B140B0"/>
    <w:rsid w:val="00B14BEF"/>
    <w:rsid w:val="00B54AB0"/>
    <w:rsid w:val="00B67DCF"/>
    <w:rsid w:val="00B83DC5"/>
    <w:rsid w:val="00BA05C1"/>
    <w:rsid w:val="00BF1D8C"/>
    <w:rsid w:val="00BF7076"/>
    <w:rsid w:val="00C46C33"/>
    <w:rsid w:val="00CA26C4"/>
    <w:rsid w:val="00CB502D"/>
    <w:rsid w:val="00CC19FE"/>
    <w:rsid w:val="00D255B2"/>
    <w:rsid w:val="00D407FE"/>
    <w:rsid w:val="00D43C68"/>
    <w:rsid w:val="00D47CC7"/>
    <w:rsid w:val="00D53ACF"/>
    <w:rsid w:val="00D6629F"/>
    <w:rsid w:val="00D83A43"/>
    <w:rsid w:val="00DC48B8"/>
    <w:rsid w:val="00DF6D2C"/>
    <w:rsid w:val="00E04C5A"/>
    <w:rsid w:val="00E51AA4"/>
    <w:rsid w:val="00E87AAB"/>
    <w:rsid w:val="00EA6656"/>
    <w:rsid w:val="00ED01C4"/>
    <w:rsid w:val="00EE55F2"/>
    <w:rsid w:val="00EF12FB"/>
    <w:rsid w:val="00EF5475"/>
    <w:rsid w:val="00F237A8"/>
    <w:rsid w:val="00F37F31"/>
    <w:rsid w:val="00F4017E"/>
    <w:rsid w:val="00F45F9F"/>
    <w:rsid w:val="00F57165"/>
    <w:rsid w:val="00F5741F"/>
    <w:rsid w:val="00FA24D2"/>
    <w:rsid w:val="00FF0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2945"/>
  <w15:chartTrackingRefBased/>
  <w15:docId w15:val="{4A6DBEE8-9A9F-46A7-B71F-7B030995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BE3"/>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411B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Antrat2">
    <w:name w:val="heading 2"/>
    <w:basedOn w:val="prastasis"/>
    <w:next w:val="prastasis"/>
    <w:link w:val="Antrat2Diagrama"/>
    <w:uiPriority w:val="9"/>
    <w:semiHidden/>
    <w:unhideWhenUsed/>
    <w:qFormat/>
    <w:rsid w:val="00411B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Antrat3">
    <w:name w:val="heading 3"/>
    <w:basedOn w:val="prastasis"/>
    <w:next w:val="prastasis"/>
    <w:link w:val="Antrat3Diagrama"/>
    <w:uiPriority w:val="9"/>
    <w:semiHidden/>
    <w:unhideWhenUsed/>
    <w:qFormat/>
    <w:rsid w:val="00411B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Antrat4">
    <w:name w:val="heading 4"/>
    <w:basedOn w:val="prastasis"/>
    <w:next w:val="prastasis"/>
    <w:link w:val="Antrat4Diagrama"/>
    <w:uiPriority w:val="9"/>
    <w:semiHidden/>
    <w:unhideWhenUsed/>
    <w:qFormat/>
    <w:rsid w:val="00411B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Antrat5">
    <w:name w:val="heading 5"/>
    <w:basedOn w:val="prastasis"/>
    <w:next w:val="prastasis"/>
    <w:link w:val="Antrat5Diagrama"/>
    <w:uiPriority w:val="9"/>
    <w:semiHidden/>
    <w:unhideWhenUsed/>
    <w:qFormat/>
    <w:rsid w:val="00411B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Antrat6">
    <w:name w:val="heading 6"/>
    <w:basedOn w:val="prastasis"/>
    <w:next w:val="prastasis"/>
    <w:link w:val="Antrat6Diagrama"/>
    <w:uiPriority w:val="9"/>
    <w:semiHidden/>
    <w:unhideWhenUsed/>
    <w:qFormat/>
    <w:rsid w:val="00411B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Antrat7">
    <w:name w:val="heading 7"/>
    <w:basedOn w:val="prastasis"/>
    <w:next w:val="prastasis"/>
    <w:link w:val="Antrat7Diagrama"/>
    <w:uiPriority w:val="9"/>
    <w:semiHidden/>
    <w:unhideWhenUsed/>
    <w:qFormat/>
    <w:rsid w:val="00411B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Antrat8">
    <w:name w:val="heading 8"/>
    <w:basedOn w:val="prastasis"/>
    <w:next w:val="prastasis"/>
    <w:link w:val="Antrat8Diagrama"/>
    <w:uiPriority w:val="9"/>
    <w:semiHidden/>
    <w:unhideWhenUsed/>
    <w:qFormat/>
    <w:rsid w:val="00411B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Antrat9">
    <w:name w:val="heading 9"/>
    <w:basedOn w:val="prastasis"/>
    <w:next w:val="prastasis"/>
    <w:link w:val="Antrat9Diagrama"/>
    <w:uiPriority w:val="9"/>
    <w:semiHidden/>
    <w:unhideWhenUsed/>
    <w:qFormat/>
    <w:rsid w:val="00411BE3"/>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1B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1B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1B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1B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1B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1B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1B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1B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1B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1B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1B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1B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411B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1BE3"/>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CitataDiagrama">
    <w:name w:val="Citata Diagrama"/>
    <w:basedOn w:val="Numatytasispastraiposriftas"/>
    <w:link w:val="Citata"/>
    <w:uiPriority w:val="29"/>
    <w:rsid w:val="00411BE3"/>
    <w:rPr>
      <w:i/>
      <w:iCs/>
      <w:color w:val="404040" w:themeColor="text1" w:themeTint="BF"/>
    </w:rPr>
  </w:style>
  <w:style w:type="paragraph" w:styleId="Sraopastraipa">
    <w:name w:val="List Paragraph"/>
    <w:basedOn w:val="prastasis"/>
    <w:uiPriority w:val="34"/>
    <w:qFormat/>
    <w:rsid w:val="00411BE3"/>
    <w:pPr>
      <w:spacing w:after="160" w:line="259" w:lineRule="auto"/>
      <w:ind w:left="720"/>
      <w:contextualSpacing/>
    </w:pPr>
    <w:rPr>
      <w:rFonts w:asciiTheme="minorHAnsi" w:eastAsiaTheme="minorHAnsi" w:hAnsiTheme="minorHAnsi" w:cstheme="minorBidi"/>
      <w:kern w:val="2"/>
      <w:sz w:val="22"/>
      <w:szCs w:val="22"/>
    </w:rPr>
  </w:style>
  <w:style w:type="character" w:styleId="Rykuspabraukimas">
    <w:name w:val="Intense Emphasis"/>
    <w:basedOn w:val="Numatytasispastraiposriftas"/>
    <w:uiPriority w:val="21"/>
    <w:qFormat/>
    <w:rsid w:val="00411BE3"/>
    <w:rPr>
      <w:i/>
      <w:iCs/>
      <w:color w:val="0F4761" w:themeColor="accent1" w:themeShade="BF"/>
    </w:rPr>
  </w:style>
  <w:style w:type="paragraph" w:styleId="Iskirtacitata">
    <w:name w:val="Intense Quote"/>
    <w:basedOn w:val="prastasis"/>
    <w:next w:val="prastasis"/>
    <w:link w:val="IskirtacitataDiagrama"/>
    <w:uiPriority w:val="30"/>
    <w:qFormat/>
    <w:rsid w:val="00411B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skirtacitataDiagrama">
    <w:name w:val="Išskirta citata Diagrama"/>
    <w:basedOn w:val="Numatytasispastraiposriftas"/>
    <w:link w:val="Iskirtacitata"/>
    <w:uiPriority w:val="30"/>
    <w:rsid w:val="00411BE3"/>
    <w:rPr>
      <w:i/>
      <w:iCs/>
      <w:color w:val="0F4761" w:themeColor="accent1" w:themeShade="BF"/>
    </w:rPr>
  </w:style>
  <w:style w:type="character" w:styleId="Rykinuoroda">
    <w:name w:val="Intense Reference"/>
    <w:basedOn w:val="Numatytasispastraiposriftas"/>
    <w:uiPriority w:val="32"/>
    <w:qFormat/>
    <w:rsid w:val="00411BE3"/>
    <w:rPr>
      <w:b/>
      <w:bCs/>
      <w:smallCaps/>
      <w:color w:val="0F4761" w:themeColor="accent1" w:themeShade="BF"/>
      <w:spacing w:val="5"/>
    </w:rPr>
  </w:style>
  <w:style w:type="table" w:customStyle="1" w:styleId="TableGrid2">
    <w:name w:val="Table Grid2"/>
    <w:basedOn w:val="prastojilentel"/>
    <w:uiPriority w:val="39"/>
    <w:rsid w:val="00411BE3"/>
    <w:pPr>
      <w:spacing w:after="0" w:line="240" w:lineRule="auto"/>
      <w:ind w:firstLine="697"/>
      <w:jc w:val="both"/>
    </w:pPr>
    <w:rPr>
      <w:rFonts w:ascii="Times New Roman" w:eastAsia="Times New Roman" w:hAnsi="Times New Roman" w:cs="Times New Roman"/>
      <w:kern w:val="0"/>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9D0DA8"/>
    <w:rPr>
      <w:rFonts w:ascii="TimesNewRomanPSMT" w:hAnsi="TimesNewRomanPSMT" w:cs="Times New Roman"/>
      <w:color w:val="000000"/>
      <w:sz w:val="24"/>
      <w:szCs w:val="24"/>
    </w:rPr>
  </w:style>
  <w:style w:type="paragraph" w:styleId="prastasiniatinklio">
    <w:name w:val="Normal (Web)"/>
    <w:basedOn w:val="prastasis"/>
    <w:uiPriority w:val="99"/>
    <w:semiHidden/>
    <w:unhideWhenUsed/>
    <w:rsid w:val="004D2B3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8941">
      <w:bodyDiv w:val="1"/>
      <w:marLeft w:val="0"/>
      <w:marRight w:val="0"/>
      <w:marTop w:val="0"/>
      <w:marBottom w:val="0"/>
      <w:divBdr>
        <w:top w:val="none" w:sz="0" w:space="0" w:color="auto"/>
        <w:left w:val="none" w:sz="0" w:space="0" w:color="auto"/>
        <w:bottom w:val="none" w:sz="0" w:space="0" w:color="auto"/>
        <w:right w:val="none" w:sz="0" w:space="0" w:color="auto"/>
      </w:divBdr>
    </w:div>
    <w:div w:id="141044146">
      <w:bodyDiv w:val="1"/>
      <w:marLeft w:val="0"/>
      <w:marRight w:val="0"/>
      <w:marTop w:val="0"/>
      <w:marBottom w:val="0"/>
      <w:divBdr>
        <w:top w:val="none" w:sz="0" w:space="0" w:color="auto"/>
        <w:left w:val="none" w:sz="0" w:space="0" w:color="auto"/>
        <w:bottom w:val="none" w:sz="0" w:space="0" w:color="auto"/>
        <w:right w:val="none" w:sz="0" w:space="0" w:color="auto"/>
      </w:divBdr>
    </w:div>
    <w:div w:id="554633022">
      <w:bodyDiv w:val="1"/>
      <w:marLeft w:val="0"/>
      <w:marRight w:val="0"/>
      <w:marTop w:val="0"/>
      <w:marBottom w:val="0"/>
      <w:divBdr>
        <w:top w:val="none" w:sz="0" w:space="0" w:color="auto"/>
        <w:left w:val="none" w:sz="0" w:space="0" w:color="auto"/>
        <w:bottom w:val="none" w:sz="0" w:space="0" w:color="auto"/>
        <w:right w:val="none" w:sz="0" w:space="0" w:color="auto"/>
      </w:divBdr>
    </w:div>
    <w:div w:id="789662745">
      <w:bodyDiv w:val="1"/>
      <w:marLeft w:val="0"/>
      <w:marRight w:val="0"/>
      <w:marTop w:val="0"/>
      <w:marBottom w:val="0"/>
      <w:divBdr>
        <w:top w:val="none" w:sz="0" w:space="0" w:color="auto"/>
        <w:left w:val="none" w:sz="0" w:space="0" w:color="auto"/>
        <w:bottom w:val="none" w:sz="0" w:space="0" w:color="auto"/>
        <w:right w:val="none" w:sz="0" w:space="0" w:color="auto"/>
      </w:divBdr>
    </w:div>
    <w:div w:id="927689909">
      <w:bodyDiv w:val="1"/>
      <w:marLeft w:val="0"/>
      <w:marRight w:val="0"/>
      <w:marTop w:val="0"/>
      <w:marBottom w:val="0"/>
      <w:divBdr>
        <w:top w:val="none" w:sz="0" w:space="0" w:color="auto"/>
        <w:left w:val="none" w:sz="0" w:space="0" w:color="auto"/>
        <w:bottom w:val="none" w:sz="0" w:space="0" w:color="auto"/>
        <w:right w:val="none" w:sz="0" w:space="0" w:color="auto"/>
      </w:divBdr>
    </w:div>
    <w:div w:id="986468744">
      <w:bodyDiv w:val="1"/>
      <w:marLeft w:val="0"/>
      <w:marRight w:val="0"/>
      <w:marTop w:val="0"/>
      <w:marBottom w:val="0"/>
      <w:divBdr>
        <w:top w:val="none" w:sz="0" w:space="0" w:color="auto"/>
        <w:left w:val="none" w:sz="0" w:space="0" w:color="auto"/>
        <w:bottom w:val="none" w:sz="0" w:space="0" w:color="auto"/>
        <w:right w:val="none" w:sz="0" w:space="0" w:color="auto"/>
      </w:divBdr>
    </w:div>
    <w:div w:id="1105229041">
      <w:bodyDiv w:val="1"/>
      <w:marLeft w:val="0"/>
      <w:marRight w:val="0"/>
      <w:marTop w:val="0"/>
      <w:marBottom w:val="0"/>
      <w:divBdr>
        <w:top w:val="none" w:sz="0" w:space="0" w:color="auto"/>
        <w:left w:val="none" w:sz="0" w:space="0" w:color="auto"/>
        <w:bottom w:val="none" w:sz="0" w:space="0" w:color="auto"/>
        <w:right w:val="none" w:sz="0" w:space="0" w:color="auto"/>
      </w:divBdr>
    </w:div>
    <w:div w:id="1373920512">
      <w:bodyDiv w:val="1"/>
      <w:marLeft w:val="0"/>
      <w:marRight w:val="0"/>
      <w:marTop w:val="0"/>
      <w:marBottom w:val="0"/>
      <w:divBdr>
        <w:top w:val="none" w:sz="0" w:space="0" w:color="auto"/>
        <w:left w:val="none" w:sz="0" w:space="0" w:color="auto"/>
        <w:bottom w:val="none" w:sz="0" w:space="0" w:color="auto"/>
        <w:right w:val="none" w:sz="0" w:space="0" w:color="auto"/>
      </w:divBdr>
    </w:div>
    <w:div w:id="1455099048">
      <w:bodyDiv w:val="1"/>
      <w:marLeft w:val="0"/>
      <w:marRight w:val="0"/>
      <w:marTop w:val="0"/>
      <w:marBottom w:val="0"/>
      <w:divBdr>
        <w:top w:val="none" w:sz="0" w:space="0" w:color="auto"/>
        <w:left w:val="none" w:sz="0" w:space="0" w:color="auto"/>
        <w:bottom w:val="none" w:sz="0" w:space="0" w:color="auto"/>
        <w:right w:val="none" w:sz="0" w:space="0" w:color="auto"/>
      </w:divBdr>
    </w:div>
    <w:div w:id="1461151165">
      <w:bodyDiv w:val="1"/>
      <w:marLeft w:val="0"/>
      <w:marRight w:val="0"/>
      <w:marTop w:val="0"/>
      <w:marBottom w:val="0"/>
      <w:divBdr>
        <w:top w:val="none" w:sz="0" w:space="0" w:color="auto"/>
        <w:left w:val="none" w:sz="0" w:space="0" w:color="auto"/>
        <w:bottom w:val="none" w:sz="0" w:space="0" w:color="auto"/>
        <w:right w:val="none" w:sz="0" w:space="0" w:color="auto"/>
      </w:divBdr>
    </w:div>
    <w:div w:id="1705449157">
      <w:bodyDiv w:val="1"/>
      <w:marLeft w:val="0"/>
      <w:marRight w:val="0"/>
      <w:marTop w:val="0"/>
      <w:marBottom w:val="0"/>
      <w:divBdr>
        <w:top w:val="none" w:sz="0" w:space="0" w:color="auto"/>
        <w:left w:val="none" w:sz="0" w:space="0" w:color="auto"/>
        <w:bottom w:val="none" w:sz="0" w:space="0" w:color="auto"/>
        <w:right w:val="none" w:sz="0" w:space="0" w:color="auto"/>
      </w:divBdr>
    </w:div>
    <w:div w:id="2035571285">
      <w:bodyDiv w:val="1"/>
      <w:marLeft w:val="0"/>
      <w:marRight w:val="0"/>
      <w:marTop w:val="0"/>
      <w:marBottom w:val="0"/>
      <w:divBdr>
        <w:top w:val="none" w:sz="0" w:space="0" w:color="auto"/>
        <w:left w:val="none" w:sz="0" w:space="0" w:color="auto"/>
        <w:bottom w:val="none" w:sz="0" w:space="0" w:color="auto"/>
        <w:right w:val="none" w:sz="0" w:space="0" w:color="auto"/>
      </w:divBdr>
    </w:div>
    <w:div w:id="2089157224">
      <w:bodyDiv w:val="1"/>
      <w:marLeft w:val="0"/>
      <w:marRight w:val="0"/>
      <w:marTop w:val="0"/>
      <w:marBottom w:val="0"/>
      <w:divBdr>
        <w:top w:val="none" w:sz="0" w:space="0" w:color="auto"/>
        <w:left w:val="none" w:sz="0" w:space="0" w:color="auto"/>
        <w:bottom w:val="none" w:sz="0" w:space="0" w:color="auto"/>
        <w:right w:val="none" w:sz="0" w:space="0" w:color="auto"/>
      </w:divBdr>
    </w:div>
    <w:div w:id="21286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3291</Words>
  <Characters>1876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Irena Šinkonytė</cp:lastModifiedBy>
  <cp:revision>2</cp:revision>
  <dcterms:created xsi:type="dcterms:W3CDTF">2025-07-15T13:52:00Z</dcterms:created>
  <dcterms:modified xsi:type="dcterms:W3CDTF">2025-07-15T13:52:00Z</dcterms:modified>
</cp:coreProperties>
</file>