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5C198">
      <w:pPr>
        <w:tabs>
          <w:tab w:val="left" w:pos="567"/>
        </w:tabs>
        <w:spacing w:before="60" w:after="60" w:line="240" w:lineRule="auto"/>
        <w:jc w:val="both"/>
        <w:rPr>
          <w:rFonts w:ascii="Times New Roman" w:hAnsi="Times New Roman" w:eastAsia="Times New Roman" w:cs="Times New Roman"/>
          <w:sz w:val="24"/>
          <w:szCs w:val="24"/>
          <w:lang w:eastAsia="en-US"/>
        </w:rPr>
      </w:pPr>
    </w:p>
    <w:p w14:paraId="3D28E507">
      <w:pPr>
        <w:tabs>
          <w:tab w:val="left" w:pos="567"/>
        </w:tabs>
        <w:spacing w:before="60" w:after="60" w:line="240" w:lineRule="auto"/>
        <w:jc w:val="right"/>
        <w:rPr>
          <w:rFonts w:hint="default" w:ascii="Times New Roman" w:hAnsi="Times New Roman" w:eastAsia="Times New Roman" w:cs="Times New Roman"/>
          <w:b/>
          <w:sz w:val="24"/>
          <w:szCs w:val="24"/>
          <w:lang w:val="lt-LT" w:eastAsia="en-US"/>
        </w:rPr>
      </w:pPr>
      <w:r>
        <w:rPr>
          <w:rFonts w:ascii="Times New Roman" w:hAnsi="Times New Roman" w:eastAsia="Times New Roman" w:cs="Times New Roman"/>
          <w:b/>
          <w:sz w:val="24"/>
          <w:szCs w:val="24"/>
          <w:lang w:eastAsia="en-US"/>
        </w:rPr>
        <w:t xml:space="preserve"> priedas Nr. </w:t>
      </w:r>
      <w:r>
        <w:rPr>
          <w:rFonts w:hint="default" w:ascii="Times New Roman" w:hAnsi="Times New Roman" w:eastAsia="Times New Roman" w:cs="Times New Roman"/>
          <w:b/>
          <w:sz w:val="24"/>
          <w:szCs w:val="24"/>
          <w:lang w:val="lt-LT" w:eastAsia="en-US"/>
        </w:rPr>
        <w:t>2</w:t>
      </w:r>
    </w:p>
    <w:p w14:paraId="65993295">
      <w:pPr>
        <w:tabs>
          <w:tab w:val="left" w:pos="567"/>
        </w:tabs>
        <w:spacing w:before="60" w:after="60" w:line="240" w:lineRule="auto"/>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TECHNINĖ SPECIFIKACIJA</w:t>
      </w:r>
    </w:p>
    <w:p w14:paraId="70D4758D">
      <w:pPr>
        <w:spacing w:line="240" w:lineRule="auto"/>
        <w:jc w:val="both"/>
        <w:rPr>
          <w:rFonts w:ascii="Times New Roman" w:hAnsi="Times New Roman"/>
          <w:b/>
          <w:caps/>
          <w:color w:val="000000"/>
          <w:sz w:val="24"/>
          <w:szCs w:val="24"/>
        </w:rPr>
      </w:pPr>
    </w:p>
    <w:p w14:paraId="3C4B674C">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bei įrengimo vieta – Antanavos g. 17, LT 46274, Kaunas</w:t>
      </w:r>
    </w:p>
    <w:p w14:paraId="7EAA5CEA">
      <w:pPr>
        <w:spacing w:after="0" w:line="36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Prekių pristatymo ir įrengimo terminas – 5 mėn.</w:t>
      </w:r>
    </w:p>
    <w:p w14:paraId="529EBBBB">
      <w:pPr>
        <w:spacing w:line="360" w:lineRule="auto"/>
        <w:ind w:firstLine="600" w:firstLineChars="250"/>
        <w:jc w:val="both"/>
        <w:rPr>
          <w:rFonts w:ascii="Times New Roman" w:hAnsi="Times New Roman"/>
          <w:b/>
          <w:bCs/>
          <w:color w:val="000000"/>
          <w:sz w:val="24"/>
          <w:szCs w:val="24"/>
          <w:u w:val="single"/>
        </w:rPr>
      </w:pPr>
      <w:r>
        <w:rPr>
          <w:rFonts w:ascii="Times New Roman" w:hAnsi="Times New Roman"/>
          <w:b/>
          <w:bCs/>
          <w:color w:val="000000"/>
          <w:sz w:val="24"/>
          <w:szCs w:val="24"/>
          <w:u w:val="single"/>
        </w:rPr>
        <w:t>Vaikų žaidimo aikštelės įrenginio</w:t>
      </w:r>
      <w:r>
        <w:rPr>
          <w:rFonts w:hint="default" w:ascii="Times New Roman" w:hAnsi="Times New Roman"/>
          <w:b/>
          <w:bCs/>
          <w:color w:val="000000"/>
          <w:sz w:val="24"/>
          <w:szCs w:val="24"/>
          <w:u w:val="single"/>
          <w:lang w:val="lt-LT"/>
        </w:rPr>
        <w:t xml:space="preserve"> </w:t>
      </w:r>
      <w:r>
        <w:rPr>
          <w:rFonts w:ascii="Times New Roman" w:hAnsi="Times New Roman"/>
          <w:b/>
          <w:bCs/>
          <w:color w:val="000000"/>
          <w:sz w:val="24"/>
          <w:szCs w:val="24"/>
          <w:u w:val="single"/>
        </w:rPr>
        <w:t>saugos ir garantijos reikalavimai:</w:t>
      </w:r>
    </w:p>
    <w:p w14:paraId="3B5917C5">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Gamini</w:t>
      </w:r>
      <w:r>
        <w:rPr>
          <w:rFonts w:ascii="Times New Roman" w:hAnsi="Times New Roman"/>
          <w:b w:val="0"/>
          <w:bCs/>
          <w:color w:val="000000"/>
          <w:sz w:val="24"/>
          <w:szCs w:val="24"/>
          <w:lang w:val="lt-LT"/>
        </w:rPr>
        <w:t>ų</w:t>
      </w:r>
      <w:r>
        <w:rPr>
          <w:rFonts w:ascii="Times New Roman" w:hAnsi="Times New Roman"/>
          <w:b w:val="0"/>
          <w:bCs/>
          <w:color w:val="000000"/>
          <w:sz w:val="24"/>
          <w:szCs w:val="24"/>
        </w:rPr>
        <w:t xml:space="preserve"> pristatymas, sumontavimas ir pridavimas inspektuojančiai įmonei laikas </w:t>
      </w:r>
      <w:r>
        <w:rPr>
          <w:rFonts w:ascii="Times New Roman" w:hAnsi="Times New Roman" w:eastAsia="Times New Roman" w:cs="Times New Roman"/>
          <w:b w:val="0"/>
          <w:bCs/>
          <w:sz w:val="24"/>
          <w:szCs w:val="24"/>
          <w:lang w:eastAsia="en-US"/>
        </w:rPr>
        <w:t>1-8 savaitės</w:t>
      </w:r>
      <w:r>
        <w:rPr>
          <w:rFonts w:ascii="Times New Roman" w:hAnsi="Times New Roman"/>
          <w:b w:val="0"/>
          <w:bCs/>
          <w:color w:val="000000"/>
          <w:sz w:val="24"/>
          <w:szCs w:val="24"/>
        </w:rPr>
        <w:t>.</w:t>
      </w:r>
    </w:p>
    <w:p w14:paraId="1A419DA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Suteikti gaminiams mažiausiai 2-jų metų garantiją.</w:t>
      </w:r>
    </w:p>
    <w:p w14:paraId="5BE433EE">
      <w:pPr>
        <w:numPr>
          <w:ilvl w:val="0"/>
          <w:numId w:val="2"/>
        </w:numPr>
        <w:spacing w:line="240" w:lineRule="auto"/>
        <w:ind w:firstLine="600" w:firstLineChars="250"/>
        <w:jc w:val="both"/>
        <w:rPr>
          <w:rFonts w:ascii="Times New Roman" w:hAnsi="Times New Roman"/>
          <w:b w:val="0"/>
          <w:bCs/>
          <w:color w:val="000000"/>
          <w:sz w:val="24"/>
          <w:szCs w:val="24"/>
        </w:rPr>
      </w:pPr>
      <w:r>
        <w:rPr>
          <w:rFonts w:ascii="Times New Roman" w:hAnsi="Times New Roman"/>
          <w:b w:val="0"/>
          <w:bCs/>
          <w:color w:val="000000"/>
          <w:sz w:val="24"/>
          <w:szCs w:val="24"/>
        </w:rPr>
        <w:t xml:space="preserve">Visa įranga turi atitikti </w:t>
      </w:r>
      <w:r>
        <w:rPr>
          <w:rFonts w:ascii="Times New Roman" w:hAnsi="Times New Roman"/>
          <w:b w:val="0"/>
          <w:bCs/>
          <w:sz w:val="24"/>
          <w:szCs w:val="24"/>
        </w:rPr>
        <w:t>saugumo standartą EN 1176.</w:t>
      </w:r>
    </w:p>
    <w:p w14:paraId="14D86275">
      <w:pPr>
        <w:numPr>
          <w:ilvl w:val="0"/>
          <w:numId w:val="2"/>
        </w:numPr>
        <w:spacing w:line="240" w:lineRule="auto"/>
        <w:ind w:firstLine="600" w:firstLineChars="250"/>
        <w:jc w:val="both"/>
        <w:rPr>
          <w:rFonts w:ascii="Times New Roman" w:hAnsi="Times New Roman" w:eastAsia="Times New Roman" w:cs="Times New Roman"/>
          <w:sz w:val="24"/>
          <w:szCs w:val="24"/>
          <w:lang w:eastAsia="en-US"/>
        </w:rPr>
      </w:pPr>
      <w:r>
        <w:rPr>
          <w:rFonts w:ascii="Times New Roman" w:hAnsi="Times New Roman"/>
          <w:b w:val="0"/>
          <w:bCs/>
          <w:sz w:val="24"/>
          <w:szCs w:val="24"/>
        </w:rPr>
        <w:t>Žaidimų aikštelės yra atsparios atmosferos poveikiui, aktyviam naudojimui.</w:t>
      </w:r>
    </w:p>
    <w:p w14:paraId="17D98339">
      <w:pPr>
        <w:numPr>
          <w:ilvl w:val="0"/>
          <w:numId w:val="2"/>
        </w:numPr>
        <w:spacing w:line="240" w:lineRule="auto"/>
        <w:ind w:firstLine="600" w:firstLineChars="250"/>
        <w:jc w:val="both"/>
        <w:rPr>
          <w:rFonts w:ascii="Times New Roman" w:hAnsi="Times New Roman" w:eastAsia="Times New Roman" w:cs="Times New Roman"/>
          <w:sz w:val="24"/>
          <w:szCs w:val="24"/>
          <w:lang w:eastAsia="en-US"/>
        </w:rPr>
      </w:pPr>
      <w:r>
        <w:rPr>
          <w:rFonts w:hint="default" w:ascii="Times New Roman" w:hAnsi="Times New Roman" w:eastAsia="Times New Roman"/>
          <w:sz w:val="24"/>
          <w:szCs w:val="24"/>
          <w:lang w:eastAsia="en-US"/>
        </w:rPr>
        <w:t>Žaidimų aikštelės įranga, turi turėti atitikties sertifikatą ar gamintojo deklaraciją, liudijančią įrangos ir dangos atitiktį joms taikomų Lietuvos standartų reikalavimams.</w:t>
      </w:r>
    </w:p>
    <w:tbl>
      <w:tblPr>
        <w:tblStyle w:val="12"/>
        <w:tblpPr w:leftFromText="180" w:rightFromText="180" w:vertAnchor="text" w:horzAnchor="page" w:tblpX="1418" w:tblpY="161"/>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6"/>
        <w:gridCol w:w="1275"/>
        <w:gridCol w:w="5033"/>
      </w:tblGrid>
      <w:tr w14:paraId="47D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shd w:val="clear" w:color="auto" w:fill="auto"/>
          </w:tcPr>
          <w:p w14:paraId="4EAE44F1">
            <w:pPr>
              <w:rPr>
                <w:rFonts w:ascii="Times New Roman" w:hAnsi="Times New Roman"/>
                <w:b/>
                <w:bCs/>
                <w:color w:val="000000"/>
                <w:sz w:val="24"/>
                <w:szCs w:val="24"/>
              </w:rPr>
            </w:pPr>
            <w:r>
              <w:rPr>
                <w:rFonts w:ascii="Times New Roman" w:hAnsi="Times New Roman"/>
                <w:b/>
                <w:bCs/>
                <w:color w:val="000000"/>
                <w:sz w:val="24"/>
                <w:szCs w:val="24"/>
              </w:rPr>
              <w:t>Įrenginio pavadinimas</w:t>
            </w:r>
          </w:p>
        </w:tc>
        <w:tc>
          <w:tcPr>
            <w:tcW w:w="1384" w:type="dxa"/>
            <w:shd w:val="clear" w:color="auto" w:fill="auto"/>
          </w:tcPr>
          <w:p w14:paraId="7E299AE6">
            <w:pPr>
              <w:jc w:val="center"/>
              <w:rPr>
                <w:rFonts w:ascii="Times New Roman" w:hAnsi="Times New Roman"/>
                <w:b/>
                <w:bCs/>
                <w:color w:val="000000"/>
                <w:sz w:val="24"/>
                <w:szCs w:val="24"/>
              </w:rPr>
            </w:pPr>
            <w:r>
              <w:rPr>
                <w:rFonts w:ascii="Times New Roman" w:hAnsi="Times New Roman"/>
                <w:b/>
                <w:bCs/>
                <w:color w:val="000000"/>
                <w:sz w:val="24"/>
                <w:szCs w:val="24"/>
              </w:rPr>
              <w:t>Kiekis</w:t>
            </w:r>
          </w:p>
        </w:tc>
        <w:tc>
          <w:tcPr>
            <w:tcW w:w="5704" w:type="dxa"/>
            <w:shd w:val="clear" w:color="auto" w:fill="auto"/>
          </w:tcPr>
          <w:p w14:paraId="41F43DFB">
            <w:pPr>
              <w:jc w:val="center"/>
              <w:rPr>
                <w:rFonts w:ascii="Times New Roman" w:hAnsi="Times New Roman"/>
                <w:b/>
                <w:bCs/>
                <w:color w:val="000000"/>
                <w:sz w:val="24"/>
                <w:szCs w:val="24"/>
              </w:rPr>
            </w:pPr>
            <w:r>
              <w:rPr>
                <w:rFonts w:ascii="Times New Roman" w:hAnsi="Times New Roman"/>
                <w:b/>
                <w:bCs/>
                <w:color w:val="000000"/>
                <w:sz w:val="24"/>
                <w:szCs w:val="24"/>
              </w:rPr>
              <w:t>Aprašymas</w:t>
            </w:r>
          </w:p>
        </w:tc>
      </w:tr>
      <w:tr w14:paraId="1460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2976" w:type="dxa"/>
            <w:shd w:val="clear" w:color="auto" w:fill="auto"/>
          </w:tcPr>
          <w:p w14:paraId="68A8120B">
            <w:pPr>
              <w:pStyle w:val="33"/>
              <w:rPr>
                <w:rFonts w:ascii="Times New Roman" w:hAnsi="Times New Roman" w:cs="Times New Roman"/>
                <w:b/>
                <w:bCs/>
                <w:color w:val="auto"/>
                <w:lang w:val="lt-LT"/>
              </w:rPr>
            </w:pPr>
            <w:r>
              <w:rPr>
                <w:rFonts w:ascii="Times New Roman" w:hAnsi="Times New Roman" w:eastAsia="sans-serif" w:cs="Times New Roman"/>
                <w:b/>
                <w:bCs/>
                <w:color w:val="auto"/>
                <w:shd w:val="clear" w:color="auto" w:fill="F5F9FA"/>
                <w:lang w:val="lt-LT"/>
              </w:rPr>
              <w:t xml:space="preserve">LAUKO VAIKŲ ŽAIDIMŲ AIKŠTELĖ </w:t>
            </w:r>
            <w:r>
              <w:rPr>
                <w:rFonts w:ascii="Times New Roman" w:hAnsi="Times New Roman" w:cs="Times New Roman"/>
                <w:b/>
                <w:bCs/>
                <w:color w:val="auto"/>
                <w:lang w:val="lt-LT"/>
              </w:rPr>
              <w:t xml:space="preserve"> </w:t>
            </w:r>
          </w:p>
          <w:p w14:paraId="7D104F52">
            <w:pPr>
              <w:pStyle w:val="33"/>
              <w:rPr>
                <w:rFonts w:ascii="Times New Roman" w:hAnsi="Times New Roman" w:cs="Times New Roman"/>
                <w:lang w:val="lt-LT"/>
              </w:rPr>
            </w:pPr>
          </w:p>
          <w:p w14:paraId="1E30EFEE">
            <w:pPr>
              <w:rPr>
                <w:rFonts w:ascii="Times New Roman" w:hAnsi="Times New Roman"/>
                <w:bCs/>
                <w:color w:val="000000"/>
                <w:sz w:val="24"/>
                <w:szCs w:val="24"/>
              </w:rPr>
            </w:pPr>
            <w:r>
              <w:rPr>
                <w:rFonts w:hint="default" w:ascii="Times New Roman" w:hAnsi="Times New Roman"/>
                <w:bCs/>
                <w:color w:val="000000"/>
                <w:sz w:val="24"/>
                <w:szCs w:val="24"/>
                <w:lang w:val="lt-LT"/>
              </w:rPr>
              <w:t>Bendras vaizdas</w:t>
            </w:r>
          </w:p>
          <w:p w14:paraId="53E0B835">
            <w:r>
              <w:rPr>
                <w:rFonts w:ascii="SimSun" w:hAnsi="SimSun" w:eastAsia="SimSun" w:cs="SimSun"/>
                <w:sz w:val="24"/>
                <w:szCs w:val="24"/>
              </w:rPr>
              <w:drawing>
                <wp:inline distT="0" distB="0" distL="114300" distR="114300">
                  <wp:extent cx="2118995" cy="1696085"/>
                  <wp:effectExtent l="0" t="0" r="14605" b="18415"/>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6"/>
                          <a:stretch>
                            <a:fillRect/>
                          </a:stretch>
                        </pic:blipFill>
                        <pic:spPr>
                          <a:xfrm>
                            <a:off x="0" y="0"/>
                            <a:ext cx="2118995" cy="169608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2237740" cy="1790700"/>
                  <wp:effectExtent l="0" t="0" r="10160" b="0"/>
                  <wp:docPr id="5"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256"/>
                          <pic:cNvPicPr>
                            <a:picLocks noChangeAspect="1"/>
                          </pic:cNvPicPr>
                        </pic:nvPicPr>
                        <pic:blipFill>
                          <a:blip r:embed="rId7"/>
                          <a:stretch>
                            <a:fillRect/>
                          </a:stretch>
                        </pic:blipFill>
                        <pic:spPr>
                          <a:xfrm>
                            <a:off x="0" y="0"/>
                            <a:ext cx="2237740" cy="1790700"/>
                          </a:xfrm>
                          <a:prstGeom prst="rect">
                            <a:avLst/>
                          </a:prstGeom>
                          <a:noFill/>
                          <a:ln w="9525">
                            <a:noFill/>
                          </a:ln>
                        </pic:spPr>
                      </pic:pic>
                    </a:graphicData>
                  </a:graphic>
                </wp:inline>
              </w:drawing>
            </w:r>
          </w:p>
          <w:p w14:paraId="7EC170A9"/>
          <w:p w14:paraId="275895F0">
            <w:pPr>
              <w:rPr>
                <w:rFonts w:hint="default"/>
                <w:lang w:val="lt-LT"/>
              </w:rPr>
            </w:pPr>
            <w:r>
              <w:rPr>
                <w:rFonts w:ascii="SimSun" w:hAnsi="SimSun" w:eastAsia="SimSun" w:cs="SimSun"/>
                <w:sz w:val="24"/>
                <w:szCs w:val="24"/>
              </w:rPr>
              <w:drawing>
                <wp:inline distT="0" distB="0" distL="114300" distR="114300">
                  <wp:extent cx="9525" cy="9525"/>
                  <wp:effectExtent l="0" t="0" r="0" b="0"/>
                  <wp:docPr id="8"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9"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9525" cy="9525"/>
                  <wp:effectExtent l="0" t="0" r="0" b="0"/>
                  <wp:docPr id="10"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2091055" cy="2091055"/>
                  <wp:effectExtent l="0" t="0" r="4445" b="4445"/>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9"/>
                          <a:stretch>
                            <a:fillRect/>
                          </a:stretch>
                        </pic:blipFill>
                        <pic:spPr>
                          <a:xfrm>
                            <a:off x="0" y="0"/>
                            <a:ext cx="2091055" cy="2091055"/>
                          </a:xfrm>
                          <a:prstGeom prst="rect">
                            <a:avLst/>
                          </a:prstGeom>
                          <a:noFill/>
                          <a:ln w="9525">
                            <a:noFill/>
                          </a:ln>
                        </pic:spPr>
                      </pic:pic>
                    </a:graphicData>
                  </a:graphic>
                </wp:inline>
              </w:drawing>
            </w:r>
          </w:p>
        </w:tc>
        <w:tc>
          <w:tcPr>
            <w:tcW w:w="1384" w:type="dxa"/>
            <w:shd w:val="clear" w:color="auto" w:fill="auto"/>
          </w:tcPr>
          <w:p w14:paraId="6EE5594B">
            <w:pPr>
              <w:rPr>
                <w:rFonts w:ascii="Times New Roman" w:hAnsi="Times New Roman"/>
                <w:bCs/>
                <w:color w:val="000000"/>
                <w:sz w:val="24"/>
                <w:szCs w:val="24"/>
              </w:rPr>
            </w:pPr>
            <w:r>
              <w:rPr>
                <w:rFonts w:ascii="Times New Roman" w:hAnsi="Times New Roman"/>
                <w:bCs/>
                <w:color w:val="000000"/>
                <w:sz w:val="24"/>
                <w:szCs w:val="24"/>
              </w:rPr>
              <w:t>1 vnt.</w:t>
            </w:r>
          </w:p>
        </w:tc>
        <w:tc>
          <w:tcPr>
            <w:tcW w:w="5704" w:type="dxa"/>
            <w:shd w:val="clear" w:color="auto" w:fill="auto"/>
          </w:tcPr>
          <w:p w14:paraId="479A023F">
            <w:pPr>
              <w:ind w:left="360"/>
              <w:rPr>
                <w:rFonts w:hint="default" w:ascii="Times New Roman" w:hAnsi="Times New Roman" w:cs="Times New Roman"/>
                <w:b/>
                <w:bCs/>
                <w:color w:val="000000"/>
                <w:sz w:val="24"/>
                <w:szCs w:val="24"/>
                <w:highlight w:val="yellow"/>
              </w:rPr>
            </w:pPr>
            <w:r>
              <w:rPr>
                <w:rFonts w:ascii="Times New Roman" w:hAnsi="Times New Roman"/>
                <w:b/>
                <w:bCs/>
                <w:color w:val="000000"/>
                <w:sz w:val="24"/>
                <w:szCs w:val="24"/>
              </w:rPr>
              <w:t xml:space="preserve">Reikalavimai: </w:t>
            </w:r>
          </w:p>
          <w:p w14:paraId="6E7510BF">
            <w:pPr>
              <w:pStyle w:val="32"/>
              <w:numPr>
                <w:ilvl w:val="0"/>
                <w:numId w:val="0"/>
              </w:numPr>
              <w:jc w:val="both"/>
              <w:rPr>
                <w:rFonts w:hint="default" w:ascii="Times New Roman" w:hAnsi="Times New Roman" w:cs="Times New Roman"/>
                <w:sz w:val="24"/>
                <w:szCs w:val="24"/>
                <w:highlight w:val="none"/>
                <w:lang w:val="lt-LT"/>
              </w:rPr>
            </w:pPr>
            <w:r>
              <w:rPr>
                <w:rFonts w:hint="default" w:ascii="Times New Roman" w:hAnsi="Times New Roman" w:cs="Times New Roman"/>
                <w:sz w:val="24"/>
                <w:szCs w:val="24"/>
                <w:highlight w:val="none"/>
                <w:lang w:val="lt-LT"/>
              </w:rPr>
              <w:t>1. Įrenginys skirtas 5+ amžiaus vaikams.</w:t>
            </w:r>
          </w:p>
          <w:p w14:paraId="316A4749">
            <w:pPr>
              <w:pStyle w:val="32"/>
              <w:numPr>
                <w:ilvl w:val="0"/>
                <w:numId w:val="0"/>
              </w:numPr>
              <w:jc w:val="both"/>
              <w:rPr>
                <w:rFonts w:hint="default" w:ascii="Times New Roman" w:hAnsi="Times New Roman" w:cs="Times New Roman"/>
                <w:sz w:val="24"/>
                <w:szCs w:val="24"/>
                <w:highlight w:val="none"/>
                <w:lang w:val="lt-LT"/>
              </w:rPr>
            </w:pPr>
            <w:r>
              <w:rPr>
                <w:rFonts w:hint="default" w:ascii="Times New Roman" w:hAnsi="Times New Roman" w:cs="Times New Roman"/>
                <w:sz w:val="24"/>
                <w:szCs w:val="24"/>
                <w:highlight w:val="none"/>
                <w:lang w:val="lt-LT"/>
              </w:rPr>
              <w:t>2. Žaidimų aikštelės saugos zona išdėstyta ne didesniame nei 7000mm x 11030mm žemės plote.</w:t>
            </w:r>
          </w:p>
          <w:p w14:paraId="013DBC79">
            <w:pPr>
              <w:pStyle w:val="32"/>
              <w:numPr>
                <w:ilvl w:val="0"/>
                <w:numId w:val="0"/>
              </w:numPr>
              <w:rPr>
                <w:rFonts w:hint="default" w:ascii="Times New Roman" w:hAnsi="Times New Roman" w:cs="Times New Roman"/>
                <w:sz w:val="24"/>
                <w:szCs w:val="24"/>
                <w:highlight w:val="none"/>
                <w:lang w:val="lt-LT"/>
              </w:rPr>
            </w:pPr>
            <w:r>
              <w:rPr>
                <w:rFonts w:hint="default" w:ascii="Times New Roman" w:hAnsi="Times New Roman" w:cs="Times New Roman"/>
                <w:sz w:val="24"/>
                <w:szCs w:val="24"/>
                <w:highlight w:val="none"/>
                <w:lang w:val="lt-LT"/>
              </w:rPr>
              <w:t>3. Žaidimų aikštelės orientaciniai matmenys:</w:t>
            </w:r>
          </w:p>
          <w:p w14:paraId="7A3E3AF1">
            <w:pPr>
              <w:pStyle w:val="32"/>
              <w:ind w:left="0" w:leftChars="0" w:firstLine="0" w:firstLineChars="0"/>
              <w:rPr>
                <w:rFonts w:hint="default" w:ascii="Times New Roman" w:hAnsi="Times New Roman" w:cs="Times New Roman"/>
                <w:bCs/>
                <w:sz w:val="24"/>
                <w:szCs w:val="24"/>
                <w:highlight w:val="none"/>
                <w:lang w:val="lt-LT"/>
              </w:rPr>
            </w:pPr>
            <w:r>
              <w:rPr>
                <w:rFonts w:hint="default" w:ascii="Times New Roman" w:hAnsi="Times New Roman" w:cs="Times New Roman"/>
                <w:bCs/>
                <w:sz w:val="24"/>
                <w:szCs w:val="24"/>
                <w:highlight w:val="none"/>
                <w:lang w:val="lt-LT"/>
              </w:rPr>
              <w:t xml:space="preserve">- plotis nuo 3000 mm iki 4500 mm; </w:t>
            </w:r>
          </w:p>
          <w:p w14:paraId="11E16E69">
            <w:pPr>
              <w:pStyle w:val="32"/>
              <w:ind w:left="0" w:leftChars="0" w:firstLine="0" w:firstLineChars="0"/>
              <w:rPr>
                <w:rFonts w:hint="default" w:ascii="Times New Roman" w:hAnsi="Times New Roman" w:cs="Times New Roman"/>
                <w:bCs/>
                <w:sz w:val="24"/>
                <w:szCs w:val="24"/>
                <w:highlight w:val="none"/>
                <w:lang w:val="lt-LT"/>
              </w:rPr>
            </w:pPr>
            <w:r>
              <w:rPr>
                <w:rFonts w:hint="default" w:ascii="Times New Roman" w:hAnsi="Times New Roman" w:cs="Times New Roman"/>
                <w:bCs/>
                <w:sz w:val="24"/>
                <w:szCs w:val="24"/>
                <w:highlight w:val="none"/>
                <w:lang w:val="lt-LT"/>
              </w:rPr>
              <w:t>- ilgis nuo 3000 mm iki 7050 mm;</w:t>
            </w:r>
          </w:p>
          <w:p w14:paraId="50BB7D70">
            <w:pPr>
              <w:pStyle w:val="32"/>
              <w:ind w:left="0" w:leftChars="0" w:firstLine="0" w:firstLineChars="0"/>
              <w:rPr>
                <w:rFonts w:hint="default" w:ascii="Times New Roman" w:hAnsi="Times New Roman" w:cs="Times New Roman"/>
                <w:bCs/>
                <w:sz w:val="24"/>
                <w:szCs w:val="24"/>
                <w:highlight w:val="none"/>
                <w:lang w:val="lt-LT"/>
              </w:rPr>
            </w:pPr>
            <w:r>
              <w:rPr>
                <w:rFonts w:hint="default" w:ascii="Times New Roman" w:hAnsi="Times New Roman" w:cs="Times New Roman"/>
                <w:bCs/>
                <w:sz w:val="24"/>
                <w:szCs w:val="24"/>
                <w:highlight w:val="none"/>
                <w:lang w:val="lt-LT"/>
              </w:rPr>
              <w:t>- Bendras aukštis iki 3500 mm;</w:t>
            </w:r>
          </w:p>
          <w:p w14:paraId="7E090412">
            <w:pPr>
              <w:pStyle w:val="32"/>
              <w:numPr>
                <w:ilvl w:val="0"/>
                <w:numId w:val="0"/>
              </w:numPr>
              <w:rPr>
                <w:rFonts w:hint="default" w:ascii="Times New Roman" w:hAnsi="Times New Roman"/>
                <w:sz w:val="24"/>
                <w:szCs w:val="24"/>
                <w:highlight w:val="none"/>
                <w:lang w:val="lt-LT"/>
              </w:rPr>
            </w:pPr>
            <w:r>
              <w:rPr>
                <w:rFonts w:hint="default" w:ascii="Times New Roman" w:hAnsi="Times New Roman"/>
                <w:sz w:val="24"/>
                <w:szCs w:val="24"/>
                <w:highlight w:val="none"/>
                <w:lang w:val="lt-LT"/>
              </w:rPr>
              <w:t xml:space="preserve">4. </w:t>
            </w:r>
            <w:r>
              <w:rPr>
                <w:rFonts w:ascii="Times New Roman" w:hAnsi="Times New Roman"/>
                <w:sz w:val="24"/>
                <w:szCs w:val="24"/>
                <w:highlight w:val="none"/>
              </w:rPr>
              <w:t>Didžiausias kritimo aukštis:</w:t>
            </w:r>
            <w:r>
              <w:rPr>
                <w:rFonts w:hint="default" w:ascii="Times New Roman" w:hAnsi="Times New Roman"/>
                <w:sz w:val="24"/>
                <w:szCs w:val="24"/>
                <w:highlight w:val="none"/>
                <w:lang w:val="lt-LT"/>
              </w:rPr>
              <w:t xml:space="preserve"> 1500</w:t>
            </w:r>
            <w:r>
              <w:rPr>
                <w:rFonts w:ascii="Times New Roman" w:hAnsi="Times New Roman"/>
                <w:sz w:val="24"/>
                <w:szCs w:val="24"/>
                <w:highlight w:val="none"/>
              </w:rPr>
              <w:t xml:space="preserve"> m</w:t>
            </w:r>
            <w:r>
              <w:rPr>
                <w:rFonts w:hint="default" w:ascii="Times New Roman" w:hAnsi="Times New Roman"/>
                <w:sz w:val="24"/>
                <w:szCs w:val="24"/>
                <w:highlight w:val="none"/>
                <w:lang w:val="lt-LT"/>
              </w:rPr>
              <w:t>m</w:t>
            </w:r>
          </w:p>
          <w:p w14:paraId="108FB152">
            <w:pPr>
              <w:ind w:left="390"/>
              <w:rPr>
                <w:rFonts w:hint="default" w:ascii="Times New Roman" w:hAnsi="Times New Roman" w:cs="Times New Roman"/>
                <w:b/>
                <w:bCs/>
                <w:color w:val="000000"/>
                <w:sz w:val="24"/>
                <w:szCs w:val="24"/>
              </w:rPr>
            </w:pPr>
            <w:bookmarkStart w:id="0" w:name="_GoBack"/>
            <w:bookmarkEnd w:id="0"/>
          </w:p>
          <w:p w14:paraId="5862AD37">
            <w:pPr>
              <w:ind w:left="390"/>
              <w:rPr>
                <w:rFonts w:hint="default"/>
              </w:rPr>
            </w:pPr>
            <w:r>
              <w:rPr>
                <w:rFonts w:hint="default" w:ascii="Times New Roman" w:hAnsi="Times New Roman" w:cs="Times New Roman"/>
                <w:b/>
                <w:bCs/>
                <w:color w:val="000000"/>
                <w:sz w:val="24"/>
                <w:szCs w:val="24"/>
              </w:rPr>
              <w:t>Įrenginys sudarytas iš:</w:t>
            </w:r>
          </w:p>
          <w:p w14:paraId="20A1DF9F">
            <w:pPr>
              <w:pStyle w:val="4"/>
              <w:numPr>
                <w:ilvl w:val="2"/>
                <w:numId w:val="0"/>
              </w:numPr>
              <w:bidi w:val="0"/>
              <w:ind w:firstLine="120" w:firstLineChars="50"/>
              <w:rPr>
                <w:rFonts w:hint="default"/>
                <w:lang w:val="lt-LT"/>
              </w:rPr>
            </w:pPr>
            <w:r>
              <w:rPr>
                <w:rFonts w:hint="default"/>
                <w:lang w:val="lt-LT"/>
              </w:rPr>
              <w:t>Ne mažiau:</w:t>
            </w:r>
          </w:p>
          <w:p w14:paraId="08EF89E5">
            <w:pPr>
              <w:pStyle w:val="4"/>
              <w:numPr>
                <w:ilvl w:val="2"/>
                <w:numId w:val="0"/>
              </w:numPr>
              <w:bidi w:val="0"/>
              <w:ind w:leftChars="0"/>
              <w:rPr>
                <w:rFonts w:hint="default"/>
              </w:rPr>
            </w:pPr>
            <w:r>
              <w:rPr>
                <w:rFonts w:hint="default"/>
              </w:rPr>
              <w:t>•</w:t>
            </w:r>
            <w:r>
              <w:rPr>
                <w:rFonts w:hint="default"/>
                <w:lang w:val="lt-LT"/>
              </w:rPr>
              <w:t xml:space="preserve"> </w:t>
            </w:r>
            <w:r>
              <w:rPr>
                <w:rFonts w:hint="default"/>
              </w:rPr>
              <w:t xml:space="preserve">4 </w:t>
            </w:r>
            <w:r>
              <w:rPr>
                <w:rFonts w:hint="default"/>
                <w:lang w:val="lt-LT"/>
              </w:rPr>
              <w:t xml:space="preserve">platformos </w:t>
            </w:r>
          </w:p>
          <w:p w14:paraId="5B73845D">
            <w:pPr>
              <w:pStyle w:val="4"/>
              <w:numPr>
                <w:ilvl w:val="2"/>
                <w:numId w:val="0"/>
              </w:numPr>
              <w:bidi w:val="0"/>
              <w:ind w:leftChars="0"/>
              <w:rPr>
                <w:rFonts w:hint="default"/>
              </w:rPr>
            </w:pPr>
            <w:r>
              <w:rPr>
                <w:rFonts w:hint="default"/>
              </w:rPr>
              <w:t>• 2 čiuožyklos</w:t>
            </w:r>
            <w:r>
              <w:rPr>
                <w:rFonts w:hint="default"/>
                <w:lang w:val="lt-LT"/>
              </w:rPr>
              <w:t xml:space="preserve"> iš nerūdijančio plieno</w:t>
            </w:r>
            <w:r>
              <w:rPr>
                <w:rFonts w:hint="default"/>
              </w:rPr>
              <w:t xml:space="preserve"> </w:t>
            </w:r>
          </w:p>
          <w:p w14:paraId="0262DEA8">
            <w:pPr>
              <w:pStyle w:val="4"/>
              <w:numPr>
                <w:ilvl w:val="2"/>
                <w:numId w:val="0"/>
              </w:numPr>
              <w:bidi w:val="0"/>
              <w:ind w:leftChars="0"/>
              <w:rPr>
                <w:rFonts w:hint="default"/>
              </w:rPr>
            </w:pPr>
            <w:r>
              <w:rPr>
                <w:rFonts w:hint="default"/>
              </w:rPr>
              <w:t xml:space="preserve">• 1 virvinis tiltas  </w:t>
            </w:r>
          </w:p>
          <w:p w14:paraId="43EE5E21">
            <w:pPr>
              <w:pStyle w:val="4"/>
              <w:numPr>
                <w:ilvl w:val="2"/>
                <w:numId w:val="0"/>
              </w:numPr>
              <w:bidi w:val="0"/>
              <w:ind w:leftChars="0"/>
              <w:rPr>
                <w:rFonts w:hint="default"/>
                <w:lang w:val="lt-LT"/>
              </w:rPr>
            </w:pPr>
            <w:r>
              <w:rPr>
                <w:rFonts w:hint="default"/>
              </w:rPr>
              <w:t>• 1 „voratinklio“ laipiojimo konstrukcija</w:t>
            </w:r>
            <w:r>
              <w:rPr>
                <w:rFonts w:hint="default"/>
                <w:lang w:val="lt-LT"/>
              </w:rPr>
              <w:t xml:space="preserve">, ar </w:t>
            </w:r>
            <w:r>
              <w:rPr>
                <w:rFonts w:hint="default"/>
              </w:rPr>
              <w:t xml:space="preserve"> </w:t>
            </w:r>
            <w:r>
              <w:rPr>
                <w:rFonts w:hint="default"/>
                <w:lang w:val="lt-LT"/>
              </w:rPr>
              <w:t>vertikali karstymosi sienelė</w:t>
            </w:r>
          </w:p>
          <w:p w14:paraId="4010CB4C">
            <w:pPr>
              <w:pStyle w:val="4"/>
              <w:numPr>
                <w:ilvl w:val="2"/>
                <w:numId w:val="0"/>
              </w:numPr>
              <w:bidi w:val="0"/>
              <w:ind w:leftChars="0"/>
              <w:rPr>
                <w:rFonts w:hint="default"/>
              </w:rPr>
            </w:pPr>
            <w:r>
              <w:rPr>
                <w:rFonts w:hint="default"/>
              </w:rPr>
              <w:t xml:space="preserve">• 1 judantis tiltelis </w:t>
            </w:r>
          </w:p>
          <w:p w14:paraId="5A15496A">
            <w:pPr>
              <w:pStyle w:val="4"/>
              <w:numPr>
                <w:ilvl w:val="2"/>
                <w:numId w:val="0"/>
              </w:numPr>
              <w:bidi w:val="0"/>
              <w:ind w:leftChars="0"/>
              <w:rPr>
                <w:rFonts w:hint="default"/>
              </w:rPr>
            </w:pPr>
            <w:r>
              <w:rPr>
                <w:rFonts w:hint="default"/>
              </w:rPr>
              <w:t xml:space="preserve">• 1 laiptinis tiltas  </w:t>
            </w:r>
          </w:p>
          <w:p w14:paraId="0F84DF05">
            <w:pPr>
              <w:pStyle w:val="4"/>
              <w:numPr>
                <w:ilvl w:val="2"/>
                <w:numId w:val="0"/>
              </w:numPr>
              <w:bidi w:val="0"/>
              <w:ind w:leftChars="0"/>
              <w:rPr>
                <w:rFonts w:hint="default"/>
              </w:rPr>
            </w:pPr>
            <w:r>
              <w:rPr>
                <w:rFonts w:hint="default"/>
              </w:rPr>
              <w:t xml:space="preserve">• 1 lenktas įėjimas  </w:t>
            </w:r>
          </w:p>
          <w:p w14:paraId="07EA6B85">
            <w:pPr>
              <w:pStyle w:val="4"/>
              <w:numPr>
                <w:ilvl w:val="2"/>
                <w:numId w:val="0"/>
              </w:numPr>
              <w:bidi w:val="0"/>
              <w:ind w:leftChars="0"/>
              <w:rPr>
                <w:rFonts w:hint="default"/>
                <w:lang w:val="lt-LT"/>
              </w:rPr>
            </w:pPr>
            <w:r>
              <w:rPr>
                <w:rFonts w:hint="default"/>
              </w:rPr>
              <w:t>• 1 gaisrininko įėjimas</w:t>
            </w:r>
            <w:r>
              <w:rPr>
                <w:rFonts w:hint="default"/>
                <w:lang w:val="lt-LT"/>
              </w:rPr>
              <w:t>, ar stulpas</w:t>
            </w:r>
          </w:p>
          <w:p w14:paraId="3AB11643">
            <w:pPr>
              <w:pStyle w:val="4"/>
              <w:numPr>
                <w:ilvl w:val="2"/>
                <w:numId w:val="0"/>
              </w:numPr>
              <w:bidi w:val="0"/>
              <w:ind w:leftChars="0"/>
              <w:rPr>
                <w:rFonts w:hint="default"/>
              </w:rPr>
            </w:pPr>
            <w:r>
              <w:rPr>
                <w:rFonts w:hint="default"/>
              </w:rPr>
              <w:t>•</w:t>
            </w:r>
            <w:r>
              <w:rPr>
                <w:rFonts w:hint="default"/>
                <w:lang w:val="lt-LT"/>
              </w:rPr>
              <w:t xml:space="preserve"> </w:t>
            </w:r>
            <w:r>
              <w:rPr>
                <w:rFonts w:hint="default"/>
              </w:rPr>
              <w:t>Įvairūs apsauginiai ir sensoriniai elementai (pasteliniai, plexi, HDPE plokštės)</w:t>
            </w:r>
          </w:p>
          <w:p w14:paraId="1BDD6A77"/>
          <w:p w14:paraId="562931A4">
            <w:pPr>
              <w:pStyle w:val="32"/>
              <w:numPr>
                <w:ilvl w:val="0"/>
                <w:numId w:val="0"/>
              </w:numPr>
              <w:ind w:left="360" w:leftChars="0"/>
              <w:rPr>
                <w:rFonts w:hint="default" w:ascii="Times New Roman" w:hAnsi="Times New Roman" w:cs="Times New Roman"/>
                <w:sz w:val="24"/>
                <w:szCs w:val="24"/>
              </w:rPr>
            </w:pPr>
            <w:r>
              <w:rPr>
                <w:rFonts w:hint="default" w:ascii="Times New Roman" w:hAnsi="Times New Roman" w:cs="Times New Roman"/>
                <w:b/>
                <w:bCs/>
                <w:sz w:val="24"/>
                <w:szCs w:val="24"/>
                <w:lang w:val="lt-LT"/>
              </w:rPr>
              <w:t>Montavimo ir naudojimo sąlygos</w:t>
            </w:r>
            <w:r>
              <w:rPr>
                <w:rFonts w:hint="default" w:ascii="Times New Roman" w:hAnsi="Times New Roman" w:cs="Times New Roman"/>
                <w:sz w:val="24"/>
                <w:szCs w:val="24"/>
              </w:rPr>
              <w:t xml:space="preserve"> </w:t>
            </w:r>
          </w:p>
          <w:p w14:paraId="4E0601E4">
            <w:pPr>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Kai žaidimų aikštelė įrengiama arti kitų įrangų ar jos dalių, kurios nesuteikia naudotojui priverstinio judėjimo, jo kritimo erdvė bei susidūrimo zona, išskyrus čiuožyklos zoną, gali persidengti atitinkamai su kitos įrangos kritimo erdve ar susidūrimo zona. Kai įranga įrengiama arti kitų įrangų ar jos dalių, kurios suteikia naudotojui priverstinį judėjimą, jo kritimo erdvė bei susidūrimo zona negali persidengti atitinkamai su kitos įrangos kritimo erdve ar susidūrimo zona.</w:t>
            </w:r>
          </w:p>
          <w:p w14:paraId="3BED6408">
            <w:pPr>
              <w:pStyle w:val="32"/>
              <w:numPr>
                <w:ilvl w:val="0"/>
                <w:numId w:val="0"/>
              </w:numPr>
              <w:ind w:left="360"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Žaidimų </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aikštelės</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čiuožyklos</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zona</w:t>
            </w:r>
            <w:r>
              <w:rPr>
                <w:rFonts w:hint="default" w:ascii="Times New Roman" w:hAnsi="Times New Roman" w:cs="Times New Roman"/>
                <w:sz w:val="24"/>
                <w:szCs w:val="24"/>
                <w:lang w:val="lt-LT"/>
              </w:rPr>
              <w:t xml:space="preserve"> </w:t>
            </w:r>
            <w:r>
              <w:rPr>
                <w:rFonts w:hint="default" w:ascii="Times New Roman" w:hAnsi="Times New Roman" w:cs="Times New Roman"/>
                <w:sz w:val="24"/>
                <w:szCs w:val="24"/>
              </w:rPr>
              <w:t xml:space="preserve"> negali</w:t>
            </w:r>
          </w:p>
          <w:p w14:paraId="04432315">
            <w:pPr>
              <w:pStyle w:val="32"/>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rPr>
              <w:t>persidengti su kitų įrangų, esančių arti, atitinkamomis zonomis.</w:t>
            </w:r>
          </w:p>
          <w:p w14:paraId="5E8B6223">
            <w:pPr>
              <w:pStyle w:val="32"/>
              <w:numPr>
                <w:ilvl w:val="0"/>
                <w:numId w:val="0"/>
              </w:numPr>
              <w:ind w:firstLine="360" w:firstLineChars="150"/>
              <w:jc w:val="both"/>
              <w:rPr>
                <w:rFonts w:hint="default" w:ascii="Times New Roman" w:hAnsi="Times New Roman" w:cs="Times New Roman"/>
                <w:sz w:val="24"/>
                <w:szCs w:val="24"/>
              </w:rPr>
            </w:pPr>
            <w:r>
              <w:rPr>
                <w:rFonts w:hint="default" w:ascii="Times New Roman" w:hAnsi="Times New Roman" w:cs="Times New Roman"/>
                <w:sz w:val="24"/>
                <w:szCs w:val="24"/>
              </w:rPr>
              <w:t>Montavima</w:t>
            </w:r>
            <w:r>
              <w:rPr>
                <w:rFonts w:hint="default" w:ascii="Times New Roman" w:hAnsi="Times New Roman" w:cs="Times New Roman"/>
                <w:sz w:val="24"/>
                <w:szCs w:val="24"/>
                <w:lang w:val="lt-LT"/>
              </w:rPr>
              <w:t>s</w:t>
            </w:r>
            <w:r>
              <w:rPr>
                <w:rFonts w:hint="default" w:ascii="Times New Roman" w:hAnsi="Times New Roman" w:cs="Times New Roman"/>
                <w:sz w:val="24"/>
                <w:szCs w:val="24"/>
              </w:rPr>
              <w:t>: betonavimas arba tvirtinimas cheminėmis tvirtinimo detalėmis</w:t>
            </w:r>
          </w:p>
          <w:p w14:paraId="19772204">
            <w:pPr>
              <w:pStyle w:val="32"/>
              <w:numPr>
                <w:ilvl w:val="0"/>
                <w:numId w:val="0"/>
              </w:numPr>
              <w:jc w:val="both"/>
              <w:rPr>
                <w:rFonts w:hint="default" w:ascii="Times New Roman" w:hAnsi="Times New Roman" w:cs="Times New Roman"/>
                <w:sz w:val="24"/>
                <w:szCs w:val="24"/>
                <w:lang w:val="lt-LT"/>
              </w:rPr>
            </w:pPr>
          </w:p>
          <w:p w14:paraId="4A439965">
            <w:pPr>
              <w:ind w:left="390"/>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Įrenginys sudarytas iš:</w:t>
            </w:r>
          </w:p>
          <w:p w14:paraId="2BC4CDD3">
            <w:pPr>
              <w:pStyle w:val="4"/>
              <w:numPr>
                <w:ilvl w:val="2"/>
                <w:numId w:val="0"/>
              </w:numPr>
              <w:bidi w:val="0"/>
              <w:ind w:leftChars="0"/>
            </w:pPr>
            <w:r>
              <w:t>• Konstrukcija iš skirtingo skersmens plieninių skersinių ir profilių</w:t>
            </w:r>
            <w:r>
              <w:rPr>
                <w:rFonts w:hint="default"/>
                <w:lang w:val="lt-LT"/>
              </w:rPr>
              <w:t>.</w:t>
            </w:r>
            <w:r>
              <w:t xml:space="preserve"> </w:t>
            </w:r>
          </w:p>
          <w:p w14:paraId="04C6ECA4">
            <w:pPr>
              <w:pStyle w:val="4"/>
              <w:numPr>
                <w:ilvl w:val="2"/>
                <w:numId w:val="0"/>
              </w:numPr>
              <w:bidi w:val="0"/>
              <w:ind w:leftChars="0"/>
            </w:pPr>
            <w:r>
              <w:t xml:space="preserve">• Konstrukcija apsaugota cinkavimo gruntu ir padengta milteliniais dažais. </w:t>
            </w:r>
          </w:p>
          <w:p w14:paraId="73D762F7">
            <w:pPr>
              <w:pStyle w:val="4"/>
              <w:numPr>
                <w:ilvl w:val="2"/>
                <w:numId w:val="0"/>
              </w:numPr>
              <w:bidi w:val="0"/>
              <w:ind w:leftChars="0"/>
            </w:pPr>
            <w:r>
              <w:t xml:space="preserve">• Paviršius: poliesteriniai dažai, HDPE plokštės, neslystanti oro sąlygoms atspari fanera, nerūdijančio plieno lakštai, armuota polipropileno virvė. </w:t>
            </w:r>
          </w:p>
          <w:p w14:paraId="2C86379F">
            <w:pPr>
              <w:pStyle w:val="4"/>
              <w:numPr>
                <w:ilvl w:val="2"/>
                <w:numId w:val="0"/>
              </w:numPr>
              <w:bidi w:val="0"/>
              <w:ind w:leftChars="0"/>
            </w:pPr>
            <w:r>
              <w:t>• Sensoriniai elementai iš plexi, HDPE, rotomoulding plastiko</w:t>
            </w:r>
            <w:r>
              <w:rPr>
                <w:rFonts w:hint="default"/>
                <w:lang w:val="lt-LT"/>
              </w:rPr>
              <w:t>.</w:t>
            </w:r>
            <w:r>
              <w:t xml:space="preserve"> </w:t>
            </w:r>
          </w:p>
          <w:p w14:paraId="0194649A">
            <w:pPr>
              <w:pStyle w:val="4"/>
              <w:numPr>
                <w:ilvl w:val="2"/>
                <w:numId w:val="0"/>
              </w:numPr>
              <w:bidi w:val="0"/>
              <w:ind w:leftChars="0"/>
              <w:rPr>
                <w:rFonts w:hint="default"/>
                <w:lang w:val="lt-LT"/>
              </w:rPr>
            </w:pPr>
            <w:r>
              <w:t>• Visi aštrūs kampai užapvalinti, nėra pavojingų tarpų</w:t>
            </w:r>
            <w:r>
              <w:rPr>
                <w:rFonts w:hint="default"/>
                <w:lang w:val="lt-LT"/>
              </w:rPr>
              <w:t>.</w:t>
            </w:r>
          </w:p>
          <w:p w14:paraId="126A85EA">
            <w:pPr>
              <w:pStyle w:val="4"/>
              <w:numPr>
                <w:ilvl w:val="2"/>
                <w:numId w:val="0"/>
              </w:numPr>
              <w:bidi w:val="0"/>
              <w:ind w:leftChars="0"/>
              <w:rPr>
                <w:rFonts w:hint="default"/>
                <w:lang w:val="lt-LT"/>
              </w:rPr>
            </w:pPr>
            <w:r>
              <w:t>• Įrenginys sertifikuotas</w:t>
            </w:r>
            <w:r>
              <w:rPr>
                <w:rFonts w:hint="default"/>
                <w:lang w:val="lt-LT"/>
              </w:rPr>
              <w:t>.</w:t>
            </w:r>
          </w:p>
          <w:p w14:paraId="505DAE83">
            <w:pPr>
              <w:rPr>
                <w:rFonts w:hint="default"/>
                <w:lang w:val="lt-LT"/>
              </w:rPr>
            </w:pPr>
            <w:r>
              <w:t xml:space="preserve">• </w:t>
            </w:r>
            <w:r>
              <w:rPr>
                <w:rFonts w:hint="default"/>
                <w:lang w:val="lt-LT"/>
              </w:rPr>
              <w:t xml:space="preserve"> </w:t>
            </w:r>
            <w:r>
              <w:rPr>
                <w:rFonts w:hint="default" w:ascii="Times New Roman" w:hAnsi="Times New Roman" w:cs="Times New Roman"/>
                <w:sz w:val="24"/>
                <w:szCs w:val="24"/>
                <w:lang w:val="lt-LT"/>
              </w:rPr>
              <w:t>Spalva derinama su užsakovu.</w:t>
            </w:r>
          </w:p>
          <w:p w14:paraId="79CDF9FA">
            <w:pPr>
              <w:pStyle w:val="32"/>
              <w:numPr>
                <w:ilvl w:val="0"/>
                <w:numId w:val="0"/>
              </w:numPr>
              <w:jc w:val="both"/>
              <w:rPr>
                <w:rFonts w:hint="default" w:ascii="Times New Roman" w:hAnsi="Times New Roman" w:cs="Times New Roman"/>
                <w:bCs/>
                <w:sz w:val="24"/>
                <w:szCs w:val="24"/>
                <w:lang w:val="lt-LT"/>
              </w:rPr>
            </w:pPr>
            <w:r>
              <w:rPr>
                <w:rFonts w:hint="default" w:ascii="Times New Roman" w:hAnsi="Times New Roman" w:cs="Times New Roman"/>
                <w:b/>
                <w:bCs w:val="0"/>
                <w:sz w:val="24"/>
                <w:szCs w:val="24"/>
                <w:lang w:val="lt-LT"/>
              </w:rPr>
              <w:t>Techniniai ir bendrieji reikalavimai įrangai:</w:t>
            </w:r>
          </w:p>
          <w:p w14:paraId="29AA4047">
            <w:pPr>
              <w:pStyle w:val="32"/>
              <w:numPr>
                <w:ilvl w:val="0"/>
                <w:numId w:val="0"/>
              </w:numPr>
              <w:ind w:firstLine="360" w:firstLineChars="150"/>
              <w:jc w:val="both"/>
              <w:rPr>
                <w:rFonts w:hint="default"/>
                <w:lang w:val="lt-LT"/>
              </w:rPr>
            </w:pPr>
            <w:r>
              <w:rPr>
                <w:rFonts w:hint="default" w:ascii="Times New Roman" w:hAnsi="Times New Roman"/>
                <w:sz w:val="24"/>
                <w:szCs w:val="24"/>
                <w:lang w:val="lt-LT"/>
              </w:rPr>
              <w:t xml:space="preserve"> </w:t>
            </w:r>
            <w:r>
              <w:rPr>
                <w:rFonts w:hint="default" w:ascii="Times New Roman" w:hAnsi="Times New Roman" w:cs="Times New Roman"/>
                <w:bCs/>
                <w:sz w:val="24"/>
                <w:szCs w:val="24"/>
                <w:lang w:val="lt-LT"/>
              </w:rPr>
              <w:t xml:space="preserve">Įranga turi atitikti </w:t>
            </w:r>
            <w:r>
              <w:rPr>
                <w:rFonts w:hint="default" w:ascii="Times New Roman" w:hAnsi="Times New Roman" w:cs="Times New Roman"/>
                <w:sz w:val="24"/>
                <w:szCs w:val="24"/>
                <w:lang w:val="lt-LT"/>
              </w:rPr>
              <w:t>LST EN 1176-1:2018 „Žaidimų aikštelės įranga. Bendrieji saugos reikalavimai ir bandymo metodai“ ir LST EN1176-3:2018 „Čiuožynių papildomi specialieji saugos reikalavimai ir bandymo metodai“ standartus.</w:t>
            </w:r>
          </w:p>
        </w:tc>
      </w:tr>
    </w:tbl>
    <w:p w14:paraId="4AE76FAA">
      <w:pPr>
        <w:pStyle w:val="32"/>
        <w:spacing w:line="360" w:lineRule="auto"/>
        <w:ind w:left="0" w:leftChars="0" w:firstLine="960" w:firstLineChars="400"/>
        <w:jc w:val="both"/>
        <w:rPr>
          <w:rFonts w:ascii="Times New Roman" w:hAnsi="Times New Roman" w:cs="Times New Roman"/>
          <w:sz w:val="24"/>
          <w:szCs w:val="24"/>
          <w:lang w:eastAsia="en-US"/>
        </w:rPr>
      </w:pP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BA"/>
    <w:family w:val="roman"/>
    <w:pitch w:val="default"/>
    <w:sig w:usb0="E00006FF" w:usb1="420024FF" w:usb2="02000000" w:usb3="00000000" w:csb0="2000019F" w:csb1="00000000"/>
  </w:font>
  <w:font w:name="Tahoma">
    <w:panose1 w:val="020B0604030504040204"/>
    <w:charset w:val="BA"/>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B6B6E"/>
    <w:multiLevelType w:val="singleLevel"/>
    <w:tmpl w:val="2F8B6B6E"/>
    <w:lvl w:ilvl="0" w:tentative="0">
      <w:start w:val="1"/>
      <w:numFmt w:val="decimal"/>
      <w:suff w:val="space"/>
      <w:lvlText w:val="%1."/>
      <w:lvlJc w:val="left"/>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22240"/>
    <w:rsid w:val="00C65BFF"/>
    <w:rsid w:val="00C72910"/>
    <w:rsid w:val="00C74929"/>
    <w:rsid w:val="00C87323"/>
    <w:rsid w:val="00CC46BA"/>
    <w:rsid w:val="00CD247B"/>
    <w:rsid w:val="00CE08F3"/>
    <w:rsid w:val="00CE52CB"/>
    <w:rsid w:val="00D008EA"/>
    <w:rsid w:val="00D07D6F"/>
    <w:rsid w:val="00D378D8"/>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EF08A7"/>
    <w:rsid w:val="00F07D1B"/>
    <w:rsid w:val="00F16FE3"/>
    <w:rsid w:val="00F259EC"/>
    <w:rsid w:val="00F264A9"/>
    <w:rsid w:val="00F35DB5"/>
    <w:rsid w:val="00F869DF"/>
    <w:rsid w:val="00FA0D3F"/>
    <w:rsid w:val="00FB520F"/>
    <w:rsid w:val="00FB5A73"/>
    <w:rsid w:val="00FC63D2"/>
    <w:rsid w:val="00FD151A"/>
    <w:rsid w:val="00FD18FA"/>
    <w:rsid w:val="00FD1F4C"/>
    <w:rsid w:val="00FD7965"/>
    <w:rsid w:val="01A3707D"/>
    <w:rsid w:val="02700E9D"/>
    <w:rsid w:val="0357392E"/>
    <w:rsid w:val="038D1CCC"/>
    <w:rsid w:val="04801084"/>
    <w:rsid w:val="05A47B2D"/>
    <w:rsid w:val="07013237"/>
    <w:rsid w:val="074109F4"/>
    <w:rsid w:val="08FE0667"/>
    <w:rsid w:val="0906705B"/>
    <w:rsid w:val="0A8A7169"/>
    <w:rsid w:val="0BCB01C4"/>
    <w:rsid w:val="0C156073"/>
    <w:rsid w:val="0CD10396"/>
    <w:rsid w:val="0D4E28CF"/>
    <w:rsid w:val="0D613CAB"/>
    <w:rsid w:val="0F166DCC"/>
    <w:rsid w:val="0F1E3724"/>
    <w:rsid w:val="0FF33CBB"/>
    <w:rsid w:val="11AE5258"/>
    <w:rsid w:val="13ED6813"/>
    <w:rsid w:val="144D76A7"/>
    <w:rsid w:val="14F926F4"/>
    <w:rsid w:val="15184216"/>
    <w:rsid w:val="157D3325"/>
    <w:rsid w:val="15EC6DCA"/>
    <w:rsid w:val="174E114A"/>
    <w:rsid w:val="179D40B0"/>
    <w:rsid w:val="17E94EE5"/>
    <w:rsid w:val="17EE3251"/>
    <w:rsid w:val="1B5E0215"/>
    <w:rsid w:val="1C791D4D"/>
    <w:rsid w:val="1D462110"/>
    <w:rsid w:val="1DBF3961"/>
    <w:rsid w:val="1E9536C6"/>
    <w:rsid w:val="1E996177"/>
    <w:rsid w:val="20AB7FCF"/>
    <w:rsid w:val="21523D90"/>
    <w:rsid w:val="22001566"/>
    <w:rsid w:val="22274816"/>
    <w:rsid w:val="231210D7"/>
    <w:rsid w:val="232C7373"/>
    <w:rsid w:val="23640948"/>
    <w:rsid w:val="2443738F"/>
    <w:rsid w:val="24E0617F"/>
    <w:rsid w:val="24FB1724"/>
    <w:rsid w:val="258D4474"/>
    <w:rsid w:val="26B00F2A"/>
    <w:rsid w:val="27F8139F"/>
    <w:rsid w:val="28B27917"/>
    <w:rsid w:val="28E535DB"/>
    <w:rsid w:val="29B93DA5"/>
    <w:rsid w:val="2B2B5647"/>
    <w:rsid w:val="2DD80540"/>
    <w:rsid w:val="2DFA56E6"/>
    <w:rsid w:val="2E6C6343"/>
    <w:rsid w:val="2EE466A7"/>
    <w:rsid w:val="2F096456"/>
    <w:rsid w:val="31225E2C"/>
    <w:rsid w:val="31D31C9D"/>
    <w:rsid w:val="32610F5F"/>
    <w:rsid w:val="34DD524A"/>
    <w:rsid w:val="35A901EB"/>
    <w:rsid w:val="35C44AD0"/>
    <w:rsid w:val="362A1A94"/>
    <w:rsid w:val="3682312E"/>
    <w:rsid w:val="37D06B25"/>
    <w:rsid w:val="39EC590D"/>
    <w:rsid w:val="39FE1293"/>
    <w:rsid w:val="3A3D5035"/>
    <w:rsid w:val="3B6D301C"/>
    <w:rsid w:val="3BDE592C"/>
    <w:rsid w:val="3E3A0DE8"/>
    <w:rsid w:val="3EAE2CB7"/>
    <w:rsid w:val="3F7F29BA"/>
    <w:rsid w:val="419E29B4"/>
    <w:rsid w:val="43002B8C"/>
    <w:rsid w:val="45DA1F71"/>
    <w:rsid w:val="46241257"/>
    <w:rsid w:val="47513B8F"/>
    <w:rsid w:val="485437FC"/>
    <w:rsid w:val="492144E7"/>
    <w:rsid w:val="495852CA"/>
    <w:rsid w:val="49DA353A"/>
    <w:rsid w:val="4A052299"/>
    <w:rsid w:val="4B962DC6"/>
    <w:rsid w:val="4DD8516A"/>
    <w:rsid w:val="523A073B"/>
    <w:rsid w:val="54582AC8"/>
    <w:rsid w:val="54661385"/>
    <w:rsid w:val="54F506C4"/>
    <w:rsid w:val="55ED084A"/>
    <w:rsid w:val="562C4608"/>
    <w:rsid w:val="56A443CD"/>
    <w:rsid w:val="57BD789D"/>
    <w:rsid w:val="58327FED"/>
    <w:rsid w:val="586D31BE"/>
    <w:rsid w:val="58967736"/>
    <w:rsid w:val="59120A45"/>
    <w:rsid w:val="5ADA7E8A"/>
    <w:rsid w:val="5AFA3F72"/>
    <w:rsid w:val="5B821BBB"/>
    <w:rsid w:val="5C373AFC"/>
    <w:rsid w:val="5E747880"/>
    <w:rsid w:val="5EB6637F"/>
    <w:rsid w:val="5F4D0414"/>
    <w:rsid w:val="5F861E6A"/>
    <w:rsid w:val="609C6DF1"/>
    <w:rsid w:val="60DD1430"/>
    <w:rsid w:val="617F38AD"/>
    <w:rsid w:val="62533A5E"/>
    <w:rsid w:val="62B60DDF"/>
    <w:rsid w:val="631E222D"/>
    <w:rsid w:val="63264D11"/>
    <w:rsid w:val="638279D2"/>
    <w:rsid w:val="646507AF"/>
    <w:rsid w:val="651C7526"/>
    <w:rsid w:val="658B184A"/>
    <w:rsid w:val="660C128F"/>
    <w:rsid w:val="66F13643"/>
    <w:rsid w:val="67751E93"/>
    <w:rsid w:val="6783712B"/>
    <w:rsid w:val="6814614D"/>
    <w:rsid w:val="68F6059A"/>
    <w:rsid w:val="692F364A"/>
    <w:rsid w:val="69450529"/>
    <w:rsid w:val="69A80AB6"/>
    <w:rsid w:val="69F371F9"/>
    <w:rsid w:val="6B187F8F"/>
    <w:rsid w:val="6C905D96"/>
    <w:rsid w:val="6CE47F11"/>
    <w:rsid w:val="6CE52AA3"/>
    <w:rsid w:val="6D7E687C"/>
    <w:rsid w:val="6E3677ED"/>
    <w:rsid w:val="6E38795B"/>
    <w:rsid w:val="6F9A3ED0"/>
    <w:rsid w:val="6FC66E59"/>
    <w:rsid w:val="710A02D5"/>
    <w:rsid w:val="713F5F0D"/>
    <w:rsid w:val="7215464F"/>
    <w:rsid w:val="72AB47FF"/>
    <w:rsid w:val="735859AD"/>
    <w:rsid w:val="75B91551"/>
    <w:rsid w:val="75EC723E"/>
    <w:rsid w:val="786F3AB3"/>
    <w:rsid w:val="791A5BDE"/>
    <w:rsid w:val="79E90013"/>
    <w:rsid w:val="7AC327D0"/>
    <w:rsid w:val="7CBC3F36"/>
    <w:rsid w:val="7D657CDE"/>
    <w:rsid w:val="7DA40C90"/>
    <w:rsid w:val="7E7671A5"/>
    <w:rsid w:val="7EC2364C"/>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1"/>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2"/>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3"/>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4"/>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5"/>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6"/>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7"/>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8"/>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29"/>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0"/>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table" w:styleId="18">
    <w:name w:val="Table Grid"/>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pildymui"/>
    <w:basedOn w:val="11"/>
    <w:qFormat/>
    <w:uiPriority w:val="0"/>
  </w:style>
  <w:style w:type="character" w:customStyle="1" w:styleId="20">
    <w:name w:val="Neapdorotas paminėjimas1"/>
    <w:basedOn w:val="11"/>
    <w:semiHidden/>
    <w:unhideWhenUsed/>
    <w:qFormat/>
    <w:uiPriority w:val="99"/>
    <w:rPr>
      <w:color w:val="808080"/>
      <w:shd w:val="clear" w:color="auto" w:fill="E6E6E6"/>
    </w:rPr>
  </w:style>
  <w:style w:type="character" w:customStyle="1" w:styleId="21">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2">
    <w:name w:val="Antraštė 2 Diagrama"/>
    <w:basedOn w:val="11"/>
    <w:link w:val="3"/>
    <w:qFormat/>
    <w:uiPriority w:val="0"/>
    <w:rPr>
      <w:rFonts w:ascii="Times New Roman" w:hAnsi="Times New Roman" w:eastAsia="Times New Roman" w:cs="Times New Roman"/>
      <w:b/>
      <w:sz w:val="24"/>
      <w:szCs w:val="20"/>
    </w:rPr>
  </w:style>
  <w:style w:type="character" w:customStyle="1" w:styleId="23">
    <w:name w:val="Antraštė 3 Diagrama"/>
    <w:basedOn w:val="11"/>
    <w:link w:val="4"/>
    <w:qFormat/>
    <w:uiPriority w:val="0"/>
    <w:rPr>
      <w:rFonts w:ascii="Times New Roman" w:hAnsi="Times New Roman" w:eastAsia="Times New Roman" w:cs="Times New Roman"/>
      <w:sz w:val="24"/>
      <w:szCs w:val="20"/>
    </w:rPr>
  </w:style>
  <w:style w:type="character" w:customStyle="1" w:styleId="24">
    <w:name w:val="Antraštė 4 Diagrama"/>
    <w:basedOn w:val="11"/>
    <w:link w:val="5"/>
    <w:qFormat/>
    <w:uiPriority w:val="0"/>
    <w:rPr>
      <w:rFonts w:ascii="Times New Roman" w:hAnsi="Times New Roman" w:eastAsia="Times New Roman" w:cs="Times New Roman"/>
      <w:sz w:val="24"/>
      <w:szCs w:val="20"/>
    </w:rPr>
  </w:style>
  <w:style w:type="character" w:customStyle="1" w:styleId="25">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6">
    <w:name w:val="Antraštė 6 Diagrama"/>
    <w:basedOn w:val="11"/>
    <w:link w:val="7"/>
    <w:qFormat/>
    <w:uiPriority w:val="9"/>
    <w:rPr>
      <w:rFonts w:ascii="Calibri" w:hAnsi="Calibri" w:eastAsia="Times New Roman" w:cs="Times New Roman"/>
      <w:b/>
      <w:bCs/>
      <w:lang w:val="en-US" w:eastAsia="en-US"/>
    </w:rPr>
  </w:style>
  <w:style w:type="character" w:customStyle="1" w:styleId="27">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8">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29">
    <w:name w:val="Antraštė 9 Diagrama"/>
    <w:basedOn w:val="11"/>
    <w:link w:val="10"/>
    <w:qFormat/>
    <w:uiPriority w:val="9"/>
    <w:rPr>
      <w:rFonts w:ascii="Cambria" w:hAnsi="Cambria" w:eastAsia="Times New Roman" w:cs="Times New Roman"/>
      <w:lang w:val="en-US" w:eastAsia="en-US"/>
    </w:rPr>
  </w:style>
  <w:style w:type="character" w:customStyle="1" w:styleId="30">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1">
    <w:name w:val="Table Grid1"/>
    <w:basedOn w:val="12"/>
    <w:qFormat/>
    <w:uiPriority w:val="59"/>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List Paragraph"/>
    <w:basedOn w:val="1"/>
    <w:qFormat/>
    <w:uiPriority w:val="34"/>
    <w:pPr>
      <w:ind w:left="720"/>
      <w:contextualSpacing/>
    </w:pPr>
  </w:style>
  <w:style w:type="paragraph" w:customStyle="1" w:styleId="33">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table" w:customStyle="1" w:styleId="34">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485</Words>
  <Characters>2770</Characters>
  <Lines>23</Lines>
  <Paragraphs>6</Paragraphs>
  <TotalTime>0</TotalTime>
  <ScaleCrop>false</ScaleCrop>
  <LinksUpToDate>false</LinksUpToDate>
  <CharactersWithSpaces>3249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2025-07-15T07:08:12Z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80A73581C0AA4A65B9579E388893C8D7_13</vt:lpwstr>
  </property>
</Properties>
</file>