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D2A1" w14:textId="77777777" w:rsidR="00E15D8C" w:rsidRPr="00861445"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190C393E" w14:textId="77777777" w:rsidR="00E15D8C" w:rsidRPr="001017CE"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protokolu</w:t>
      </w:r>
    </w:p>
    <w:p w14:paraId="5DDD28EF" w14:textId="78CE2186"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374C01D4" w:rsidR="009C5D91" w:rsidRPr="00554AFF" w:rsidRDefault="00B074F7"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7F2E08">
        <w:rPr>
          <w:rFonts w:ascii="Times New Roman" w:hAnsi="Times New Roman" w:cs="Times New Roman"/>
          <w:b/>
          <w:bCs/>
          <w:color w:val="auto"/>
          <w:lang w:val="lt-LT"/>
        </w:rPr>
        <w:t>PRIEMONĖS ENDOTOKSINŲ NUSTATYMUI PAGAL EUROPOS FARMOKOPĖJĄ NR</w:t>
      </w:r>
      <w:r w:rsidR="0072538B">
        <w:rPr>
          <w:rFonts w:ascii="Times New Roman" w:hAnsi="Times New Roman" w:cs="Times New Roman"/>
          <w:b/>
          <w:bCs/>
          <w:color w:val="auto"/>
          <w:lang w:val="lt-LT"/>
        </w:rPr>
        <w:t>.</w:t>
      </w:r>
      <w:r w:rsidRPr="007F2E08">
        <w:rPr>
          <w:rFonts w:ascii="Times New Roman" w:hAnsi="Times New Roman" w:cs="Times New Roman"/>
          <w:b/>
          <w:bCs/>
          <w:color w:val="auto"/>
          <w:lang w:val="lt-LT"/>
        </w:rPr>
        <w:t xml:space="preserve"> </w:t>
      </w:r>
      <w:r w:rsidR="007F2E08" w:rsidRPr="007F2E08">
        <w:rPr>
          <w:rFonts w:ascii="Times New Roman" w:hAnsi="Times New Roman" w:cs="Times New Roman"/>
          <w:b/>
          <w:bCs/>
          <w:color w:val="auto"/>
          <w:lang w:val="lt-LT"/>
        </w:rPr>
        <w:t xml:space="preserve">2.6.14 </w:t>
      </w:r>
      <w:r w:rsidR="00554AFF" w:rsidRPr="00031029">
        <w:rPr>
          <w:rFonts w:ascii="Times New Roman" w:hAnsi="Times New Roman" w:cs="Times New Roman"/>
          <w:b/>
          <w:bCs/>
          <w:color w:val="auto"/>
          <w:shd w:val="clear" w:color="auto" w:fill="FFFFFF"/>
          <w:lang w:val="lt-LT"/>
        </w:rPr>
        <w:t>(</w:t>
      </w:r>
      <w:r w:rsidR="002D1FF4" w:rsidRPr="00031029">
        <w:rPr>
          <w:rFonts w:ascii="Times New Roman" w:hAnsi="Times New Roman" w:cs="Times New Roman"/>
          <w:b/>
          <w:bCs/>
          <w:color w:val="auto"/>
          <w:shd w:val="clear" w:color="auto" w:fill="FFFFFF"/>
          <w:lang w:val="lt-LT"/>
        </w:rPr>
        <w:t>10</w:t>
      </w:r>
      <w:r>
        <w:rPr>
          <w:rFonts w:ascii="Times New Roman" w:hAnsi="Times New Roman" w:cs="Times New Roman"/>
          <w:b/>
          <w:bCs/>
          <w:color w:val="auto"/>
          <w:shd w:val="clear" w:color="auto" w:fill="FFFFFF"/>
          <w:lang w:val="lt-LT"/>
        </w:rPr>
        <w:t>591</w:t>
      </w:r>
      <w:r w:rsidR="00554AFF" w:rsidRPr="00031029">
        <w:rPr>
          <w:rFonts w:ascii="Times New Roman" w:hAnsi="Times New Roman" w:cs="Times New Roman"/>
          <w:b/>
          <w:bCs/>
          <w:color w:val="auto"/>
          <w:shd w:val="clear" w:color="auto" w:fill="FFFFFF"/>
          <w:lang w:val="lt-LT"/>
        </w:rPr>
        <w:t>)</w:t>
      </w:r>
    </w:p>
    <w:p w14:paraId="23FF7404" w14:textId="77777777" w:rsidR="00FB2B3A" w:rsidRPr="00A229BB" w:rsidRDefault="00FB2B3A" w:rsidP="00FB2B3A">
      <w:pPr>
        <w:pStyle w:val="Body2"/>
        <w:rPr>
          <w:sz w:val="24"/>
          <w:szCs w:val="24"/>
          <w:lang w:val="lt-LT"/>
        </w:rPr>
      </w:pPr>
    </w:p>
    <w:p w14:paraId="1A128516" w14:textId="7A4B775F"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bookmarkStart w:id="0" w:name="_Hlk203377798"/>
      <w:r w:rsidR="008D57B2">
        <w:rPr>
          <w:color w:val="000000" w:themeColor="text1"/>
          <w:sz w:val="24"/>
          <w:szCs w:val="24"/>
          <w:lang w:val="lt-LT"/>
        </w:rPr>
        <w:t>pr</w:t>
      </w:r>
      <w:r w:rsidR="007F2E08" w:rsidRPr="004E70CD">
        <w:rPr>
          <w:rFonts w:eastAsia="TimesNewRomanPS-BoldMT" w:cs="Times New Roman"/>
          <w:sz w:val="24"/>
          <w:szCs w:val="24"/>
          <w:lang w:val="lt-LT"/>
        </w:rPr>
        <w:t>iemon</w:t>
      </w:r>
      <w:r w:rsidR="0022449B">
        <w:rPr>
          <w:rFonts w:eastAsia="TimesNewRomanPS-BoldMT" w:cs="Times New Roman"/>
          <w:sz w:val="24"/>
          <w:szCs w:val="24"/>
          <w:lang w:val="lt-LT"/>
        </w:rPr>
        <w:t>e</w:t>
      </w:r>
      <w:r w:rsidR="007F2E08" w:rsidRPr="004E70CD">
        <w:rPr>
          <w:rFonts w:eastAsia="TimesNewRomanPS-BoldMT" w:cs="Times New Roman"/>
          <w:sz w:val="24"/>
          <w:szCs w:val="24"/>
          <w:lang w:val="lt-LT"/>
        </w:rPr>
        <w:t xml:space="preserve">s </w:t>
      </w:r>
      <w:proofErr w:type="spellStart"/>
      <w:r w:rsidR="007F2E08" w:rsidRPr="004E70CD">
        <w:rPr>
          <w:rFonts w:eastAsia="TimesNewRomanPS-BoldMT" w:cs="Times New Roman"/>
          <w:sz w:val="24"/>
          <w:szCs w:val="24"/>
          <w:lang w:val="lt-LT"/>
        </w:rPr>
        <w:t>endotoksinų</w:t>
      </w:r>
      <w:proofErr w:type="spellEnd"/>
      <w:r w:rsidR="007F2E08" w:rsidRPr="004E70CD">
        <w:rPr>
          <w:rFonts w:eastAsia="TimesNewRomanPS-BoldMT" w:cs="Times New Roman"/>
          <w:sz w:val="24"/>
          <w:szCs w:val="24"/>
          <w:lang w:val="lt-LT"/>
        </w:rPr>
        <w:t xml:space="preserve"> nustatymui pagal Europos </w:t>
      </w:r>
      <w:proofErr w:type="spellStart"/>
      <w:r w:rsidR="007F2E08" w:rsidRPr="004E70CD">
        <w:rPr>
          <w:rFonts w:eastAsia="TimesNewRomanPS-BoldMT" w:cs="Times New Roman"/>
          <w:sz w:val="24"/>
          <w:szCs w:val="24"/>
          <w:lang w:val="lt-LT"/>
        </w:rPr>
        <w:t>farmokopėją</w:t>
      </w:r>
      <w:proofErr w:type="spellEnd"/>
      <w:r w:rsidR="007F2E08" w:rsidRPr="004E70CD">
        <w:rPr>
          <w:rFonts w:eastAsia="TimesNewRomanPS-BoldMT" w:cs="Times New Roman"/>
          <w:sz w:val="24"/>
          <w:szCs w:val="24"/>
          <w:lang w:val="lt-LT"/>
        </w:rPr>
        <w:t xml:space="preserve"> </w:t>
      </w:r>
      <w:proofErr w:type="spellStart"/>
      <w:r w:rsidR="007F2E08" w:rsidRPr="004E70CD">
        <w:rPr>
          <w:rFonts w:eastAsia="TimesNewRomanPS-BoldMT" w:cs="Times New Roman"/>
          <w:sz w:val="24"/>
          <w:szCs w:val="24"/>
          <w:lang w:val="lt-LT"/>
        </w:rPr>
        <w:t>nr</w:t>
      </w:r>
      <w:proofErr w:type="spellEnd"/>
      <w:r w:rsidR="007F2E08" w:rsidRPr="004E70CD">
        <w:rPr>
          <w:rFonts w:eastAsia="TimesNewRomanPS-BoldMT" w:cs="Times New Roman"/>
          <w:sz w:val="24"/>
          <w:szCs w:val="24"/>
          <w:lang w:val="lt-LT"/>
        </w:rPr>
        <w:t xml:space="preserve"> 2.6.14</w:t>
      </w:r>
      <w:r w:rsidR="007F2E08" w:rsidRPr="004E70CD">
        <w:rPr>
          <w:rFonts w:cs="Times New Roman"/>
          <w:color w:val="000000" w:themeColor="text1"/>
          <w:sz w:val="24"/>
          <w:szCs w:val="24"/>
          <w:lang w:val="lt-LT"/>
        </w:rPr>
        <w:t xml:space="preserve"> </w:t>
      </w:r>
      <w:r w:rsidRPr="00AF050D">
        <w:rPr>
          <w:color w:val="000000" w:themeColor="text1"/>
          <w:sz w:val="24"/>
          <w:szCs w:val="24"/>
          <w:lang w:val="lt-LT"/>
        </w:rPr>
        <w:t>(toliau - prekės)</w:t>
      </w:r>
      <w:r w:rsidR="00B36D7D" w:rsidRPr="00AF050D">
        <w:rPr>
          <w:color w:val="000000" w:themeColor="text1"/>
          <w:sz w:val="24"/>
          <w:szCs w:val="24"/>
          <w:lang w:val="lt-LT"/>
        </w:rPr>
        <w:t>.</w:t>
      </w:r>
    </w:p>
    <w:bookmarkEnd w:id="0"/>
    <w:p w14:paraId="53886958" w14:textId="599967F1"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031029">
        <w:rPr>
          <w:color w:val="000000" w:themeColor="text1"/>
          <w:sz w:val="24"/>
          <w:szCs w:val="24"/>
          <w:lang w:val="lt-LT"/>
        </w:rPr>
        <w:t>supaprastintą</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33A07384"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6"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 xml:space="preserve">ariškių g. </w:t>
      </w:r>
      <w:r w:rsidR="00C15C24">
        <w:rPr>
          <w:sz w:val="24"/>
          <w:szCs w:val="24"/>
          <w:lang w:val="lt-LT"/>
        </w:rPr>
        <w:t>5</w:t>
      </w:r>
      <w:r w:rsidR="00ED0269" w:rsidRPr="00AF050D">
        <w:rPr>
          <w:sz w:val="24"/>
          <w:szCs w:val="24"/>
          <w:lang w:val="lt-LT"/>
        </w:rPr>
        <w:t>, LT-08</w:t>
      </w:r>
      <w:r w:rsidR="00B11B39" w:rsidRPr="00AF050D">
        <w:rPr>
          <w:sz w:val="24"/>
          <w:szCs w:val="24"/>
          <w:lang w:val="lt-LT"/>
        </w:rPr>
        <w:t>406</w:t>
      </w:r>
      <w:r w:rsidR="00ED0269" w:rsidRPr="00AF050D">
        <w:rPr>
          <w:sz w:val="24"/>
          <w:szCs w:val="24"/>
          <w:lang w:val="lt-LT"/>
        </w:rPr>
        <w:t xml:space="preserve"> Vilnius.</w:t>
      </w:r>
    </w:p>
    <w:p w14:paraId="30949143" w14:textId="523514A9"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1D4D01">
        <w:rPr>
          <w:color w:val="000000" w:themeColor="text1"/>
          <w:sz w:val="24"/>
          <w:szCs w:val="24"/>
          <w:lang w:val="lt-LT"/>
        </w:rPr>
        <w:t>pr</w:t>
      </w:r>
      <w:r w:rsidR="001D4D01" w:rsidRPr="004E70CD">
        <w:rPr>
          <w:rFonts w:eastAsia="TimesNewRomanPS-BoldMT" w:cs="Times New Roman"/>
          <w:sz w:val="24"/>
          <w:szCs w:val="24"/>
          <w:lang w:val="lt-LT"/>
        </w:rPr>
        <w:t xml:space="preserve">iemonės </w:t>
      </w:r>
      <w:proofErr w:type="spellStart"/>
      <w:r w:rsidR="001D4D01" w:rsidRPr="004E70CD">
        <w:rPr>
          <w:rFonts w:eastAsia="TimesNewRomanPS-BoldMT" w:cs="Times New Roman"/>
          <w:sz w:val="24"/>
          <w:szCs w:val="24"/>
          <w:lang w:val="lt-LT"/>
        </w:rPr>
        <w:t>endotoksinų</w:t>
      </w:r>
      <w:proofErr w:type="spellEnd"/>
      <w:r w:rsidR="001D4D01" w:rsidRPr="004E70CD">
        <w:rPr>
          <w:rFonts w:eastAsia="TimesNewRomanPS-BoldMT" w:cs="Times New Roman"/>
          <w:sz w:val="24"/>
          <w:szCs w:val="24"/>
          <w:lang w:val="lt-LT"/>
        </w:rPr>
        <w:t xml:space="preserve"> nustatymui pagal Europos </w:t>
      </w:r>
      <w:proofErr w:type="spellStart"/>
      <w:r w:rsidR="001D4D01" w:rsidRPr="004E70CD">
        <w:rPr>
          <w:rFonts w:eastAsia="TimesNewRomanPS-BoldMT" w:cs="Times New Roman"/>
          <w:sz w:val="24"/>
          <w:szCs w:val="24"/>
          <w:lang w:val="lt-LT"/>
        </w:rPr>
        <w:t>farmokopėją</w:t>
      </w:r>
      <w:proofErr w:type="spellEnd"/>
      <w:r w:rsidR="001D4D01" w:rsidRPr="004E70CD">
        <w:rPr>
          <w:rFonts w:eastAsia="TimesNewRomanPS-BoldMT" w:cs="Times New Roman"/>
          <w:sz w:val="24"/>
          <w:szCs w:val="24"/>
          <w:lang w:val="lt-LT"/>
        </w:rPr>
        <w:t xml:space="preserve"> </w:t>
      </w:r>
      <w:proofErr w:type="spellStart"/>
      <w:r w:rsidR="001D4D01" w:rsidRPr="004E70CD">
        <w:rPr>
          <w:rFonts w:eastAsia="TimesNewRomanPS-BoldMT" w:cs="Times New Roman"/>
          <w:sz w:val="24"/>
          <w:szCs w:val="24"/>
          <w:lang w:val="lt-LT"/>
        </w:rPr>
        <w:t>nr</w:t>
      </w:r>
      <w:proofErr w:type="spellEnd"/>
      <w:r w:rsidR="001D4D01" w:rsidRPr="004E70CD">
        <w:rPr>
          <w:rFonts w:eastAsia="TimesNewRomanPS-BoldMT" w:cs="Times New Roman"/>
          <w:sz w:val="24"/>
          <w:szCs w:val="24"/>
          <w:lang w:val="lt-LT"/>
        </w:rPr>
        <w:t xml:space="preserve"> 2.6.14</w:t>
      </w:r>
      <w:r w:rsidR="00BD507D" w:rsidRPr="00AF050D">
        <w:rPr>
          <w:sz w:val="24"/>
          <w:szCs w:val="24"/>
          <w:lang w:val="lt-LT"/>
        </w:rPr>
        <w:t xml:space="preserve">, </w:t>
      </w:r>
      <w:r w:rsidR="00D77C57" w:rsidRPr="00AF050D">
        <w:rPr>
          <w:color w:val="000000" w:themeColor="text1"/>
          <w:sz w:val="24"/>
          <w:szCs w:val="24"/>
          <w:lang w:val="lt-LT"/>
        </w:rPr>
        <w:t>nurodyt</w:t>
      </w:r>
      <w:r w:rsidR="00BD507D" w:rsidRPr="00AF050D">
        <w:rPr>
          <w:color w:val="000000" w:themeColor="text1"/>
          <w:sz w:val="24"/>
          <w:szCs w:val="24"/>
          <w:lang w:val="lt-LT"/>
        </w:rPr>
        <w:t>os</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623D748C" w:rsidR="007825A5" w:rsidRPr="006D3D2D" w:rsidRDefault="007825A5" w:rsidP="007871A6">
      <w:pPr>
        <w:pStyle w:val="Body2"/>
        <w:ind w:firstLine="720"/>
        <w:rPr>
          <w:sz w:val="24"/>
          <w:szCs w:val="24"/>
          <w:lang w:val="lt-LT"/>
        </w:rPr>
      </w:pPr>
      <w:r w:rsidRPr="00D25321">
        <w:rPr>
          <w:sz w:val="24"/>
          <w:szCs w:val="24"/>
          <w:lang w:val="lt-LT"/>
        </w:rPr>
        <w:t xml:space="preserve">6. Pirkimas </w:t>
      </w:r>
      <w:r w:rsidR="0022449B">
        <w:rPr>
          <w:sz w:val="24"/>
          <w:szCs w:val="24"/>
          <w:lang w:val="lt-LT"/>
        </w:rPr>
        <w:t>ne</w:t>
      </w:r>
      <w:r w:rsidRPr="00D25321">
        <w:rPr>
          <w:sz w:val="24"/>
          <w:szCs w:val="24"/>
          <w:lang w:val="lt-LT"/>
        </w:rPr>
        <w:t>skaidomas į atskiras pirkimo dali</w:t>
      </w:r>
      <w:r w:rsidR="0022449B">
        <w:rPr>
          <w:sz w:val="24"/>
          <w:szCs w:val="24"/>
          <w:lang w:val="lt-LT"/>
        </w:rPr>
        <w:t>s</w:t>
      </w:r>
      <w:r w:rsidRPr="00D25321">
        <w:rPr>
          <w:sz w:val="24"/>
          <w:szCs w:val="24"/>
          <w:lang w:val="lt-LT"/>
        </w:rPr>
        <w:t xml:space="preserve">. </w:t>
      </w:r>
    </w:p>
    <w:p w14:paraId="20F1C6D9" w14:textId="6A9E6CC9" w:rsidR="004E5695" w:rsidRPr="00FD7F38" w:rsidRDefault="004E5695" w:rsidP="004E5695">
      <w:pPr>
        <w:spacing w:after="40"/>
        <w:ind w:firstLine="709"/>
        <w:jc w:val="both"/>
        <w:rPr>
          <w:color w:val="000000" w:themeColor="text1"/>
          <w:lang w:val="lt-LT"/>
        </w:rPr>
      </w:pPr>
      <w:r w:rsidRPr="00FD7F38">
        <w:rPr>
          <w:color w:val="000000" w:themeColor="text1"/>
          <w:lang w:val="lt-LT"/>
        </w:rPr>
        <w:t xml:space="preserve">7. Reikalavimai pirkimo objektui (perkamų prekių sąrašas, kiekiai) nurodyti SPS 1 priede „Techninė specifikacija“. </w:t>
      </w:r>
    </w:p>
    <w:p w14:paraId="15539A48" w14:textId="46E3D43B" w:rsidR="00BB0DEF" w:rsidRPr="00650AF6" w:rsidRDefault="00BB0DEF" w:rsidP="00BB0DEF">
      <w:pPr>
        <w:pStyle w:val="Body2"/>
        <w:ind w:firstLine="709"/>
        <w:rPr>
          <w:color w:val="auto"/>
          <w:sz w:val="24"/>
          <w:szCs w:val="24"/>
          <w:lang w:val="lt-LT"/>
        </w:rPr>
      </w:pPr>
      <w:r w:rsidRPr="00650AF6">
        <w:rPr>
          <w:color w:val="auto"/>
          <w:sz w:val="24"/>
          <w:szCs w:val="24"/>
          <w:lang w:val="lt-LT"/>
        </w:rPr>
        <w:t xml:space="preserve">8. Tiekėjo įsipareigojimų įvykdymo vieta yra </w:t>
      </w:r>
      <w:r w:rsidR="00E1503F" w:rsidRPr="00650AF6">
        <w:rPr>
          <w:sz w:val="24"/>
          <w:szCs w:val="24"/>
          <w:lang w:val="lt-LT"/>
        </w:rPr>
        <w:t>VšĮ Vilniaus universiteto ligoninė Santaros klinikos,</w:t>
      </w:r>
      <w:r w:rsidR="00E1503F" w:rsidRPr="00650AF6">
        <w:rPr>
          <w:color w:val="auto"/>
          <w:sz w:val="24"/>
          <w:szCs w:val="24"/>
          <w:lang w:val="lt-LT"/>
        </w:rPr>
        <w:t xml:space="preserve"> </w:t>
      </w:r>
      <w:r w:rsidR="00E84BEA" w:rsidRPr="00650AF6">
        <w:rPr>
          <w:color w:val="auto"/>
          <w:sz w:val="24"/>
          <w:szCs w:val="24"/>
          <w:lang w:val="lt-LT"/>
        </w:rPr>
        <w:t>Santariškių</w:t>
      </w:r>
      <w:r w:rsidRPr="00650AF6">
        <w:rPr>
          <w:color w:val="auto"/>
          <w:sz w:val="24"/>
          <w:szCs w:val="24"/>
          <w:lang w:val="lt-LT"/>
        </w:rPr>
        <w:t xml:space="preserve"> g. </w:t>
      </w:r>
      <w:r w:rsidR="00A4248C" w:rsidRPr="00650AF6">
        <w:rPr>
          <w:color w:val="auto"/>
          <w:sz w:val="24"/>
          <w:szCs w:val="24"/>
          <w:lang w:val="lt-LT"/>
        </w:rPr>
        <w:t>5</w:t>
      </w:r>
      <w:r w:rsidRPr="00650AF6">
        <w:rPr>
          <w:color w:val="auto"/>
          <w:sz w:val="24"/>
          <w:szCs w:val="24"/>
          <w:lang w:val="lt-LT"/>
        </w:rPr>
        <w:t>, Vilnius.</w:t>
      </w:r>
      <w:r w:rsidR="00A73311" w:rsidRPr="00650AF6">
        <w:rPr>
          <w:color w:val="000000" w:themeColor="text1"/>
          <w:kern w:val="2"/>
          <w:sz w:val="24"/>
          <w:szCs w:val="24"/>
          <w:lang w:val="lt-LT"/>
        </w:rPr>
        <w:t xml:space="preserve"> </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7B2B9B8B" w14:textId="4B796549" w:rsidR="00E96F8C" w:rsidRPr="00E96F8C" w:rsidRDefault="00B120B6" w:rsidP="00E96F8C">
      <w:pPr>
        <w:pStyle w:val="Body2"/>
        <w:tabs>
          <w:tab w:val="left" w:pos="709"/>
        </w:tabs>
        <w:rPr>
          <w:color w:val="000000" w:themeColor="text1"/>
          <w:sz w:val="24"/>
          <w:szCs w:val="24"/>
          <w:lang w:val="lt-LT"/>
        </w:rPr>
      </w:pPr>
      <w:r w:rsidRPr="00B120B6">
        <w:rPr>
          <w:color w:val="000000" w:themeColor="text1"/>
          <w:sz w:val="24"/>
          <w:szCs w:val="24"/>
          <w:lang w:val="lt-LT"/>
        </w:rPr>
        <w:tab/>
        <w:t>14. Pirkime pateikti pirkimo objekto pavyzdžių nereikalaujama.</w:t>
      </w:r>
      <w:r w:rsidRPr="00B120B6">
        <w:rPr>
          <w:color w:val="000000" w:themeColor="text1"/>
          <w:sz w:val="24"/>
          <w:szCs w:val="24"/>
          <w:lang w:val="lt-LT"/>
        </w:rPr>
        <w:tab/>
      </w:r>
      <w:r w:rsidR="00E96F8C">
        <w:rPr>
          <w:color w:val="000000" w:themeColor="text1"/>
          <w:sz w:val="24"/>
          <w:szCs w:val="24"/>
          <w:lang w:val="lt-LT"/>
        </w:rPr>
        <w:tab/>
      </w:r>
    </w:p>
    <w:p w14:paraId="199576A9" w14:textId="368431FA" w:rsidR="00BA4E88" w:rsidRPr="00A229BB" w:rsidRDefault="00BA4E88" w:rsidP="00691693">
      <w:pPr>
        <w:pStyle w:val="Body2"/>
        <w:ind w:firstLine="720"/>
        <w:rPr>
          <w:color w:val="000000" w:themeColor="text1"/>
          <w:sz w:val="24"/>
          <w:szCs w:val="24"/>
          <w:lang w:val="lt-LT"/>
        </w:rPr>
      </w:pPr>
      <w:r w:rsidRPr="00E96F8C">
        <w:rPr>
          <w:color w:val="000000" w:themeColor="text1"/>
          <w:sz w:val="24"/>
          <w:szCs w:val="24"/>
          <w:lang w:val="lt-LT"/>
        </w:rPr>
        <w:t xml:space="preserve">15. PO atsako į CVPIS prašymą dėl pirkimo dokumentų, jei prašymas yra pateiktas likus </w:t>
      </w:r>
      <w:r w:rsidR="008025CE">
        <w:rPr>
          <w:color w:val="000000" w:themeColor="text1"/>
          <w:sz w:val="24"/>
          <w:szCs w:val="24"/>
          <w:lang w:val="lt-LT"/>
        </w:rPr>
        <w:t>6</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672E061E"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 xml:space="preserve">papildomi pirkimo dokumentai (paaiškinimai ar pataisymai) pateikiami ne vėliau kaip likus </w:t>
      </w:r>
      <w:r w:rsidR="008025CE">
        <w:rPr>
          <w:color w:val="000000" w:themeColor="text1"/>
          <w:sz w:val="24"/>
          <w:szCs w:val="24"/>
          <w:lang w:val="lt-LT"/>
        </w:rPr>
        <w:t>4</w:t>
      </w:r>
      <w:r w:rsidRPr="00A229BB">
        <w:rPr>
          <w:color w:val="000000" w:themeColor="text1"/>
          <w:sz w:val="24"/>
          <w:szCs w:val="24"/>
          <w:lang w:val="lt-LT"/>
        </w:rPr>
        <w:t xml:space="preserve">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77777777"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kiekvienai pirkimo daliai yra tokia:</w:t>
      </w:r>
    </w:p>
    <w:tbl>
      <w:tblPr>
        <w:tblW w:w="9634" w:type="dxa"/>
        <w:tblLook w:val="04A0" w:firstRow="1" w:lastRow="0" w:firstColumn="1" w:lastColumn="0" w:noHBand="0" w:noVBand="1"/>
      </w:tblPr>
      <w:tblGrid>
        <w:gridCol w:w="1129"/>
        <w:gridCol w:w="5387"/>
        <w:gridCol w:w="1559"/>
        <w:gridCol w:w="1559"/>
      </w:tblGrid>
      <w:tr w:rsidR="009F35A4" w:rsidRPr="009F35A4" w14:paraId="223FEBF4"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Pirkimo dalies Nr.</w:t>
            </w:r>
          </w:p>
        </w:tc>
        <w:tc>
          <w:tcPr>
            <w:tcW w:w="5387" w:type="dxa"/>
            <w:tcBorders>
              <w:top w:val="single" w:sz="4" w:space="0" w:color="auto"/>
              <w:left w:val="single" w:sz="4" w:space="0" w:color="auto"/>
              <w:bottom w:val="single" w:sz="4" w:space="0" w:color="auto"/>
              <w:right w:val="single" w:sz="4" w:space="0" w:color="auto"/>
            </w:tcBorders>
            <w:noWrap/>
            <w:vAlign w:val="center"/>
          </w:tcPr>
          <w:p w14:paraId="709CB1E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Prekės pavadinimas</w:t>
            </w:r>
          </w:p>
        </w:tc>
        <w:tc>
          <w:tcPr>
            <w:tcW w:w="1559" w:type="dxa"/>
            <w:tcBorders>
              <w:top w:val="single" w:sz="4" w:space="0" w:color="auto"/>
              <w:left w:val="nil"/>
              <w:bottom w:val="single" w:sz="4" w:space="0" w:color="auto"/>
              <w:right w:val="single" w:sz="4" w:space="0" w:color="auto"/>
            </w:tcBorders>
          </w:tcPr>
          <w:p w14:paraId="4660E35F"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0DFF9D3D" w14:textId="73C76B85"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 xml:space="preserve">Kaina su </w:t>
            </w:r>
            <w:r w:rsidR="00197D01">
              <w:rPr>
                <w:rFonts w:ascii="Times New Roman1" w:eastAsia="Times New Roman" w:hAnsi="Times New Roman1"/>
                <w:color w:val="000000"/>
                <w:sz w:val="22"/>
                <w:szCs w:val="22"/>
                <w:bdr w:val="none" w:sz="0" w:space="0" w:color="auto"/>
                <w:lang w:val="lt-LT" w:eastAsia="lt-LT"/>
              </w:rPr>
              <w:t>5</w:t>
            </w:r>
            <w:r w:rsidRPr="009F35A4">
              <w:rPr>
                <w:rFonts w:ascii="Times New Roman1" w:eastAsia="Times New Roman" w:hAnsi="Times New Roman1"/>
                <w:color w:val="000000"/>
                <w:sz w:val="22"/>
                <w:szCs w:val="22"/>
                <w:bdr w:val="none" w:sz="0" w:space="0" w:color="auto"/>
                <w:lang w:val="lt-LT" w:eastAsia="lt-LT"/>
              </w:rPr>
              <w:t xml:space="preserve"> % PVM, Eur</w:t>
            </w:r>
          </w:p>
        </w:tc>
      </w:tr>
      <w:tr w:rsidR="00463F70" w:rsidRPr="00C704A1" w14:paraId="123EE72B"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463F70" w:rsidRPr="00C704A1"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sidRPr="00C704A1">
              <w:rPr>
                <w:rFonts w:ascii="Times New Roman1" w:eastAsia="Times New Roman" w:hAnsi="Times New Roman1"/>
                <w:bCs/>
                <w:color w:val="000000"/>
                <w:bdr w:val="none" w:sz="0" w:space="0" w:color="auto"/>
                <w:lang w:val="lt-LT" w:eastAsia="lt-LT"/>
              </w:rPr>
              <w:t>1</w:t>
            </w:r>
          </w:p>
        </w:tc>
        <w:tc>
          <w:tcPr>
            <w:tcW w:w="5387" w:type="dxa"/>
            <w:tcBorders>
              <w:top w:val="single" w:sz="4" w:space="0" w:color="000000"/>
              <w:left w:val="single" w:sz="4" w:space="0" w:color="000000"/>
              <w:bottom w:val="single" w:sz="4" w:space="0" w:color="000000"/>
              <w:right w:val="single" w:sz="4" w:space="0" w:color="000000"/>
            </w:tcBorders>
            <w:noWrap/>
          </w:tcPr>
          <w:p w14:paraId="7AD63AA5" w14:textId="77777777" w:rsidR="00463F70" w:rsidRPr="00C704A1" w:rsidRDefault="00B24E75" w:rsidP="00463F70">
            <w:pPr>
              <w:pStyle w:val="Body2"/>
              <w:jc w:val="left"/>
              <w:rPr>
                <w:sz w:val="24"/>
                <w:szCs w:val="24"/>
                <w:lang w:val="lt-LT"/>
              </w:rPr>
            </w:pPr>
            <w:r w:rsidRPr="00C704A1">
              <w:rPr>
                <w:sz w:val="24"/>
                <w:szCs w:val="24"/>
                <w:lang w:val="lt-LT"/>
              </w:rPr>
              <w:t xml:space="preserve">Reagentai </w:t>
            </w:r>
            <w:proofErr w:type="spellStart"/>
            <w:r w:rsidRPr="00C704A1">
              <w:rPr>
                <w:sz w:val="24"/>
                <w:szCs w:val="24"/>
                <w:lang w:val="lt-LT"/>
              </w:rPr>
              <w:t>endotoksinų</w:t>
            </w:r>
            <w:proofErr w:type="spellEnd"/>
            <w:r w:rsidRPr="00C704A1">
              <w:rPr>
                <w:sz w:val="24"/>
                <w:szCs w:val="24"/>
                <w:lang w:val="lt-LT"/>
              </w:rPr>
              <w:t xml:space="preserve"> nustatymui</w:t>
            </w:r>
          </w:p>
          <w:p w14:paraId="609B517D" w14:textId="2660D287" w:rsidR="00B24E75" w:rsidRPr="00C704A1" w:rsidRDefault="00B24E75" w:rsidP="00463F70">
            <w:pPr>
              <w:pStyle w:val="Body2"/>
              <w:jc w:val="left"/>
              <w:rPr>
                <w:rFonts w:ascii="Times New Roman1" w:eastAsia="Times New Roman" w:hAnsi="Times New Roman1"/>
                <w:color w:val="000000" w:themeColor="text1"/>
                <w:sz w:val="24"/>
                <w:szCs w:val="24"/>
                <w:bdr w:val="none" w:sz="0" w:space="0" w:color="auto"/>
                <w:lang w:val="lt-LT"/>
              </w:rPr>
            </w:pPr>
          </w:p>
        </w:tc>
        <w:tc>
          <w:tcPr>
            <w:tcW w:w="1559" w:type="dxa"/>
            <w:tcBorders>
              <w:top w:val="single" w:sz="4" w:space="0" w:color="auto"/>
              <w:left w:val="single" w:sz="4" w:space="0" w:color="auto"/>
              <w:bottom w:val="single" w:sz="4" w:space="0" w:color="auto"/>
              <w:right w:val="single" w:sz="4" w:space="0" w:color="auto"/>
            </w:tcBorders>
          </w:tcPr>
          <w:p w14:paraId="419216C8" w14:textId="5B863B3E" w:rsidR="00463F70" w:rsidRPr="00C704A1" w:rsidRDefault="00B24E75" w:rsidP="00463F70">
            <w:pPr>
              <w:jc w:val="center"/>
              <w:rPr>
                <w:lang w:val="lt-LT" w:eastAsia="lt-LT"/>
              </w:rPr>
            </w:pPr>
            <w:r w:rsidRPr="00C704A1">
              <w:lastRenderedPageBreak/>
              <w:t>14900,00</w:t>
            </w:r>
          </w:p>
        </w:tc>
        <w:tc>
          <w:tcPr>
            <w:tcW w:w="1559" w:type="dxa"/>
            <w:tcBorders>
              <w:top w:val="single" w:sz="4" w:space="0" w:color="auto"/>
              <w:left w:val="nil"/>
              <w:bottom w:val="single" w:sz="4" w:space="0" w:color="auto"/>
              <w:right w:val="single" w:sz="4" w:space="0" w:color="auto"/>
            </w:tcBorders>
            <w:noWrap/>
          </w:tcPr>
          <w:p w14:paraId="1C80BF7D" w14:textId="7C98FDC4" w:rsidR="00463F70" w:rsidRPr="00C704A1" w:rsidRDefault="00B24E75" w:rsidP="00463F70">
            <w:pPr>
              <w:jc w:val="center"/>
              <w:rPr>
                <w:lang w:val="lt-LT" w:eastAsia="lt-LT"/>
              </w:rPr>
            </w:pPr>
            <w:r w:rsidRPr="00C704A1">
              <w:t>15</w:t>
            </w:r>
            <w:r w:rsidR="00197D01" w:rsidRPr="00C704A1">
              <w:t>645,00</w:t>
            </w:r>
          </w:p>
        </w:tc>
      </w:tr>
    </w:tbl>
    <w:bookmarkEnd w:id="1"/>
    <w:p w14:paraId="247DE748" w14:textId="5B469F59" w:rsidR="005E3DE0" w:rsidRPr="004D162C" w:rsidRDefault="005E3DE0" w:rsidP="005E3DE0">
      <w:pPr>
        <w:jc w:val="both"/>
        <w:rPr>
          <w:sz w:val="22"/>
          <w:szCs w:val="22"/>
          <w:lang w:val="lt-LT" w:eastAsia="lt-LT"/>
        </w:rPr>
      </w:pPr>
      <w:r w:rsidRPr="004D162C">
        <w:rPr>
          <w:rFonts w:cs="Arial Unicode MS"/>
          <w:b/>
          <w:i/>
          <w:color w:val="000000"/>
          <w:sz w:val="22"/>
          <w:szCs w:val="22"/>
          <w:lang w:val="lt-LT" w:eastAsia="lt-LT"/>
        </w:rPr>
        <w:t>Pastaba.</w:t>
      </w:r>
      <w:r w:rsidRPr="004D162C">
        <w:rPr>
          <w:rFonts w:cs="Arial Unicode MS"/>
          <w:i/>
          <w:color w:val="000000"/>
          <w:sz w:val="22"/>
          <w:szCs w:val="22"/>
          <w:lang w:val="lt-LT" w:eastAsia="lt-LT"/>
        </w:rPr>
        <w:t xml:space="preserve"> </w:t>
      </w:r>
      <w:r w:rsidRPr="004D162C">
        <w:rPr>
          <w:rFonts w:cs="Arial Unicode MS"/>
          <w:i/>
          <w:color w:val="000000"/>
          <w:sz w:val="22"/>
          <w:szCs w:val="22"/>
          <w:u w:val="single"/>
          <w:lang w:val="lt-LT" w:eastAsia="lt-LT"/>
        </w:rPr>
        <w:t xml:space="preserve">PO kaina suplanuota taikant </w:t>
      </w:r>
      <w:r w:rsidR="00197D01">
        <w:rPr>
          <w:rFonts w:cs="Arial Unicode MS"/>
          <w:i/>
          <w:color w:val="000000"/>
          <w:sz w:val="22"/>
          <w:szCs w:val="22"/>
          <w:u w:val="single"/>
          <w:lang w:val="lt-LT" w:eastAsia="lt-LT"/>
        </w:rPr>
        <w:t xml:space="preserve">5 </w:t>
      </w:r>
      <w:r w:rsidRPr="004D162C">
        <w:rPr>
          <w:rFonts w:cs="Arial Unicode MS"/>
          <w:i/>
          <w:color w:val="000000"/>
          <w:sz w:val="22"/>
          <w:szCs w:val="22"/>
          <w:u w:val="single"/>
          <w:lang w:val="lt-LT" w:eastAsia="lt-LT"/>
        </w:rPr>
        <w:t xml:space="preserve">% PVM tarifą. </w:t>
      </w:r>
      <w:r w:rsidRPr="004D162C">
        <w:rPr>
          <w:rFonts w:cs="Arial Unicode MS"/>
          <w:i/>
          <w:color w:val="000000"/>
          <w:sz w:val="22"/>
          <w:szCs w:val="22"/>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4860A9F6"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w:t>
      </w:r>
      <w:r w:rsidR="00C403C5">
        <w:rPr>
          <w:color w:val="000000"/>
        </w:rPr>
        <w:t>2</w:t>
      </w:r>
      <w:r w:rsidR="001F5A47" w:rsidRPr="00A229BB">
        <w:rPr>
          <w:color w:val="000000"/>
        </w:rPr>
        <w:t xml:space="preserve"> priede </w:t>
      </w:r>
      <w:r w:rsidR="00252270">
        <w:rPr>
          <w:color w:val="000000"/>
        </w:rPr>
        <w:t>,,</w:t>
      </w:r>
      <w:r w:rsidR="001F5A47" w:rsidRPr="00A229BB">
        <w:rPr>
          <w:color w:val="000000"/>
        </w:rPr>
        <w:t>Pasiūlymo forma”.</w:t>
      </w:r>
    </w:p>
    <w:p w14:paraId="24ED5B18" w14:textId="329A69D5" w:rsidR="002760B1" w:rsidRPr="000D18A2" w:rsidRDefault="00224C40" w:rsidP="008B5128">
      <w:pPr>
        <w:jc w:val="both"/>
        <w:rPr>
          <w:color w:val="000000" w:themeColor="text1"/>
          <w:lang w:val="pt-BR"/>
        </w:rPr>
      </w:pPr>
      <w:r w:rsidRPr="00224C40">
        <w:rPr>
          <w:color w:val="000000"/>
          <w:lang w:val="lt-LT"/>
        </w:rPr>
        <w:t xml:space="preserve"> </w:t>
      </w:r>
      <w:r>
        <w:rPr>
          <w:color w:val="000000"/>
          <w:lang w:val="lt-LT"/>
        </w:rPr>
        <w:t xml:space="preserve">           </w:t>
      </w:r>
      <w:r w:rsidR="00382E7F" w:rsidRPr="00224C40">
        <w:rPr>
          <w:color w:val="000000"/>
          <w:lang w:val="lt-LT"/>
        </w:rPr>
        <w:t xml:space="preserve">21. Šiame pirkime taikomi aplinkos apsaugos kriterijai (žaliųjų pirkimų reikalavimai). </w:t>
      </w:r>
      <w:r w:rsidR="00A21E5F" w:rsidRPr="00224C40">
        <w:rPr>
          <w:lang w:val="lt-LT"/>
        </w:rPr>
        <w:t>Aplinkos apsaugos kriterijai nustatyti</w:t>
      </w:r>
      <w:r w:rsidR="00A21E5F" w:rsidRPr="00491537">
        <w:rPr>
          <w:lang w:val="pt-BR"/>
        </w:rPr>
        <w:t xml:space="preserve"> pagal Lietuvos Respublikos aplinkos ministro 2011 m. birželio 28 d. įsakymu Nr. D1-508 (Lietuvos Respublikos aplinkos ministro 2022 m. gruodžio 13 d. įsakymo Nr. D1-401 redakcija) „Dėl aplinkos apsaugos kriterijų taikymo, vykdant žaliuosius </w:t>
      </w:r>
      <w:r w:rsidR="00A21E5F" w:rsidRPr="00224C40">
        <w:rPr>
          <w:lang w:val="lt-LT"/>
        </w:rPr>
        <w:t xml:space="preserve">pirkimus, tvarkos </w:t>
      </w:r>
      <w:r w:rsidR="00A21E5F" w:rsidRPr="008B5128">
        <w:rPr>
          <w:lang w:val="lt-LT"/>
        </w:rPr>
        <w:t xml:space="preserve">aprašo </w:t>
      </w:r>
      <w:r w:rsidR="00A21E5F" w:rsidRPr="000D18A2">
        <w:rPr>
          <w:color w:val="000000" w:themeColor="text1"/>
          <w:lang w:val="lt-LT"/>
        </w:rPr>
        <w:t>patvirtinimo.</w:t>
      </w:r>
      <w:r w:rsidR="00E875F4">
        <w:rPr>
          <w:color w:val="000000" w:themeColor="text1"/>
          <w:lang w:val="lt-LT"/>
        </w:rPr>
        <w:t>“</w:t>
      </w:r>
      <w:r w:rsidR="008E757E" w:rsidRPr="00491537">
        <w:rPr>
          <w:color w:val="000000" w:themeColor="text1"/>
          <w:lang w:val="pt-BR"/>
        </w:rPr>
        <w:t xml:space="preserve"> </w:t>
      </w:r>
      <w:r w:rsidR="008E757E" w:rsidRPr="000D18A2">
        <w:rPr>
          <w:color w:val="000000" w:themeColor="text1"/>
          <w:kern w:val="2"/>
          <w:shd w:val="clear" w:color="auto" w:fill="FFFFFF"/>
          <w:lang w:val="pt-BR"/>
        </w:rPr>
        <w:t xml:space="preserve">Tiekėjas privalo </w:t>
      </w:r>
      <w:r w:rsidR="007C2249">
        <w:rPr>
          <w:color w:val="000000" w:themeColor="text1"/>
          <w:kern w:val="2"/>
          <w:shd w:val="clear" w:color="auto" w:fill="FFFFFF"/>
          <w:lang w:val="pt-BR"/>
        </w:rPr>
        <w:t>p</w:t>
      </w:r>
      <w:r w:rsidR="008E757E" w:rsidRPr="000D18A2">
        <w:rPr>
          <w:color w:val="000000" w:themeColor="text1"/>
          <w:kern w:val="2"/>
          <w:shd w:val="clear" w:color="auto" w:fill="FFFFFF"/>
          <w:lang w:val="pt-BR"/>
        </w:rPr>
        <w:t>rekes atvežti P</w:t>
      </w:r>
      <w:r w:rsidR="00E875F4">
        <w:rPr>
          <w:color w:val="000000" w:themeColor="text1"/>
          <w:kern w:val="2"/>
          <w:shd w:val="clear" w:color="auto" w:fill="FFFFFF"/>
          <w:lang w:val="pt-BR"/>
        </w:rPr>
        <w:t>O</w:t>
      </w:r>
      <w:r w:rsidR="008E757E" w:rsidRPr="000D18A2">
        <w:rPr>
          <w:color w:val="000000" w:themeColor="text1"/>
          <w:kern w:val="2"/>
          <w:shd w:val="clear" w:color="auto" w:fill="FFFFFF"/>
          <w:lang w:val="pt-BR"/>
        </w:rPr>
        <w:t xml:space="preserve"> ne kelių eismo piko valandomis (darbo dienomis 9 - 11 val. bei 13 - 15 val.).</w:t>
      </w:r>
      <w:r w:rsidR="008B5128" w:rsidRPr="000D18A2">
        <w:rPr>
          <w:color w:val="000000" w:themeColor="text1"/>
          <w:kern w:val="2"/>
          <w:shd w:val="clear" w:color="auto" w:fill="FFFFFF"/>
          <w:lang w:val="pt-BR"/>
        </w:rPr>
        <w:t xml:space="preserve"> </w:t>
      </w:r>
      <w:r w:rsidR="008E757E" w:rsidRPr="000D18A2">
        <w:rPr>
          <w:color w:val="000000" w:themeColor="text1"/>
          <w:kern w:val="2"/>
          <w:shd w:val="clear" w:color="auto" w:fill="FFFFFF"/>
          <w:lang w:val="pt-BR"/>
        </w:rPr>
        <w:t>Prekių priėmimą atsakingas P</w:t>
      </w:r>
      <w:r w:rsidR="008B5128" w:rsidRPr="000D18A2">
        <w:rPr>
          <w:color w:val="000000" w:themeColor="text1"/>
          <w:kern w:val="2"/>
          <w:shd w:val="clear" w:color="auto" w:fill="FFFFFF"/>
          <w:lang w:val="pt-BR"/>
        </w:rPr>
        <w:t>O</w:t>
      </w:r>
      <w:r w:rsidR="008E757E" w:rsidRPr="000D18A2">
        <w:rPr>
          <w:color w:val="000000" w:themeColor="text1"/>
          <w:kern w:val="2"/>
          <w:shd w:val="clear" w:color="auto" w:fill="FFFFFF"/>
          <w:lang w:val="pt-BR"/>
        </w:rPr>
        <w:t xml:space="preserve"> atstovas, priimdamas </w:t>
      </w:r>
      <w:r w:rsidR="007C2249">
        <w:rPr>
          <w:color w:val="000000" w:themeColor="text1"/>
          <w:kern w:val="2"/>
          <w:shd w:val="clear" w:color="auto" w:fill="FFFFFF"/>
          <w:lang w:val="pt-BR"/>
        </w:rPr>
        <w:t>p</w:t>
      </w:r>
      <w:r w:rsidR="008E757E" w:rsidRPr="000D18A2">
        <w:rPr>
          <w:color w:val="000000" w:themeColor="text1"/>
          <w:kern w:val="2"/>
          <w:shd w:val="clear" w:color="auto" w:fill="FFFFFF"/>
          <w:lang w:val="pt-BR"/>
        </w:rPr>
        <w:t xml:space="preserve">rekes fiziškai įsitikina ar Tiekėjas </w:t>
      </w:r>
      <w:r w:rsidR="007C2249">
        <w:rPr>
          <w:color w:val="000000" w:themeColor="text1"/>
          <w:kern w:val="2"/>
          <w:shd w:val="clear" w:color="auto" w:fill="FFFFFF"/>
          <w:lang w:val="pt-BR"/>
        </w:rPr>
        <w:t>p</w:t>
      </w:r>
      <w:r w:rsidR="008E757E" w:rsidRPr="000D18A2">
        <w:rPr>
          <w:color w:val="000000" w:themeColor="text1"/>
          <w:kern w:val="2"/>
          <w:shd w:val="clear" w:color="auto" w:fill="FFFFFF"/>
          <w:lang w:val="pt-BR"/>
        </w:rPr>
        <w:t>rekes pristatė ne kelių eismo piko valandomis.</w:t>
      </w:r>
    </w:p>
    <w:p w14:paraId="167394EA" w14:textId="3167BC66" w:rsidR="00754D5B" w:rsidRPr="00FD6A1F" w:rsidRDefault="00754D5B" w:rsidP="00754D5B">
      <w:pPr>
        <w:tabs>
          <w:tab w:val="left" w:pos="709"/>
          <w:tab w:val="left" w:pos="1418"/>
        </w:tabs>
        <w:contextualSpacing/>
        <w:jc w:val="both"/>
        <w:rPr>
          <w:color w:val="000000"/>
          <w:lang w:val="lt-LT"/>
        </w:rPr>
      </w:pPr>
      <w:r w:rsidRPr="00FD6A1F">
        <w:rPr>
          <w:color w:val="000000"/>
          <w:shd w:val="clear" w:color="auto" w:fill="FFFFFF"/>
          <w:lang w:val="lt-LT"/>
        </w:rPr>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1F9959CB" w14:textId="0DD3D960" w:rsidR="008A5A0E" w:rsidRDefault="008A5A0E" w:rsidP="00584A1B">
      <w:pPr>
        <w:tabs>
          <w:tab w:val="left" w:pos="1418"/>
        </w:tabs>
        <w:contextualSpacing/>
        <w:jc w:val="both"/>
        <w:rPr>
          <w:color w:val="000000"/>
          <w:lang w:val="lt-LT"/>
        </w:rPr>
      </w:pPr>
      <w:r>
        <w:rPr>
          <w:color w:val="000000"/>
          <w:lang w:val="lt-LT"/>
        </w:rPr>
        <w:t xml:space="preserve">            </w:t>
      </w:r>
      <w:r w:rsidRPr="008A5A0E">
        <w:rPr>
          <w:color w:val="000000"/>
          <w:lang w:val="lt-LT"/>
        </w:rPr>
        <w:t>2</w:t>
      </w:r>
      <w:r>
        <w:rPr>
          <w:color w:val="000000"/>
          <w:lang w:val="lt-LT"/>
        </w:rPr>
        <w:t>3</w:t>
      </w:r>
      <w:r w:rsidRPr="008A5A0E">
        <w:rPr>
          <w:color w:val="000000"/>
          <w:lang w:val="lt-LT"/>
        </w:rPr>
        <w:t>. Vadovaujantis Viešųjų pirkimų įstatymo 27 str. nuostatomis, prieš pradedant pirkimo procedūras CVP IS priemonėmis buvo vykdoma rinkos konsultacija (</w:t>
      </w:r>
      <w:r w:rsidR="00886AD4">
        <w:rPr>
          <w:color w:val="000000"/>
          <w:lang w:val="lt-LT"/>
        </w:rPr>
        <w:t>3289024</w:t>
      </w:r>
      <w:r w:rsidRPr="008A5A0E">
        <w:rPr>
          <w:color w:val="000000"/>
          <w:lang w:val="lt-LT"/>
        </w:rPr>
        <w:t xml:space="preserve"> – </w:t>
      </w:r>
      <w:r w:rsidR="00C572A3" w:rsidRPr="00C572A3">
        <w:rPr>
          <w:color w:val="000000"/>
          <w:lang w:val="lt-LT"/>
        </w:rPr>
        <w:t xml:space="preserve">Priemonės </w:t>
      </w:r>
      <w:proofErr w:type="spellStart"/>
      <w:r w:rsidR="00C572A3" w:rsidRPr="00C572A3">
        <w:rPr>
          <w:color w:val="000000"/>
          <w:lang w:val="lt-LT"/>
        </w:rPr>
        <w:t>endotoksinų</w:t>
      </w:r>
      <w:proofErr w:type="spellEnd"/>
      <w:r w:rsidR="00C572A3" w:rsidRPr="00C572A3">
        <w:rPr>
          <w:color w:val="000000"/>
          <w:lang w:val="lt-LT"/>
        </w:rPr>
        <w:t xml:space="preserve"> nustatymui pagal Europos </w:t>
      </w:r>
      <w:proofErr w:type="spellStart"/>
      <w:r w:rsidR="00C572A3" w:rsidRPr="00C572A3">
        <w:rPr>
          <w:color w:val="000000"/>
          <w:lang w:val="lt-LT"/>
        </w:rPr>
        <w:t>farmokopėją</w:t>
      </w:r>
      <w:proofErr w:type="spellEnd"/>
      <w:r w:rsidR="00C572A3" w:rsidRPr="00C572A3">
        <w:rPr>
          <w:color w:val="000000"/>
          <w:lang w:val="lt-LT"/>
        </w:rPr>
        <w:t xml:space="preserve"> </w:t>
      </w:r>
      <w:proofErr w:type="spellStart"/>
      <w:r w:rsidR="00C572A3" w:rsidRPr="00C572A3">
        <w:rPr>
          <w:color w:val="000000"/>
          <w:lang w:val="lt-LT"/>
        </w:rPr>
        <w:t>Nr</w:t>
      </w:r>
      <w:proofErr w:type="spellEnd"/>
      <w:r w:rsidR="00C572A3" w:rsidRPr="00C572A3">
        <w:rPr>
          <w:color w:val="000000"/>
          <w:lang w:val="lt-LT"/>
        </w:rPr>
        <w:t xml:space="preserve"> 2.6.14</w:t>
      </w:r>
      <w:r w:rsidRPr="008A5A0E">
        <w:rPr>
          <w:color w:val="000000"/>
          <w:lang w:val="lt-LT"/>
        </w:rPr>
        <w:t xml:space="preserve">) </w:t>
      </w:r>
      <w:hyperlink r:id="rId7" w:history="1">
        <w:r w:rsidR="00584A1B" w:rsidRPr="00007B6E">
          <w:rPr>
            <w:rStyle w:val="Hyperlink"/>
            <w:lang w:val="lt-LT"/>
          </w:rPr>
          <w:t>https://viesiejipirkimai.lt/epps/pmc/viewPmc.do?resourceId=3289024</w:t>
        </w:r>
      </w:hyperlink>
      <w:r w:rsidR="00584A1B">
        <w:rPr>
          <w:color w:val="000000"/>
          <w:lang w:val="lt-LT"/>
        </w:rPr>
        <w:t xml:space="preserve"> </w:t>
      </w:r>
    </w:p>
    <w:p w14:paraId="5404D002" w14:textId="77777777" w:rsidR="005D4BEC" w:rsidRPr="00000073" w:rsidRDefault="004D11D5" w:rsidP="00B82DCD">
      <w:pPr>
        <w:spacing w:after="40"/>
        <w:ind w:firstLine="709"/>
        <w:jc w:val="both"/>
        <w:rPr>
          <w:color w:val="000000" w:themeColor="text1"/>
          <w:lang w:val="lt-LT"/>
        </w:rPr>
      </w:pPr>
      <w:r w:rsidRPr="00000073">
        <w:rPr>
          <w:color w:val="000000" w:themeColor="text1"/>
          <w:lang w:val="lt-LT"/>
        </w:rPr>
        <w:t xml:space="preserve">24. </w:t>
      </w:r>
      <w:r w:rsidR="00B82DCD" w:rsidRPr="000352D9">
        <w:rPr>
          <w:color w:val="000000" w:themeColor="text1"/>
          <w:u w:val="single"/>
          <w:lang w:val="lt-LT"/>
        </w:rPr>
        <w:t>Pirkimo sutartis bus sudaroma žodžiu</w:t>
      </w:r>
      <w:r w:rsidR="00B82DCD" w:rsidRPr="00000073">
        <w:rPr>
          <w:color w:val="000000" w:themeColor="text1"/>
          <w:lang w:val="lt-LT"/>
        </w:rPr>
        <w:t xml:space="preserve">. </w:t>
      </w:r>
      <w:r w:rsidR="002E4DA5" w:rsidRPr="00000073">
        <w:rPr>
          <w:rFonts w:eastAsia="Times New Roman"/>
          <w:color w:val="000000" w:themeColor="text1"/>
          <w:lang w:val="lt-LT"/>
        </w:rPr>
        <w:t xml:space="preserve">Žodinė sutartis laikoma sudaryta ir </w:t>
      </w:r>
      <w:r w:rsidR="002E4DA5" w:rsidRPr="00000073">
        <w:rPr>
          <w:rFonts w:eastAsia="Times New Roman"/>
          <w:color w:val="000000" w:themeColor="text1"/>
          <w:u w:val="single"/>
          <w:lang w:val="lt-LT"/>
        </w:rPr>
        <w:t>įsigalioja nuo Komisijos protokolo</w:t>
      </w:r>
      <w:r w:rsidR="002E4DA5" w:rsidRPr="00000073">
        <w:rPr>
          <w:rFonts w:eastAsia="Times New Roman"/>
          <w:color w:val="000000" w:themeColor="text1"/>
          <w:lang w:val="lt-LT"/>
        </w:rPr>
        <w:t xml:space="preserve">, kuriuo nustatytas laimėtojas, </w:t>
      </w:r>
      <w:r w:rsidR="002E4DA5" w:rsidRPr="00000073">
        <w:rPr>
          <w:rFonts w:eastAsia="Times New Roman"/>
          <w:color w:val="000000" w:themeColor="text1"/>
          <w:u w:val="single"/>
          <w:lang w:val="lt-LT"/>
        </w:rPr>
        <w:t>patvirtinimo dienos</w:t>
      </w:r>
      <w:r w:rsidR="002E4DA5" w:rsidRPr="00000073">
        <w:rPr>
          <w:rFonts w:eastAsia="Times New Roman"/>
          <w:color w:val="000000" w:themeColor="text1"/>
          <w:lang w:val="lt-LT"/>
        </w:rPr>
        <w:t xml:space="preserve">. </w:t>
      </w:r>
      <w:r w:rsidR="001949FB" w:rsidRPr="00000073">
        <w:rPr>
          <w:rFonts w:eastAsia="Times New Roman"/>
          <w:color w:val="000000" w:themeColor="text1"/>
          <w:lang w:val="lt-LT"/>
        </w:rPr>
        <w:t xml:space="preserve">Žodinė sutartis galioja iki visiško prievolių įvykdymo, t. y. iki bus išnaudota žodinės sutarties vertė, bet jos terminas </w:t>
      </w:r>
      <w:r w:rsidR="00B82DCD" w:rsidRPr="00000073">
        <w:rPr>
          <w:color w:val="000000" w:themeColor="text1"/>
          <w:kern w:val="2"/>
          <w:lang w:val="lt-LT"/>
        </w:rPr>
        <w:t>negali būti ilgesnis kaip 26</w:t>
      </w:r>
      <w:r w:rsidR="00B82DCD" w:rsidRPr="00000073">
        <w:rPr>
          <w:b/>
          <w:bCs/>
          <w:color w:val="000000" w:themeColor="text1"/>
          <w:lang w:val="lt-LT"/>
        </w:rPr>
        <w:t xml:space="preserve"> </w:t>
      </w:r>
      <w:r w:rsidR="00B82DCD" w:rsidRPr="00000073">
        <w:rPr>
          <w:color w:val="000000" w:themeColor="text1"/>
          <w:lang w:val="lt-LT"/>
        </w:rPr>
        <w:t>(dvidešimt šeši) mėnesiai</w:t>
      </w:r>
      <w:r w:rsidR="00B82DCD" w:rsidRPr="00000073">
        <w:rPr>
          <w:b/>
          <w:color w:val="000000" w:themeColor="text1"/>
          <w:lang w:val="lt-LT"/>
        </w:rPr>
        <w:t xml:space="preserve"> </w:t>
      </w:r>
      <w:r w:rsidR="00B82DCD" w:rsidRPr="00000073">
        <w:rPr>
          <w:color w:val="000000" w:themeColor="text1"/>
          <w:lang w:val="lt-LT"/>
        </w:rPr>
        <w:t xml:space="preserve">(sutarties vykdymo trukmė (prekių tiekimo terminas) - 24 (dvidešimt keturi) mėnesiai, atsiskaitymo terminas – 2 (du) mėnesiai. </w:t>
      </w:r>
    </w:p>
    <w:p w14:paraId="6EE9B786" w14:textId="2090961A" w:rsidR="00491537" w:rsidRPr="00281572" w:rsidRDefault="0023575E" w:rsidP="008578A0">
      <w:pPr>
        <w:ind w:firstLine="709"/>
        <w:jc w:val="both"/>
        <w:rPr>
          <w:color w:val="000000" w:themeColor="text1"/>
          <w:kern w:val="2"/>
          <w:lang w:val="pt-BR"/>
        </w:rPr>
      </w:pPr>
      <w:r w:rsidRPr="00281572">
        <w:rPr>
          <w:color w:val="000000" w:themeColor="text1"/>
          <w:kern w:val="2"/>
          <w:lang w:val="lt-LT"/>
        </w:rPr>
        <w:t>Pirkimui</w:t>
      </w:r>
      <w:r w:rsidR="00491537" w:rsidRPr="00281572">
        <w:rPr>
          <w:color w:val="000000" w:themeColor="text1"/>
          <w:kern w:val="2"/>
          <w:lang w:val="lt-LT"/>
        </w:rPr>
        <w:t xml:space="preserve"> taikom</w:t>
      </w:r>
      <w:r w:rsidR="009B4308" w:rsidRPr="00281572">
        <w:rPr>
          <w:color w:val="000000" w:themeColor="text1"/>
          <w:kern w:val="2"/>
          <w:lang w:val="lt-LT"/>
        </w:rPr>
        <w:t>os</w:t>
      </w:r>
      <w:r w:rsidR="00491537" w:rsidRPr="00281572">
        <w:rPr>
          <w:color w:val="000000" w:themeColor="text1"/>
          <w:kern w:val="2"/>
          <w:lang w:val="lt-LT"/>
        </w:rPr>
        <w:t xml:space="preserve"> </w:t>
      </w:r>
      <w:r w:rsidR="00491537" w:rsidRPr="00281572">
        <w:rPr>
          <w:color w:val="000000" w:themeColor="text1"/>
          <w:kern w:val="2"/>
          <w:u w:val="single"/>
          <w:lang w:val="lt-LT"/>
        </w:rPr>
        <w:t>fiksuoto įkainio</w:t>
      </w:r>
      <w:r w:rsidR="00491537" w:rsidRPr="00281572">
        <w:rPr>
          <w:color w:val="000000" w:themeColor="text1"/>
          <w:kern w:val="2"/>
          <w:lang w:val="lt-LT"/>
        </w:rPr>
        <w:t xml:space="preserve"> kainodar</w:t>
      </w:r>
      <w:r w:rsidR="009B4308" w:rsidRPr="00281572">
        <w:rPr>
          <w:color w:val="000000" w:themeColor="text1"/>
          <w:kern w:val="2"/>
          <w:lang w:val="lt-LT"/>
        </w:rPr>
        <w:t>os taisyklės</w:t>
      </w:r>
      <w:r w:rsidRPr="00281572">
        <w:rPr>
          <w:color w:val="000000" w:themeColor="text1"/>
          <w:kern w:val="2"/>
          <w:lang w:val="lt-LT"/>
        </w:rPr>
        <w:t>.</w:t>
      </w:r>
      <w:r w:rsidR="008578A0" w:rsidRPr="00281572">
        <w:rPr>
          <w:color w:val="000000" w:themeColor="text1"/>
          <w:kern w:val="2"/>
          <w:sz w:val="22"/>
          <w:szCs w:val="22"/>
          <w:lang w:val="pt-BR"/>
        </w:rPr>
        <w:t xml:space="preserve"> </w:t>
      </w:r>
      <w:r w:rsidR="008578A0" w:rsidRPr="00281572">
        <w:rPr>
          <w:color w:val="000000" w:themeColor="text1"/>
          <w:kern w:val="2"/>
          <w:lang w:val="pt-BR"/>
        </w:rPr>
        <w:t xml:space="preserve">Į prekių įkainius </w:t>
      </w:r>
      <w:r w:rsidR="000843CB" w:rsidRPr="00281572">
        <w:rPr>
          <w:color w:val="000000" w:themeColor="text1"/>
          <w:kern w:val="2"/>
          <w:lang w:val="pt-BR"/>
        </w:rPr>
        <w:t xml:space="preserve">turi būti </w:t>
      </w:r>
      <w:r w:rsidR="008578A0" w:rsidRPr="00281572">
        <w:rPr>
          <w:color w:val="000000" w:themeColor="text1"/>
          <w:kern w:val="2"/>
          <w:lang w:val="pt-BR"/>
        </w:rPr>
        <w:t xml:space="preserve">įskaičiuoti visi mokesčiai bei visos kitos Tiekėjo patirtos ir (ar) galimos patirti tiesioginės ir netiesioginės išlaidos ir mokesčiai, susiję su </w:t>
      </w:r>
      <w:r w:rsidR="000843CB" w:rsidRPr="00281572">
        <w:rPr>
          <w:color w:val="000000" w:themeColor="text1"/>
          <w:kern w:val="2"/>
          <w:lang w:val="pt-BR"/>
        </w:rPr>
        <w:t>p</w:t>
      </w:r>
      <w:r w:rsidR="008578A0" w:rsidRPr="00281572">
        <w:rPr>
          <w:color w:val="000000" w:themeColor="text1"/>
          <w:kern w:val="2"/>
          <w:lang w:val="pt-BR"/>
        </w:rPr>
        <w:t>rekių tiekimu</w:t>
      </w:r>
      <w:r w:rsidR="000843CB" w:rsidRPr="00281572">
        <w:rPr>
          <w:color w:val="000000" w:themeColor="text1"/>
          <w:kern w:val="2"/>
          <w:lang w:val="pt-BR"/>
        </w:rPr>
        <w:t>.</w:t>
      </w:r>
    </w:p>
    <w:p w14:paraId="60001C2B" w14:textId="2358F74C" w:rsidR="00B82DCD" w:rsidRPr="00000073" w:rsidRDefault="00B82DCD" w:rsidP="00B82DCD">
      <w:pPr>
        <w:spacing w:after="40"/>
        <w:ind w:firstLine="709"/>
        <w:jc w:val="both"/>
        <w:rPr>
          <w:color w:val="000000" w:themeColor="text1"/>
          <w:lang w:val="lt-LT"/>
        </w:rPr>
      </w:pPr>
      <w:r w:rsidRPr="00000073">
        <w:rPr>
          <w:color w:val="000000" w:themeColor="text1"/>
          <w:lang w:val="lt-LT"/>
        </w:rPr>
        <w:t>Už pristatyt</w:t>
      </w:r>
      <w:r w:rsidR="00000073">
        <w:rPr>
          <w:color w:val="000000" w:themeColor="text1"/>
          <w:lang w:val="lt-LT"/>
        </w:rPr>
        <w:t>as</w:t>
      </w:r>
      <w:r w:rsidRPr="00000073">
        <w:rPr>
          <w:color w:val="000000" w:themeColor="text1"/>
          <w:lang w:val="lt-LT"/>
        </w:rPr>
        <w:t xml:space="preserve"> ir priimt</w:t>
      </w:r>
      <w:r w:rsidR="00000073">
        <w:rPr>
          <w:color w:val="000000" w:themeColor="text1"/>
          <w:lang w:val="lt-LT"/>
        </w:rPr>
        <w:t>as</w:t>
      </w:r>
      <w:r w:rsidRPr="00000073">
        <w:rPr>
          <w:color w:val="000000" w:themeColor="text1"/>
          <w:lang w:val="lt-LT"/>
        </w:rPr>
        <w:t xml:space="preserve"> kokybišk</w:t>
      </w:r>
      <w:r w:rsidR="00000073">
        <w:rPr>
          <w:color w:val="000000" w:themeColor="text1"/>
          <w:lang w:val="lt-LT"/>
        </w:rPr>
        <w:t>as</w:t>
      </w:r>
      <w:r w:rsidRPr="00000073">
        <w:rPr>
          <w:color w:val="000000" w:themeColor="text1"/>
          <w:lang w:val="lt-LT"/>
        </w:rPr>
        <w:t>, techninės specifikacijos reikalavimus atitinkanči</w:t>
      </w:r>
      <w:r w:rsidR="00000073">
        <w:rPr>
          <w:color w:val="000000" w:themeColor="text1"/>
          <w:lang w:val="lt-LT"/>
        </w:rPr>
        <w:t>as</w:t>
      </w:r>
      <w:r w:rsidRPr="00000073">
        <w:rPr>
          <w:color w:val="000000" w:themeColor="text1"/>
          <w:lang w:val="lt-LT"/>
        </w:rPr>
        <w:t xml:space="preserve"> </w:t>
      </w:r>
      <w:r w:rsidR="00ED5838">
        <w:rPr>
          <w:color w:val="000000" w:themeColor="text1"/>
          <w:lang w:val="lt-LT"/>
        </w:rPr>
        <w:t>p</w:t>
      </w:r>
      <w:r w:rsidRPr="00000073">
        <w:rPr>
          <w:color w:val="000000" w:themeColor="text1"/>
          <w:lang w:val="lt-LT"/>
        </w:rPr>
        <w:t>rek</w:t>
      </w:r>
      <w:r w:rsidR="00183475" w:rsidRPr="00000073">
        <w:rPr>
          <w:color w:val="000000" w:themeColor="text1"/>
          <w:lang w:val="lt-LT"/>
        </w:rPr>
        <w:t>es</w:t>
      </w:r>
      <w:r w:rsidRPr="00000073">
        <w:rPr>
          <w:color w:val="000000" w:themeColor="text1"/>
          <w:lang w:val="lt-LT"/>
        </w:rPr>
        <w:t xml:space="preserve"> P</w:t>
      </w:r>
      <w:r w:rsidR="007C5E3B" w:rsidRPr="00000073">
        <w:rPr>
          <w:color w:val="000000" w:themeColor="text1"/>
          <w:lang w:val="lt-LT"/>
        </w:rPr>
        <w:t>O</w:t>
      </w:r>
      <w:r w:rsidRPr="00000073">
        <w:rPr>
          <w:color w:val="000000" w:themeColor="text1"/>
          <w:lang w:val="lt-LT"/>
        </w:rPr>
        <w:t xml:space="preserve"> atsiskaitys per 60 (šešiasdešimt) kalendorinių dienų nuo PVM sąskaitos faktūros gavimo dienos (vadovaujantis Mokėjimų, atliekamų pagal komercines sutartis, vėlavimo prevencijos įstatymo 5 str. 3 d. nustatytas 60 d. atsiskaitymo terminas yra objektyviai pagrįstas, nes P</w:t>
      </w:r>
      <w:r w:rsidR="00183475" w:rsidRPr="00000073">
        <w:rPr>
          <w:color w:val="000000" w:themeColor="text1"/>
          <w:lang w:val="lt-LT"/>
        </w:rPr>
        <w:t>O</w:t>
      </w:r>
      <w:r w:rsidRPr="00000073">
        <w:rPr>
          <w:color w:val="000000" w:themeColor="text1"/>
          <w:lang w:val="lt-LT"/>
        </w:rPr>
        <w:t xml:space="preserve"> mokėjimus pagal sutartis atlieka gav</w:t>
      </w:r>
      <w:r w:rsidR="00A74618" w:rsidRPr="00000073">
        <w:rPr>
          <w:color w:val="000000" w:themeColor="text1"/>
          <w:lang w:val="lt-LT"/>
        </w:rPr>
        <w:t>usi</w:t>
      </w:r>
      <w:r w:rsidRPr="00000073">
        <w:rPr>
          <w:color w:val="000000" w:themeColor="text1"/>
          <w:lang w:val="lt-LT"/>
        </w:rPr>
        <w:t xml:space="preserve"> finansavimą iš tarpinių finansuojančių institucijų. Finansavimo modelis – patirtų sąnaudų kompensavimas Privalomojo sveikatos draudimo fondo biudžeto lėšomis). PVM sąskaitos faktūros išrašymo pagrindas – </w:t>
      </w:r>
      <w:r w:rsidR="00E521ED" w:rsidRPr="00000073">
        <w:rPr>
          <w:color w:val="000000" w:themeColor="text1"/>
          <w:lang w:val="lt-LT"/>
        </w:rPr>
        <w:t>t</w:t>
      </w:r>
      <w:r w:rsidRPr="00000073">
        <w:rPr>
          <w:color w:val="000000" w:themeColor="text1"/>
          <w:lang w:val="lt-LT"/>
        </w:rPr>
        <w:t>iekėjo parengtas ir Šalių pasirašytas prekių perdavimo–priėmimo aktas.</w:t>
      </w:r>
    </w:p>
    <w:p w14:paraId="2D51AC22" w14:textId="2CB83D3B" w:rsidR="00ED5838" w:rsidRPr="00650AF6" w:rsidRDefault="00ED5838" w:rsidP="00ED5838">
      <w:pPr>
        <w:pStyle w:val="Body2"/>
        <w:ind w:firstLine="709"/>
        <w:rPr>
          <w:color w:val="auto"/>
          <w:sz w:val="24"/>
          <w:szCs w:val="24"/>
          <w:lang w:val="lt-LT"/>
        </w:rPr>
      </w:pPr>
      <w:r w:rsidRPr="00650AF6">
        <w:rPr>
          <w:color w:val="000000" w:themeColor="text1"/>
          <w:kern w:val="2"/>
          <w:sz w:val="24"/>
          <w:szCs w:val="24"/>
          <w:lang w:val="lt-LT"/>
        </w:rPr>
        <w:t xml:space="preserve">Tiekėjas pagal atskirą užsakymą įsipareigoja pristatyti </w:t>
      </w:r>
      <w:r>
        <w:rPr>
          <w:color w:val="000000" w:themeColor="text1"/>
          <w:kern w:val="2"/>
          <w:sz w:val="24"/>
          <w:szCs w:val="24"/>
          <w:lang w:val="lt-LT"/>
        </w:rPr>
        <w:t>p</w:t>
      </w:r>
      <w:r w:rsidRPr="00650AF6">
        <w:rPr>
          <w:color w:val="000000" w:themeColor="text1"/>
          <w:kern w:val="2"/>
          <w:sz w:val="24"/>
          <w:szCs w:val="24"/>
          <w:lang w:val="lt-LT"/>
        </w:rPr>
        <w:t>rekes ne vėliau kaip per 30</w:t>
      </w:r>
      <w:r w:rsidRPr="00650AF6">
        <w:rPr>
          <w:sz w:val="24"/>
          <w:szCs w:val="24"/>
          <w:lang w:val="lt-LT"/>
        </w:rPr>
        <w:t xml:space="preserve"> (trisdešimt) dienų nuo </w:t>
      </w:r>
      <w:r>
        <w:rPr>
          <w:sz w:val="24"/>
          <w:szCs w:val="24"/>
          <w:lang w:val="lt-LT"/>
        </w:rPr>
        <w:t>PO</w:t>
      </w:r>
      <w:r w:rsidRPr="00650AF6">
        <w:rPr>
          <w:sz w:val="24"/>
          <w:szCs w:val="24"/>
          <w:lang w:val="lt-LT"/>
        </w:rPr>
        <w:t xml:space="preserve"> užsakyme nurodytos datos šiuo adresu: Santariškių g. 5, Vilnius.</w:t>
      </w:r>
    </w:p>
    <w:p w14:paraId="1A4F43D8" w14:textId="6667EED6" w:rsidR="00540884" w:rsidRPr="00540884" w:rsidRDefault="00540884" w:rsidP="00540884">
      <w:pPr>
        <w:ind w:firstLine="567"/>
        <w:jc w:val="both"/>
        <w:rPr>
          <w:rFonts w:eastAsia="Times New Roman"/>
          <w:color w:val="000000" w:themeColor="text1"/>
          <w:lang w:val="pt-BR"/>
        </w:rPr>
      </w:pPr>
      <w:r>
        <w:rPr>
          <w:rFonts w:eastAsia="Times New Roman"/>
          <w:color w:val="000000" w:themeColor="text1"/>
          <w:lang w:val="lt-LT"/>
        </w:rPr>
        <w:t xml:space="preserve">  </w:t>
      </w:r>
      <w:r w:rsidRPr="00540884">
        <w:rPr>
          <w:rFonts w:eastAsia="Times New Roman"/>
          <w:color w:val="000000" w:themeColor="text1"/>
          <w:lang w:val="lt-LT"/>
        </w:rPr>
        <w:t>Prekėms nustatomas Tiekėjo pasiūlytas arba Prekių gamintojo taikomas Garantinis terminas, tačiau bet kokiu atveju ne trumpesnis kaip 6 (šeši) mėnesiai</w:t>
      </w:r>
      <w:r>
        <w:rPr>
          <w:rFonts w:eastAsia="Times New Roman"/>
          <w:color w:val="000000" w:themeColor="text1"/>
          <w:lang w:val="lt-LT"/>
        </w:rPr>
        <w:t xml:space="preserve">. </w:t>
      </w:r>
      <w:r w:rsidRPr="00540884">
        <w:rPr>
          <w:rFonts w:eastAsia="Times New Roman"/>
          <w:color w:val="000000" w:themeColor="text1"/>
          <w:lang w:val="pt-BR"/>
        </w:rPr>
        <w:t xml:space="preserve">Garantinis terminas, skaičiuojamas nuo Prekių perdavimo-priėmimo </w:t>
      </w:r>
      <w:r w:rsidR="004B2A42" w:rsidRPr="004B2A42">
        <w:rPr>
          <w:rFonts w:eastAsia="Times New Roman"/>
          <w:color w:val="000000" w:themeColor="text1"/>
          <w:lang w:val="pt-BR"/>
        </w:rPr>
        <w:t>akto ar sąskaitos (kai prekių perdavimo–priėmimo aktas nėra pasirašomas) pasirašymo dienos.</w:t>
      </w:r>
    </w:p>
    <w:p w14:paraId="683EB471" w14:textId="77777777" w:rsidR="008A5A0E" w:rsidRPr="00540884" w:rsidRDefault="008A5A0E" w:rsidP="008A5A0E">
      <w:pPr>
        <w:tabs>
          <w:tab w:val="left" w:pos="1418"/>
        </w:tabs>
        <w:spacing w:line="276" w:lineRule="auto"/>
        <w:ind w:right="425"/>
        <w:contextualSpacing/>
        <w:jc w:val="both"/>
        <w:rPr>
          <w:color w:val="000000"/>
          <w:lang w:val="pt-BR"/>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7ED493CA" w14:textId="0278CF27" w:rsidR="00594620" w:rsidRDefault="00160CCC" w:rsidP="00CF51FB">
      <w:pPr>
        <w:pStyle w:val="NormalWeb"/>
        <w:spacing w:before="0" w:beforeAutospacing="0" w:after="40" w:afterAutospacing="0"/>
        <w:ind w:firstLine="720"/>
        <w:jc w:val="both"/>
        <w:rPr>
          <w:color w:val="000000"/>
        </w:rPr>
      </w:pPr>
      <w:r>
        <w:rPr>
          <w:color w:val="000000"/>
        </w:rPr>
        <w:t>2</w:t>
      </w:r>
      <w:r w:rsidR="001F5A47" w:rsidRPr="00A229BB">
        <w:rPr>
          <w:color w:val="000000"/>
        </w:rPr>
        <w:t>. Pasiūlymo forma.</w:t>
      </w:r>
    </w:p>
    <w:p w14:paraId="3C7E369F" w14:textId="434B9BF6" w:rsidR="00160CCC" w:rsidRPr="00A229BB" w:rsidRDefault="00160CCC" w:rsidP="00160CCC">
      <w:pPr>
        <w:pStyle w:val="NormalWeb"/>
        <w:spacing w:before="0" w:beforeAutospacing="0" w:after="40" w:afterAutospacing="0"/>
        <w:ind w:firstLine="720"/>
        <w:jc w:val="both"/>
      </w:pPr>
      <w:r>
        <w:rPr>
          <w:color w:val="000000"/>
        </w:rPr>
        <w:t>3</w:t>
      </w:r>
      <w:r w:rsidRPr="00A229BB">
        <w:rPr>
          <w:color w:val="000000"/>
        </w:rPr>
        <w:t>.</w:t>
      </w:r>
      <w:r>
        <w:rPr>
          <w:color w:val="000000"/>
        </w:rPr>
        <w:t xml:space="preserve"> </w:t>
      </w:r>
      <w:r w:rsidRPr="00A229BB">
        <w:rPr>
          <w:color w:val="000000"/>
        </w:rPr>
        <w:t>EBVPD failas/šablonas.</w:t>
      </w:r>
    </w:p>
    <w:p w14:paraId="4AAF2729" w14:textId="77777777" w:rsidR="00160CCC" w:rsidRDefault="00160CCC" w:rsidP="00CF51FB">
      <w:pPr>
        <w:pStyle w:val="NormalWeb"/>
        <w:spacing w:before="0" w:beforeAutospacing="0" w:after="40" w:afterAutospacing="0"/>
        <w:ind w:firstLine="720"/>
        <w:jc w:val="both"/>
        <w:rPr>
          <w:color w:val="000000"/>
        </w:rPr>
      </w:pPr>
    </w:p>
    <w:sectPr w:rsidR="00160CCC" w:rsidSect="00CF51FB">
      <w:footerReference w:type="default" r:id="rId8"/>
      <w:pgSz w:w="11900" w:h="16840"/>
      <w:pgMar w:top="851"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4D13" w14:textId="77777777" w:rsidR="000A7FD8" w:rsidRDefault="000A7FD8">
      <w:r>
        <w:separator/>
      </w:r>
    </w:p>
  </w:endnote>
  <w:endnote w:type="continuationSeparator" w:id="0">
    <w:p w14:paraId="003C1E0F" w14:textId="77777777" w:rsidR="000A7FD8" w:rsidRDefault="000A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587C" w14:textId="77777777" w:rsidR="000A7FD8" w:rsidRDefault="000A7FD8">
      <w:r>
        <w:separator/>
      </w:r>
    </w:p>
  </w:footnote>
  <w:footnote w:type="continuationSeparator" w:id="0">
    <w:p w14:paraId="683C3E42" w14:textId="77777777" w:rsidR="000A7FD8" w:rsidRDefault="000A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073"/>
    <w:rsid w:val="00004E93"/>
    <w:rsid w:val="00010B3F"/>
    <w:rsid w:val="00017099"/>
    <w:rsid w:val="00025453"/>
    <w:rsid w:val="00030E6D"/>
    <w:rsid w:val="00031029"/>
    <w:rsid w:val="0003294A"/>
    <w:rsid w:val="000352D9"/>
    <w:rsid w:val="000410D9"/>
    <w:rsid w:val="00046F04"/>
    <w:rsid w:val="00047D0E"/>
    <w:rsid w:val="00052FD6"/>
    <w:rsid w:val="000650FC"/>
    <w:rsid w:val="00065EA9"/>
    <w:rsid w:val="00073EAF"/>
    <w:rsid w:val="0007624D"/>
    <w:rsid w:val="000811B8"/>
    <w:rsid w:val="000843CB"/>
    <w:rsid w:val="00095CAF"/>
    <w:rsid w:val="00096CEB"/>
    <w:rsid w:val="000A7FD8"/>
    <w:rsid w:val="000C701C"/>
    <w:rsid w:val="000C7B94"/>
    <w:rsid w:val="000D0227"/>
    <w:rsid w:val="000D18A2"/>
    <w:rsid w:val="000D386B"/>
    <w:rsid w:val="000E017F"/>
    <w:rsid w:val="000E0E5B"/>
    <w:rsid w:val="000E166B"/>
    <w:rsid w:val="000E4515"/>
    <w:rsid w:val="000E4A0A"/>
    <w:rsid w:val="000F17A4"/>
    <w:rsid w:val="000F44FF"/>
    <w:rsid w:val="0011338A"/>
    <w:rsid w:val="001140DE"/>
    <w:rsid w:val="00122838"/>
    <w:rsid w:val="00122C8F"/>
    <w:rsid w:val="001330D6"/>
    <w:rsid w:val="00141A3F"/>
    <w:rsid w:val="001433ED"/>
    <w:rsid w:val="00160CCC"/>
    <w:rsid w:val="00166DCC"/>
    <w:rsid w:val="00183475"/>
    <w:rsid w:val="001949FB"/>
    <w:rsid w:val="001973D8"/>
    <w:rsid w:val="00197D01"/>
    <w:rsid w:val="001A064F"/>
    <w:rsid w:val="001A27FE"/>
    <w:rsid w:val="001A500B"/>
    <w:rsid w:val="001B09B1"/>
    <w:rsid w:val="001B1CF6"/>
    <w:rsid w:val="001B5396"/>
    <w:rsid w:val="001C1B78"/>
    <w:rsid w:val="001C74BA"/>
    <w:rsid w:val="001D1CE6"/>
    <w:rsid w:val="001D4BA8"/>
    <w:rsid w:val="001D4D01"/>
    <w:rsid w:val="001D5F8C"/>
    <w:rsid w:val="001E36B8"/>
    <w:rsid w:val="001E58D4"/>
    <w:rsid w:val="001E77E0"/>
    <w:rsid w:val="001F5A47"/>
    <w:rsid w:val="0020073A"/>
    <w:rsid w:val="00210648"/>
    <w:rsid w:val="00217F8D"/>
    <w:rsid w:val="00220AC7"/>
    <w:rsid w:val="0022150C"/>
    <w:rsid w:val="0022390D"/>
    <w:rsid w:val="0022418E"/>
    <w:rsid w:val="0022449B"/>
    <w:rsid w:val="00224C40"/>
    <w:rsid w:val="00227892"/>
    <w:rsid w:val="00231B17"/>
    <w:rsid w:val="00232656"/>
    <w:rsid w:val="00235074"/>
    <w:rsid w:val="0023575E"/>
    <w:rsid w:val="002422CB"/>
    <w:rsid w:val="0024305E"/>
    <w:rsid w:val="00244032"/>
    <w:rsid w:val="00252270"/>
    <w:rsid w:val="002549C3"/>
    <w:rsid w:val="002618E1"/>
    <w:rsid w:val="0026369D"/>
    <w:rsid w:val="0027015B"/>
    <w:rsid w:val="002760B1"/>
    <w:rsid w:val="00277F51"/>
    <w:rsid w:val="00281572"/>
    <w:rsid w:val="00283AE8"/>
    <w:rsid w:val="00286110"/>
    <w:rsid w:val="00292CF7"/>
    <w:rsid w:val="00293B34"/>
    <w:rsid w:val="00295B2B"/>
    <w:rsid w:val="002A1E4E"/>
    <w:rsid w:val="002A2D16"/>
    <w:rsid w:val="002A51EA"/>
    <w:rsid w:val="002B2E9E"/>
    <w:rsid w:val="002B5F2C"/>
    <w:rsid w:val="002C4556"/>
    <w:rsid w:val="002C50E4"/>
    <w:rsid w:val="002D0FA2"/>
    <w:rsid w:val="002D1FF4"/>
    <w:rsid w:val="002D2D69"/>
    <w:rsid w:val="002D3AD9"/>
    <w:rsid w:val="002D604D"/>
    <w:rsid w:val="002D6614"/>
    <w:rsid w:val="002E1915"/>
    <w:rsid w:val="002E35CB"/>
    <w:rsid w:val="002E4DA5"/>
    <w:rsid w:val="002E70D3"/>
    <w:rsid w:val="0030163F"/>
    <w:rsid w:val="003129F3"/>
    <w:rsid w:val="00312ED1"/>
    <w:rsid w:val="003139E9"/>
    <w:rsid w:val="00314035"/>
    <w:rsid w:val="00316D92"/>
    <w:rsid w:val="0032059C"/>
    <w:rsid w:val="00320912"/>
    <w:rsid w:val="00323676"/>
    <w:rsid w:val="00325CB8"/>
    <w:rsid w:val="00327D00"/>
    <w:rsid w:val="00333863"/>
    <w:rsid w:val="003360BC"/>
    <w:rsid w:val="0033780D"/>
    <w:rsid w:val="003419EF"/>
    <w:rsid w:val="00342185"/>
    <w:rsid w:val="003429A4"/>
    <w:rsid w:val="00346998"/>
    <w:rsid w:val="00354E05"/>
    <w:rsid w:val="00357350"/>
    <w:rsid w:val="00365E43"/>
    <w:rsid w:val="003662A6"/>
    <w:rsid w:val="003757B7"/>
    <w:rsid w:val="00382B06"/>
    <w:rsid w:val="00382E7F"/>
    <w:rsid w:val="00394C65"/>
    <w:rsid w:val="00395255"/>
    <w:rsid w:val="003A20B5"/>
    <w:rsid w:val="003C2DCC"/>
    <w:rsid w:val="003C4722"/>
    <w:rsid w:val="003C7703"/>
    <w:rsid w:val="003D1074"/>
    <w:rsid w:val="003D7222"/>
    <w:rsid w:val="003E7274"/>
    <w:rsid w:val="003F06E7"/>
    <w:rsid w:val="003F24AB"/>
    <w:rsid w:val="004017CB"/>
    <w:rsid w:val="00414976"/>
    <w:rsid w:val="00431712"/>
    <w:rsid w:val="00442969"/>
    <w:rsid w:val="0045220C"/>
    <w:rsid w:val="00455AF3"/>
    <w:rsid w:val="00456D6E"/>
    <w:rsid w:val="00461852"/>
    <w:rsid w:val="00463F70"/>
    <w:rsid w:val="00466E14"/>
    <w:rsid w:val="00467E24"/>
    <w:rsid w:val="0047482B"/>
    <w:rsid w:val="00481964"/>
    <w:rsid w:val="0048305A"/>
    <w:rsid w:val="00490179"/>
    <w:rsid w:val="00491537"/>
    <w:rsid w:val="00493988"/>
    <w:rsid w:val="004945DE"/>
    <w:rsid w:val="004B0B14"/>
    <w:rsid w:val="004B276A"/>
    <w:rsid w:val="004B2A42"/>
    <w:rsid w:val="004B456D"/>
    <w:rsid w:val="004B7C0A"/>
    <w:rsid w:val="004C62E5"/>
    <w:rsid w:val="004D0E33"/>
    <w:rsid w:val="004D11D5"/>
    <w:rsid w:val="004D162C"/>
    <w:rsid w:val="004D343C"/>
    <w:rsid w:val="004D35E3"/>
    <w:rsid w:val="004D5503"/>
    <w:rsid w:val="004D6201"/>
    <w:rsid w:val="004D7AD4"/>
    <w:rsid w:val="004E13DF"/>
    <w:rsid w:val="004E28B2"/>
    <w:rsid w:val="004E2DBC"/>
    <w:rsid w:val="004E361F"/>
    <w:rsid w:val="004E4A36"/>
    <w:rsid w:val="004E5695"/>
    <w:rsid w:val="004E70CD"/>
    <w:rsid w:val="004F2450"/>
    <w:rsid w:val="004F29BB"/>
    <w:rsid w:val="004F36EC"/>
    <w:rsid w:val="004F37D4"/>
    <w:rsid w:val="004F5DB6"/>
    <w:rsid w:val="005058F0"/>
    <w:rsid w:val="005264C0"/>
    <w:rsid w:val="0054076A"/>
    <w:rsid w:val="00540884"/>
    <w:rsid w:val="00543984"/>
    <w:rsid w:val="00544A4D"/>
    <w:rsid w:val="005517CE"/>
    <w:rsid w:val="00554AFF"/>
    <w:rsid w:val="00555037"/>
    <w:rsid w:val="00561639"/>
    <w:rsid w:val="00562B11"/>
    <w:rsid w:val="00570395"/>
    <w:rsid w:val="0057279E"/>
    <w:rsid w:val="0057752A"/>
    <w:rsid w:val="00584A1B"/>
    <w:rsid w:val="00584E4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BEC"/>
    <w:rsid w:val="005D4F98"/>
    <w:rsid w:val="005E308A"/>
    <w:rsid w:val="005E32DA"/>
    <w:rsid w:val="005E3DE0"/>
    <w:rsid w:val="005E6302"/>
    <w:rsid w:val="005E77D7"/>
    <w:rsid w:val="005F150E"/>
    <w:rsid w:val="005F4FF5"/>
    <w:rsid w:val="006019BC"/>
    <w:rsid w:val="006027A8"/>
    <w:rsid w:val="006057FD"/>
    <w:rsid w:val="00607DD6"/>
    <w:rsid w:val="00612E34"/>
    <w:rsid w:val="0061402C"/>
    <w:rsid w:val="00614850"/>
    <w:rsid w:val="00616EAF"/>
    <w:rsid w:val="006179F3"/>
    <w:rsid w:val="00620D4E"/>
    <w:rsid w:val="006248A8"/>
    <w:rsid w:val="00632A24"/>
    <w:rsid w:val="00632F9A"/>
    <w:rsid w:val="00633EFB"/>
    <w:rsid w:val="0064363E"/>
    <w:rsid w:val="00650AF6"/>
    <w:rsid w:val="00651F54"/>
    <w:rsid w:val="00654529"/>
    <w:rsid w:val="006650D7"/>
    <w:rsid w:val="00670EF0"/>
    <w:rsid w:val="0067431B"/>
    <w:rsid w:val="0067679F"/>
    <w:rsid w:val="006805E6"/>
    <w:rsid w:val="00686CE0"/>
    <w:rsid w:val="00691693"/>
    <w:rsid w:val="00693F9B"/>
    <w:rsid w:val="006977D3"/>
    <w:rsid w:val="006A13B9"/>
    <w:rsid w:val="006A3818"/>
    <w:rsid w:val="006A7680"/>
    <w:rsid w:val="006B0AAA"/>
    <w:rsid w:val="006B5457"/>
    <w:rsid w:val="006D090D"/>
    <w:rsid w:val="006D3D2D"/>
    <w:rsid w:val="006D4DF7"/>
    <w:rsid w:val="006D6A2E"/>
    <w:rsid w:val="006D6C81"/>
    <w:rsid w:val="006E0AAC"/>
    <w:rsid w:val="006E0D8B"/>
    <w:rsid w:val="006E0FCF"/>
    <w:rsid w:val="006F5DC1"/>
    <w:rsid w:val="006F6F3A"/>
    <w:rsid w:val="006F7504"/>
    <w:rsid w:val="00700257"/>
    <w:rsid w:val="00701CD6"/>
    <w:rsid w:val="00707B48"/>
    <w:rsid w:val="007131B0"/>
    <w:rsid w:val="00713C3A"/>
    <w:rsid w:val="00717ACF"/>
    <w:rsid w:val="00722D1D"/>
    <w:rsid w:val="007236BF"/>
    <w:rsid w:val="0072538B"/>
    <w:rsid w:val="007259B5"/>
    <w:rsid w:val="00726681"/>
    <w:rsid w:val="00727BC2"/>
    <w:rsid w:val="00727BC4"/>
    <w:rsid w:val="00735157"/>
    <w:rsid w:val="00737528"/>
    <w:rsid w:val="00740104"/>
    <w:rsid w:val="007408A4"/>
    <w:rsid w:val="00742082"/>
    <w:rsid w:val="00754D5B"/>
    <w:rsid w:val="0075526D"/>
    <w:rsid w:val="007825A5"/>
    <w:rsid w:val="007871A6"/>
    <w:rsid w:val="007926DD"/>
    <w:rsid w:val="00794080"/>
    <w:rsid w:val="00794AB0"/>
    <w:rsid w:val="007971BE"/>
    <w:rsid w:val="007A4471"/>
    <w:rsid w:val="007A495E"/>
    <w:rsid w:val="007A4B10"/>
    <w:rsid w:val="007C011C"/>
    <w:rsid w:val="007C2249"/>
    <w:rsid w:val="007C5E3B"/>
    <w:rsid w:val="007D19E4"/>
    <w:rsid w:val="007D2325"/>
    <w:rsid w:val="007D4B46"/>
    <w:rsid w:val="007D678E"/>
    <w:rsid w:val="007E1C4F"/>
    <w:rsid w:val="007E32A5"/>
    <w:rsid w:val="007E6D73"/>
    <w:rsid w:val="007E7AB6"/>
    <w:rsid w:val="007E7E86"/>
    <w:rsid w:val="007F2868"/>
    <w:rsid w:val="007F2E08"/>
    <w:rsid w:val="007F3A24"/>
    <w:rsid w:val="008025CE"/>
    <w:rsid w:val="008030DB"/>
    <w:rsid w:val="00806FFF"/>
    <w:rsid w:val="00812DBF"/>
    <w:rsid w:val="00821705"/>
    <w:rsid w:val="00830029"/>
    <w:rsid w:val="00835EA0"/>
    <w:rsid w:val="00840650"/>
    <w:rsid w:val="00850151"/>
    <w:rsid w:val="008517ED"/>
    <w:rsid w:val="008578A0"/>
    <w:rsid w:val="00861EAD"/>
    <w:rsid w:val="00871D3D"/>
    <w:rsid w:val="00877175"/>
    <w:rsid w:val="00880FFD"/>
    <w:rsid w:val="00882E26"/>
    <w:rsid w:val="00886AD4"/>
    <w:rsid w:val="00886C1C"/>
    <w:rsid w:val="008875BE"/>
    <w:rsid w:val="00887E63"/>
    <w:rsid w:val="00890268"/>
    <w:rsid w:val="008929CC"/>
    <w:rsid w:val="008A5693"/>
    <w:rsid w:val="008A5A0E"/>
    <w:rsid w:val="008B3D56"/>
    <w:rsid w:val="008B5128"/>
    <w:rsid w:val="008D266A"/>
    <w:rsid w:val="008D26F1"/>
    <w:rsid w:val="008D57B2"/>
    <w:rsid w:val="008E757E"/>
    <w:rsid w:val="008F28CF"/>
    <w:rsid w:val="008F41FD"/>
    <w:rsid w:val="008F6267"/>
    <w:rsid w:val="008F6C21"/>
    <w:rsid w:val="00901CEC"/>
    <w:rsid w:val="00912F21"/>
    <w:rsid w:val="00925CD1"/>
    <w:rsid w:val="00940328"/>
    <w:rsid w:val="00950BEF"/>
    <w:rsid w:val="009641B3"/>
    <w:rsid w:val="00966F8B"/>
    <w:rsid w:val="0097011B"/>
    <w:rsid w:val="009837EC"/>
    <w:rsid w:val="009851E7"/>
    <w:rsid w:val="009979A3"/>
    <w:rsid w:val="009A516A"/>
    <w:rsid w:val="009B4308"/>
    <w:rsid w:val="009C3350"/>
    <w:rsid w:val="009C5D91"/>
    <w:rsid w:val="009C6CCB"/>
    <w:rsid w:val="009D2630"/>
    <w:rsid w:val="009D5D54"/>
    <w:rsid w:val="009E09DD"/>
    <w:rsid w:val="009F35A4"/>
    <w:rsid w:val="00A00CF2"/>
    <w:rsid w:val="00A0149C"/>
    <w:rsid w:val="00A1562D"/>
    <w:rsid w:val="00A21E5F"/>
    <w:rsid w:val="00A229BB"/>
    <w:rsid w:val="00A252DA"/>
    <w:rsid w:val="00A4083B"/>
    <w:rsid w:val="00A4248C"/>
    <w:rsid w:val="00A43B9F"/>
    <w:rsid w:val="00A43F35"/>
    <w:rsid w:val="00A4760C"/>
    <w:rsid w:val="00A50AF6"/>
    <w:rsid w:val="00A50F3D"/>
    <w:rsid w:val="00A51238"/>
    <w:rsid w:val="00A539B3"/>
    <w:rsid w:val="00A55A9D"/>
    <w:rsid w:val="00A628CD"/>
    <w:rsid w:val="00A65991"/>
    <w:rsid w:val="00A71EB8"/>
    <w:rsid w:val="00A73311"/>
    <w:rsid w:val="00A74618"/>
    <w:rsid w:val="00A77FE3"/>
    <w:rsid w:val="00A80BEE"/>
    <w:rsid w:val="00A90907"/>
    <w:rsid w:val="00A90990"/>
    <w:rsid w:val="00AA214C"/>
    <w:rsid w:val="00AB5F9A"/>
    <w:rsid w:val="00AC0404"/>
    <w:rsid w:val="00AC2251"/>
    <w:rsid w:val="00AC4869"/>
    <w:rsid w:val="00AD09F4"/>
    <w:rsid w:val="00AE0E0E"/>
    <w:rsid w:val="00AF0229"/>
    <w:rsid w:val="00AF050D"/>
    <w:rsid w:val="00AF3B36"/>
    <w:rsid w:val="00AF66B5"/>
    <w:rsid w:val="00B00ADE"/>
    <w:rsid w:val="00B00D4C"/>
    <w:rsid w:val="00B074F7"/>
    <w:rsid w:val="00B10714"/>
    <w:rsid w:val="00B11B39"/>
    <w:rsid w:val="00B120B6"/>
    <w:rsid w:val="00B133B5"/>
    <w:rsid w:val="00B14458"/>
    <w:rsid w:val="00B165C8"/>
    <w:rsid w:val="00B24E75"/>
    <w:rsid w:val="00B2746B"/>
    <w:rsid w:val="00B362F4"/>
    <w:rsid w:val="00B36D7D"/>
    <w:rsid w:val="00B418A9"/>
    <w:rsid w:val="00B42889"/>
    <w:rsid w:val="00B50654"/>
    <w:rsid w:val="00B51BF6"/>
    <w:rsid w:val="00B729CA"/>
    <w:rsid w:val="00B7562B"/>
    <w:rsid w:val="00B81014"/>
    <w:rsid w:val="00B82DCD"/>
    <w:rsid w:val="00B87A3E"/>
    <w:rsid w:val="00B91848"/>
    <w:rsid w:val="00B931A7"/>
    <w:rsid w:val="00BA4E88"/>
    <w:rsid w:val="00BA693E"/>
    <w:rsid w:val="00BB0073"/>
    <w:rsid w:val="00BB0DEF"/>
    <w:rsid w:val="00BB26A6"/>
    <w:rsid w:val="00BB4B40"/>
    <w:rsid w:val="00BB4DA1"/>
    <w:rsid w:val="00BB4F5E"/>
    <w:rsid w:val="00BC3AFF"/>
    <w:rsid w:val="00BD0B3D"/>
    <w:rsid w:val="00BD0E50"/>
    <w:rsid w:val="00BD507D"/>
    <w:rsid w:val="00BD5F84"/>
    <w:rsid w:val="00BF338E"/>
    <w:rsid w:val="00BF7478"/>
    <w:rsid w:val="00C05DB2"/>
    <w:rsid w:val="00C05F9B"/>
    <w:rsid w:val="00C12E3F"/>
    <w:rsid w:val="00C14CF8"/>
    <w:rsid w:val="00C15C24"/>
    <w:rsid w:val="00C204BE"/>
    <w:rsid w:val="00C337BF"/>
    <w:rsid w:val="00C342F1"/>
    <w:rsid w:val="00C3785B"/>
    <w:rsid w:val="00C403C5"/>
    <w:rsid w:val="00C4376B"/>
    <w:rsid w:val="00C475AD"/>
    <w:rsid w:val="00C5021E"/>
    <w:rsid w:val="00C572A3"/>
    <w:rsid w:val="00C704A1"/>
    <w:rsid w:val="00C85DFB"/>
    <w:rsid w:val="00C94E87"/>
    <w:rsid w:val="00CA406C"/>
    <w:rsid w:val="00CB28E8"/>
    <w:rsid w:val="00CB3982"/>
    <w:rsid w:val="00CB67B1"/>
    <w:rsid w:val="00CB6E72"/>
    <w:rsid w:val="00CC10C2"/>
    <w:rsid w:val="00CC3777"/>
    <w:rsid w:val="00CC586A"/>
    <w:rsid w:val="00CC685F"/>
    <w:rsid w:val="00CD4D83"/>
    <w:rsid w:val="00CE1033"/>
    <w:rsid w:val="00CE1218"/>
    <w:rsid w:val="00CE1D3C"/>
    <w:rsid w:val="00CE2DD3"/>
    <w:rsid w:val="00CE4BAC"/>
    <w:rsid w:val="00CE4E42"/>
    <w:rsid w:val="00CE534E"/>
    <w:rsid w:val="00CE6120"/>
    <w:rsid w:val="00CF205C"/>
    <w:rsid w:val="00CF51FB"/>
    <w:rsid w:val="00D044A9"/>
    <w:rsid w:val="00D12651"/>
    <w:rsid w:val="00D22160"/>
    <w:rsid w:val="00D25321"/>
    <w:rsid w:val="00D31A85"/>
    <w:rsid w:val="00D327B1"/>
    <w:rsid w:val="00D355E2"/>
    <w:rsid w:val="00D35FA1"/>
    <w:rsid w:val="00D40E20"/>
    <w:rsid w:val="00D41A06"/>
    <w:rsid w:val="00D42AD2"/>
    <w:rsid w:val="00D43DC8"/>
    <w:rsid w:val="00D4508E"/>
    <w:rsid w:val="00D51BD6"/>
    <w:rsid w:val="00D60162"/>
    <w:rsid w:val="00D60EE0"/>
    <w:rsid w:val="00D70C9D"/>
    <w:rsid w:val="00D77C57"/>
    <w:rsid w:val="00D84BB3"/>
    <w:rsid w:val="00D97BD8"/>
    <w:rsid w:val="00DA6EE7"/>
    <w:rsid w:val="00DA6F88"/>
    <w:rsid w:val="00DB3FD6"/>
    <w:rsid w:val="00DB4EFB"/>
    <w:rsid w:val="00DC0AB8"/>
    <w:rsid w:val="00DC10B5"/>
    <w:rsid w:val="00DC7180"/>
    <w:rsid w:val="00DD6606"/>
    <w:rsid w:val="00DD77EF"/>
    <w:rsid w:val="00DF3175"/>
    <w:rsid w:val="00DF7FD0"/>
    <w:rsid w:val="00E0518F"/>
    <w:rsid w:val="00E0772C"/>
    <w:rsid w:val="00E1503F"/>
    <w:rsid w:val="00E15D8C"/>
    <w:rsid w:val="00E1628A"/>
    <w:rsid w:val="00E25BFE"/>
    <w:rsid w:val="00E269CA"/>
    <w:rsid w:val="00E27BB6"/>
    <w:rsid w:val="00E33725"/>
    <w:rsid w:val="00E347B7"/>
    <w:rsid w:val="00E36886"/>
    <w:rsid w:val="00E4131C"/>
    <w:rsid w:val="00E521ED"/>
    <w:rsid w:val="00E5502C"/>
    <w:rsid w:val="00E6186A"/>
    <w:rsid w:val="00E72721"/>
    <w:rsid w:val="00E840A5"/>
    <w:rsid w:val="00E84BEA"/>
    <w:rsid w:val="00E875F4"/>
    <w:rsid w:val="00E87DAD"/>
    <w:rsid w:val="00E90F39"/>
    <w:rsid w:val="00E94927"/>
    <w:rsid w:val="00E96F8C"/>
    <w:rsid w:val="00EA150B"/>
    <w:rsid w:val="00EA734B"/>
    <w:rsid w:val="00EB1182"/>
    <w:rsid w:val="00EB287E"/>
    <w:rsid w:val="00EB7716"/>
    <w:rsid w:val="00EC050F"/>
    <w:rsid w:val="00ED0269"/>
    <w:rsid w:val="00ED4881"/>
    <w:rsid w:val="00ED5838"/>
    <w:rsid w:val="00EE0807"/>
    <w:rsid w:val="00EE2C72"/>
    <w:rsid w:val="00EE335E"/>
    <w:rsid w:val="00EF3B3E"/>
    <w:rsid w:val="00EF3FD7"/>
    <w:rsid w:val="00EF6B27"/>
    <w:rsid w:val="00EF7A16"/>
    <w:rsid w:val="00F04093"/>
    <w:rsid w:val="00F04288"/>
    <w:rsid w:val="00F1329C"/>
    <w:rsid w:val="00F13FBF"/>
    <w:rsid w:val="00F160CA"/>
    <w:rsid w:val="00F20B6A"/>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2CE8"/>
    <w:rsid w:val="00F852D3"/>
    <w:rsid w:val="00F85CB9"/>
    <w:rsid w:val="00F92384"/>
    <w:rsid w:val="00F955F0"/>
    <w:rsid w:val="00FA1753"/>
    <w:rsid w:val="00FA4D30"/>
    <w:rsid w:val="00FB2B3A"/>
    <w:rsid w:val="00FC2BD4"/>
    <w:rsid w:val="00FC5A00"/>
    <w:rsid w:val="00FC681E"/>
    <w:rsid w:val="00FD5FC6"/>
    <w:rsid w:val="00FD7E7E"/>
    <w:rsid w:val="00FD7F38"/>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uiPriority w:val="99"/>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8978">
      <w:bodyDiv w:val="1"/>
      <w:marLeft w:val="0"/>
      <w:marRight w:val="0"/>
      <w:marTop w:val="0"/>
      <w:marBottom w:val="0"/>
      <w:divBdr>
        <w:top w:val="none" w:sz="0" w:space="0" w:color="auto"/>
        <w:left w:val="none" w:sz="0" w:space="0" w:color="auto"/>
        <w:bottom w:val="none" w:sz="0" w:space="0" w:color="auto"/>
        <w:right w:val="none" w:sz="0" w:space="0" w:color="auto"/>
      </w:divBdr>
    </w:div>
    <w:div w:id="584269899">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 w:id="202593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viesiejipirkimai.lt/epps/pmc/viewPmc.do?resourceId=3289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4296</Words>
  <Characters>2449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50</cp:revision>
  <cp:lastPrinted>2020-04-21T10:52:00Z</cp:lastPrinted>
  <dcterms:created xsi:type="dcterms:W3CDTF">2025-07-14T11:45:00Z</dcterms:created>
  <dcterms:modified xsi:type="dcterms:W3CDTF">2025-07-16T06:07:00Z</dcterms:modified>
</cp:coreProperties>
</file>