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99273" w14:textId="77777777" w:rsidR="00C6385E" w:rsidRDefault="00C6385E" w:rsidP="00A76F4C">
      <w:pPr>
        <w:spacing w:before="60" w:after="60"/>
        <w:jc w:val="center"/>
        <w:rPr>
          <w:b/>
          <w:bCs/>
        </w:rPr>
      </w:pPr>
      <w:r w:rsidRPr="000E7626">
        <w:rPr>
          <w:b/>
          <w:bCs/>
        </w:rPr>
        <w:t>TECHNINĖ SPECIFIKACIJA</w:t>
      </w:r>
    </w:p>
    <w:p w14:paraId="4AC4156D" w14:textId="77777777" w:rsidR="00C6385E" w:rsidRPr="00A95E92" w:rsidRDefault="00C6385E" w:rsidP="006E3658">
      <w:pPr>
        <w:spacing w:before="60" w:after="60"/>
        <w:jc w:val="both"/>
        <w:rPr>
          <w:b/>
          <w:bCs/>
        </w:rPr>
      </w:pPr>
    </w:p>
    <w:p w14:paraId="5F76D3A8" w14:textId="22616D75" w:rsidR="00C6385E" w:rsidRPr="00F750BF" w:rsidRDefault="00C6385E" w:rsidP="006E3658">
      <w:pPr>
        <w:numPr>
          <w:ilvl w:val="0"/>
          <w:numId w:val="1"/>
        </w:numPr>
        <w:spacing w:after="160" w:line="259" w:lineRule="auto"/>
        <w:jc w:val="both"/>
        <w:rPr>
          <w:b/>
          <w:bCs/>
          <w:lang w:val="x-none"/>
        </w:rPr>
      </w:pPr>
      <w:r w:rsidRPr="0027765C">
        <w:rPr>
          <w:b/>
          <w:bCs/>
          <w:lang w:val="x-none"/>
        </w:rPr>
        <w:t>Pirkimo objektas</w:t>
      </w:r>
      <w:r w:rsidRPr="0027765C">
        <w:rPr>
          <w:lang w:val="x-none"/>
        </w:rPr>
        <w:t xml:space="preserve"> – </w:t>
      </w:r>
      <w:r w:rsidRPr="0027765C">
        <w:rPr>
          <w:b/>
          <w:bCs/>
          <w:lang w:val="x-none"/>
        </w:rPr>
        <w:t>Keleivinis lengvasis automobilis (M1 klasė</w:t>
      </w:r>
      <w:r w:rsidR="00BA1191">
        <w:rPr>
          <w:b/>
          <w:bCs/>
          <w:lang w:val="x-none"/>
        </w:rPr>
        <w:t xml:space="preserve">, </w:t>
      </w:r>
      <w:r w:rsidRPr="0027765C">
        <w:rPr>
          <w:b/>
          <w:bCs/>
          <w:lang w:val="x-none"/>
        </w:rPr>
        <w:t>elektromobilis)</w:t>
      </w:r>
      <w:r>
        <w:rPr>
          <w:b/>
          <w:bCs/>
          <w:lang w:val="x-none"/>
        </w:rPr>
        <w:t xml:space="preserve"> </w:t>
      </w:r>
      <w:r w:rsidRPr="0027765C">
        <w:rPr>
          <w:b/>
          <w:bCs/>
          <w:lang w:val="x-none"/>
        </w:rPr>
        <w:t xml:space="preserve">VšĮ Kelmės rajono </w:t>
      </w:r>
      <w:r>
        <w:rPr>
          <w:b/>
          <w:bCs/>
        </w:rPr>
        <w:t xml:space="preserve">bendrosios praktikos gydytojų </w:t>
      </w:r>
      <w:r w:rsidRPr="0027765C">
        <w:rPr>
          <w:b/>
          <w:bCs/>
          <w:lang w:val="x-none"/>
        </w:rPr>
        <w:t>centrui.</w:t>
      </w:r>
    </w:p>
    <w:p w14:paraId="6CA2C4CC" w14:textId="77777777" w:rsidR="00C6385E" w:rsidRPr="0027765C" w:rsidRDefault="00C6385E" w:rsidP="006E3658">
      <w:pPr>
        <w:numPr>
          <w:ilvl w:val="0"/>
          <w:numId w:val="1"/>
        </w:numPr>
        <w:tabs>
          <w:tab w:val="num" w:pos="972"/>
        </w:tabs>
        <w:spacing w:after="160" w:line="259" w:lineRule="auto"/>
        <w:jc w:val="both"/>
      </w:pPr>
      <w:r w:rsidRPr="0027765C">
        <w:t xml:space="preserve"> Bendrieji reikalavimai: </w:t>
      </w:r>
    </w:p>
    <w:p w14:paraId="3B64AE1C" w14:textId="77777777" w:rsidR="00C6385E" w:rsidRPr="0027765C" w:rsidRDefault="00C6385E" w:rsidP="006E3658">
      <w:pPr>
        <w:jc w:val="both"/>
      </w:pPr>
      <w:r w:rsidRPr="0027765C">
        <w:t xml:space="preserve">2.1. Automobilio pristatymo terminas – ne ilgiau nei </w:t>
      </w:r>
      <w:r w:rsidRPr="0027765C">
        <w:rPr>
          <w:b/>
          <w:bCs/>
        </w:rPr>
        <w:t>per 6 mėnesius</w:t>
      </w:r>
      <w:r w:rsidRPr="0027765C">
        <w:t xml:space="preserve"> nuo sutarties įsigaliojimo. Pratęsimas nenumatomas.</w:t>
      </w:r>
    </w:p>
    <w:p w14:paraId="20784682" w14:textId="508E1796" w:rsidR="00C6385E" w:rsidRPr="0027765C" w:rsidRDefault="00C6385E" w:rsidP="006E3658">
      <w:pPr>
        <w:jc w:val="both"/>
      </w:pPr>
      <w:r w:rsidRPr="0027765C">
        <w:t>2.2. Automobilis turi būti teikiamas su visais registravimo dokumentais, civiliniu draudimu (</w:t>
      </w:r>
      <w:r w:rsidRPr="0027765C">
        <w:rPr>
          <w:i/>
          <w:iCs/>
        </w:rPr>
        <w:t>3 darbo dienoms nuo prekės priėmimo-perdavimo dienos</w:t>
      </w:r>
      <w:r w:rsidRPr="0027765C">
        <w:t>) skirtais eksploatuoti ir registruoti Lietuvoje. Tiekėjas užregistruoja V</w:t>
      </w:r>
      <w:r w:rsidR="00024F41">
        <w:t>š</w:t>
      </w:r>
      <w:r w:rsidRPr="0027765C">
        <w:t xml:space="preserve">Į Kelmės r. </w:t>
      </w:r>
      <w:r>
        <w:t xml:space="preserve">bendrosios praktikos gydytojų </w:t>
      </w:r>
      <w:r w:rsidRPr="0027765C">
        <w:t>centro vardu ir išima valstybinius transporto priemonės numerius savo lėšomis.</w:t>
      </w:r>
    </w:p>
    <w:p w14:paraId="4135B701" w14:textId="7E991F3D" w:rsidR="00C6385E" w:rsidRPr="00801442" w:rsidRDefault="00C6385E" w:rsidP="006E3658">
      <w:pPr>
        <w:jc w:val="both"/>
        <w:rPr>
          <w:b/>
          <w:bCs/>
          <w:u w:val="single"/>
        </w:rPr>
      </w:pPr>
      <w:r w:rsidRPr="0027765C">
        <w:t xml:space="preserve">2.3. </w:t>
      </w:r>
      <w:r w:rsidRPr="0027765C">
        <w:rPr>
          <w:b/>
          <w:bCs/>
        </w:rPr>
        <w:t xml:space="preserve">Pirkimo dalyvis kartu su pasiūlymu turi pateikti visus papildomus dokumentus lietuvių k., įrodančius prekės atitiktį nustatytiems </w:t>
      </w:r>
      <w:r w:rsidR="00BA1191">
        <w:rPr>
          <w:b/>
          <w:bCs/>
        </w:rPr>
        <w:t xml:space="preserve">lentelės </w:t>
      </w:r>
      <w:r w:rsidRPr="0027765C">
        <w:rPr>
          <w:b/>
          <w:bCs/>
        </w:rPr>
        <w:t>1 punkto reikalavimams (</w:t>
      </w:r>
      <w:r w:rsidR="00024F41" w:rsidRPr="00024F41">
        <w:rPr>
          <w:b/>
          <w:bCs/>
          <w:i/>
          <w:iCs/>
          <w:u w:val="single"/>
        </w:rPr>
        <w:t>gamintojo technin</w:t>
      </w:r>
      <w:r w:rsidR="00024F41" w:rsidRPr="00024F41">
        <w:rPr>
          <w:b/>
          <w:bCs/>
          <w:i/>
          <w:iCs/>
          <w:u w:val="single"/>
        </w:rPr>
        <w:t>ė</w:t>
      </w:r>
      <w:r w:rsidR="00024F41" w:rsidRPr="00024F41">
        <w:rPr>
          <w:b/>
          <w:bCs/>
          <w:i/>
          <w:iCs/>
          <w:u w:val="single"/>
        </w:rPr>
        <w:t xml:space="preserve"> specifikacij</w:t>
      </w:r>
      <w:r w:rsidR="00024F41" w:rsidRPr="00024F41">
        <w:rPr>
          <w:b/>
          <w:bCs/>
          <w:i/>
          <w:iCs/>
          <w:u w:val="single"/>
        </w:rPr>
        <w:t>a</w:t>
      </w:r>
      <w:r w:rsidR="00024F41" w:rsidRPr="00024F41">
        <w:rPr>
          <w:b/>
          <w:bCs/>
          <w:i/>
          <w:iCs/>
          <w:u w:val="single"/>
        </w:rPr>
        <w:t>, aprašym</w:t>
      </w:r>
      <w:r w:rsidR="00024F41" w:rsidRPr="00024F41">
        <w:rPr>
          <w:b/>
          <w:bCs/>
          <w:i/>
          <w:iCs/>
          <w:u w:val="single"/>
        </w:rPr>
        <w:t>as</w:t>
      </w:r>
      <w:r w:rsidR="00024F41" w:rsidRPr="00024F41">
        <w:rPr>
          <w:b/>
          <w:bCs/>
          <w:i/>
          <w:iCs/>
          <w:u w:val="single"/>
        </w:rPr>
        <w:t>, katalog</w:t>
      </w:r>
      <w:r w:rsidR="00024F41" w:rsidRPr="00024F41">
        <w:rPr>
          <w:b/>
          <w:bCs/>
          <w:i/>
          <w:iCs/>
          <w:u w:val="single"/>
        </w:rPr>
        <w:t>as (</w:t>
      </w:r>
      <w:r w:rsidRPr="00024F41">
        <w:rPr>
          <w:b/>
          <w:bCs/>
          <w:i/>
          <w:iCs/>
          <w:u w:val="single"/>
        </w:rPr>
        <w:t>ar</w:t>
      </w:r>
      <w:r w:rsidRPr="0027765C">
        <w:rPr>
          <w:b/>
          <w:bCs/>
          <w:i/>
          <w:iCs/>
          <w:u w:val="single"/>
        </w:rPr>
        <w:t xml:space="preserve"> kiti lygiaverčiai duomenys</w:t>
      </w:r>
      <w:r w:rsidRPr="0027765C">
        <w:rPr>
          <w:b/>
          <w:bCs/>
          <w:u w:val="single"/>
        </w:rPr>
        <w:t xml:space="preserve">). Atitiktis </w:t>
      </w:r>
      <w:r w:rsidR="00BA1191">
        <w:rPr>
          <w:b/>
          <w:bCs/>
          <w:u w:val="single"/>
        </w:rPr>
        <w:t xml:space="preserve">lentelės </w:t>
      </w:r>
      <w:r w:rsidRPr="0027765C">
        <w:rPr>
          <w:b/>
          <w:bCs/>
          <w:u w:val="single"/>
        </w:rPr>
        <w:t>2 punkte nustatytiems reikalavimams bus tikrinama sutarties vykdymo metu (prekės perdavimo metu).</w:t>
      </w:r>
    </w:p>
    <w:p w14:paraId="44BA69AB" w14:textId="77777777" w:rsidR="00C6385E" w:rsidRPr="0027765C" w:rsidRDefault="00C6385E" w:rsidP="006E3658">
      <w:pPr>
        <w:jc w:val="both"/>
      </w:pPr>
      <w:r w:rsidRPr="0027765C">
        <w:t>Privalomieji reikalavimai:</w:t>
      </w:r>
    </w:p>
    <w:p w14:paraId="3E74A9D3" w14:textId="77777777" w:rsidR="00C6385E" w:rsidRPr="0027765C" w:rsidRDefault="00C6385E" w:rsidP="006E3658">
      <w:pPr>
        <w:jc w:val="both"/>
      </w:pPr>
      <w:r w:rsidRPr="0027765C">
        <w:t xml:space="preserve">1 lentelė. </w:t>
      </w:r>
      <w:r w:rsidRPr="0027765C">
        <w:rPr>
          <w:u w:val="single"/>
        </w:rPr>
        <w:t>Privalomieji reikalavimai automobiliui</w:t>
      </w:r>
    </w:p>
    <w:tbl>
      <w:tblPr>
        <w:tblW w:w="9952" w:type="dxa"/>
        <w:tblInd w:w="108" w:type="dxa"/>
        <w:tblLayout w:type="fixed"/>
        <w:tblLook w:val="04A0" w:firstRow="1" w:lastRow="0" w:firstColumn="1" w:lastColumn="0" w:noHBand="0" w:noVBand="1"/>
      </w:tblPr>
      <w:tblGrid>
        <w:gridCol w:w="880"/>
        <w:gridCol w:w="9072"/>
      </w:tblGrid>
      <w:tr w:rsidR="00BA1191" w:rsidRPr="0027765C" w14:paraId="159FF3CF" w14:textId="4FFED6C9" w:rsidTr="00BA1191">
        <w:trPr>
          <w:trHeight w:val="489"/>
        </w:trPr>
        <w:tc>
          <w:tcPr>
            <w:tcW w:w="88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CA3E24A" w14:textId="77777777" w:rsidR="00BA1191" w:rsidRPr="0027765C" w:rsidRDefault="00BA1191" w:rsidP="006E3658">
            <w:pPr>
              <w:jc w:val="both"/>
              <w:rPr>
                <w:b/>
                <w:lang w:val="en-US"/>
              </w:rPr>
            </w:pPr>
            <w:r w:rsidRPr="0027765C">
              <w:rPr>
                <w:b/>
                <w:lang w:val="en-US"/>
              </w:rPr>
              <w:t>1.</w:t>
            </w:r>
          </w:p>
        </w:tc>
        <w:tc>
          <w:tcPr>
            <w:tcW w:w="9072" w:type="dxa"/>
            <w:tcBorders>
              <w:top w:val="single" w:sz="4" w:space="0" w:color="000000"/>
              <w:left w:val="single" w:sz="4" w:space="0" w:color="000000"/>
              <w:bottom w:val="single" w:sz="4" w:space="0" w:color="000000"/>
              <w:right w:val="single" w:sz="4" w:space="0" w:color="000000"/>
            </w:tcBorders>
            <w:shd w:val="clear" w:color="auto" w:fill="D9D9D9"/>
            <w:hideMark/>
          </w:tcPr>
          <w:p w14:paraId="562CF42B" w14:textId="77777777" w:rsidR="00BA1191" w:rsidRPr="00F750BF" w:rsidRDefault="00BA1191" w:rsidP="006E3658">
            <w:pPr>
              <w:jc w:val="both"/>
              <w:rPr>
                <w:b/>
              </w:rPr>
            </w:pPr>
            <w:r w:rsidRPr="00F750BF">
              <w:rPr>
                <w:b/>
              </w:rPr>
              <w:t>Reikalavimai automobiliui:</w:t>
            </w:r>
          </w:p>
        </w:tc>
      </w:tr>
      <w:tr w:rsidR="00BA1191" w:rsidRPr="0027765C" w14:paraId="5AED44AA" w14:textId="7A8526DF" w:rsidTr="00BA1191">
        <w:trPr>
          <w:trHeight w:val="667"/>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34590C0A" w14:textId="77777777" w:rsidR="00BA1191" w:rsidRPr="00C310EE" w:rsidRDefault="00BA1191" w:rsidP="006E3658">
            <w:pPr>
              <w:jc w:val="both"/>
              <w:rPr>
                <w:lang w:val="en-US"/>
              </w:rPr>
            </w:pPr>
            <w:r w:rsidRPr="00C310EE">
              <w:rPr>
                <w:lang w:val="en-US"/>
              </w:rPr>
              <w:t>1.1</w:t>
            </w:r>
          </w:p>
        </w:tc>
        <w:tc>
          <w:tcPr>
            <w:tcW w:w="9072" w:type="dxa"/>
            <w:tcBorders>
              <w:top w:val="single" w:sz="4" w:space="0" w:color="000000"/>
              <w:left w:val="single" w:sz="4" w:space="0" w:color="000000"/>
              <w:bottom w:val="single" w:sz="4" w:space="0" w:color="000000"/>
              <w:right w:val="single" w:sz="4" w:space="0" w:color="000000"/>
            </w:tcBorders>
            <w:hideMark/>
          </w:tcPr>
          <w:p w14:paraId="572FAC2E" w14:textId="0F98AFF8" w:rsidR="00BA1191" w:rsidRPr="00C310EE" w:rsidRDefault="00BA1191" w:rsidP="006E3658">
            <w:pPr>
              <w:jc w:val="both"/>
            </w:pPr>
            <w:r w:rsidRPr="00C310EE">
              <w:t>Automobilis privalo būti naujas, neeksploatuotas ir ne senesnis kaip 202</w:t>
            </w:r>
            <w:r>
              <w:t>5</w:t>
            </w:r>
            <w:r w:rsidRPr="00C310EE">
              <w:t xml:space="preserve"> metų gamybos.</w:t>
            </w:r>
          </w:p>
        </w:tc>
      </w:tr>
      <w:tr w:rsidR="00BA1191" w:rsidRPr="0027765C" w14:paraId="0E02D3BB" w14:textId="3758D125" w:rsidTr="00BA1191">
        <w:trPr>
          <w:trHeight w:val="563"/>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5B70136F" w14:textId="77777777" w:rsidR="00BA1191" w:rsidRPr="00C310EE" w:rsidRDefault="00BA1191" w:rsidP="006E3658">
            <w:pPr>
              <w:jc w:val="both"/>
              <w:rPr>
                <w:lang w:val="en-US"/>
              </w:rPr>
            </w:pPr>
            <w:r w:rsidRPr="00C310EE">
              <w:rPr>
                <w:lang w:val="en-US"/>
              </w:rPr>
              <w:t>1.2</w:t>
            </w:r>
          </w:p>
        </w:tc>
        <w:tc>
          <w:tcPr>
            <w:tcW w:w="9072" w:type="dxa"/>
            <w:tcBorders>
              <w:top w:val="single" w:sz="4" w:space="0" w:color="000000"/>
              <w:left w:val="single" w:sz="4" w:space="0" w:color="000000"/>
              <w:bottom w:val="single" w:sz="4" w:space="0" w:color="000000"/>
              <w:right w:val="single" w:sz="4" w:space="0" w:color="000000"/>
            </w:tcBorders>
            <w:hideMark/>
          </w:tcPr>
          <w:p w14:paraId="75A675D1" w14:textId="131D728E" w:rsidR="00BA1191" w:rsidRPr="00C310EE" w:rsidRDefault="00BA1191" w:rsidP="006E3658">
            <w:pPr>
              <w:jc w:val="both"/>
            </w:pPr>
            <w:r w:rsidRPr="00C310EE">
              <w:t>Elektromobilis turi būti varomas tik elektra.</w:t>
            </w:r>
            <w:r>
              <w:t xml:space="preserve"> Variklis ne mažiau </w:t>
            </w:r>
            <w:r w:rsidRPr="008514BD">
              <w:rPr>
                <w:shd w:val="clear" w:color="auto" w:fill="FFFFFF" w:themeFill="background1"/>
              </w:rPr>
              <w:t>100</w:t>
            </w:r>
            <w:r w:rsidRPr="008514BD">
              <w:t xml:space="preserve"> kW</w:t>
            </w:r>
            <w:r>
              <w:t xml:space="preserve">. </w:t>
            </w:r>
          </w:p>
        </w:tc>
      </w:tr>
      <w:tr w:rsidR="00BA1191" w:rsidRPr="0027765C" w14:paraId="6A090EC1" w14:textId="1ED3A81A" w:rsidTr="00BA1191">
        <w:trPr>
          <w:trHeight w:val="415"/>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1D8169B4" w14:textId="77777777" w:rsidR="00BA1191" w:rsidRPr="00C310EE" w:rsidRDefault="00BA1191" w:rsidP="006E3658">
            <w:pPr>
              <w:jc w:val="both"/>
              <w:rPr>
                <w:lang w:val="en-US"/>
              </w:rPr>
            </w:pPr>
            <w:r w:rsidRPr="00C310EE">
              <w:rPr>
                <w:lang w:val="en-US"/>
              </w:rPr>
              <w:t>1.3</w:t>
            </w:r>
          </w:p>
        </w:tc>
        <w:tc>
          <w:tcPr>
            <w:tcW w:w="9072" w:type="dxa"/>
            <w:tcBorders>
              <w:top w:val="single" w:sz="4" w:space="0" w:color="000000"/>
              <w:left w:val="single" w:sz="4" w:space="0" w:color="000000"/>
              <w:bottom w:val="single" w:sz="4" w:space="0" w:color="000000"/>
              <w:right w:val="single" w:sz="4" w:space="0" w:color="000000"/>
            </w:tcBorders>
            <w:hideMark/>
          </w:tcPr>
          <w:p w14:paraId="08C0DDC9" w14:textId="4D9A6122" w:rsidR="00BA1191" w:rsidRPr="00C310EE" w:rsidRDefault="00BA1191" w:rsidP="006E3658">
            <w:pPr>
              <w:jc w:val="both"/>
            </w:pPr>
            <w:r w:rsidRPr="00C310EE">
              <w:t>Automobilio CO</w:t>
            </w:r>
            <w:r w:rsidRPr="00C310EE">
              <w:rPr>
                <w:vertAlign w:val="subscript"/>
              </w:rPr>
              <w:t xml:space="preserve">2 </w:t>
            </w:r>
            <w:r w:rsidRPr="00C310EE">
              <w:t>emis</w:t>
            </w:r>
            <w:r>
              <w:t>i</w:t>
            </w:r>
            <w:r w:rsidRPr="00C310EE">
              <w:t>ja 0g/km.</w:t>
            </w:r>
          </w:p>
        </w:tc>
      </w:tr>
      <w:tr w:rsidR="00BA1191" w:rsidRPr="0027765C" w14:paraId="0C67B587" w14:textId="389C1146" w:rsidTr="00BA1191">
        <w:trPr>
          <w:trHeight w:val="1585"/>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7887FECA" w14:textId="77777777" w:rsidR="00BA1191" w:rsidRPr="00C310EE" w:rsidRDefault="00BA1191" w:rsidP="006E3658">
            <w:pPr>
              <w:jc w:val="both"/>
              <w:rPr>
                <w:lang w:val="en-US"/>
              </w:rPr>
            </w:pPr>
            <w:r w:rsidRPr="00C310EE">
              <w:rPr>
                <w:lang w:val="en-US"/>
              </w:rPr>
              <w:t>1.4</w:t>
            </w:r>
          </w:p>
        </w:tc>
        <w:tc>
          <w:tcPr>
            <w:tcW w:w="9072" w:type="dxa"/>
            <w:tcBorders>
              <w:top w:val="single" w:sz="4" w:space="0" w:color="000000"/>
              <w:left w:val="single" w:sz="4" w:space="0" w:color="000000"/>
              <w:bottom w:val="single" w:sz="4" w:space="0" w:color="000000"/>
              <w:right w:val="single" w:sz="4" w:space="0" w:color="000000"/>
            </w:tcBorders>
            <w:hideMark/>
          </w:tcPr>
          <w:p w14:paraId="1446952E" w14:textId="49E49F14" w:rsidR="00BA1191" w:rsidRPr="00C310EE" w:rsidRDefault="00BA1191" w:rsidP="006E3658">
            <w:pPr>
              <w:jc w:val="both"/>
            </w:pPr>
            <w:r w:rsidRPr="00C310EE">
              <w:t xml:space="preserve">1.4.1 Gamintojo deklaruojamas vidutinis nuvažiuojamas atstumas vienu įkrovimu pagal WLTP (arba lygiavertį) ne mažiau </w:t>
            </w:r>
            <w:r>
              <w:t>5</w:t>
            </w:r>
            <w:r w:rsidR="00251CDC">
              <w:t>0</w:t>
            </w:r>
            <w:r>
              <w:t>0</w:t>
            </w:r>
            <w:r w:rsidRPr="00C310EE">
              <w:t xml:space="preserve"> km.</w:t>
            </w:r>
          </w:p>
          <w:p w14:paraId="72D5BAAF" w14:textId="77777777" w:rsidR="00BA1191" w:rsidRPr="00C310EE" w:rsidRDefault="00BA1191" w:rsidP="006E3658">
            <w:pPr>
              <w:jc w:val="both"/>
            </w:pPr>
            <w:r w:rsidRPr="00C310EE">
              <w:t>1.4.2 Vidutinis energijos suvartojimas (WLTP standartas arba lygiavertis) ne daugiau kaip 20kWh/100 km.</w:t>
            </w:r>
          </w:p>
        </w:tc>
      </w:tr>
      <w:tr w:rsidR="00BA1191" w:rsidRPr="0027765C" w14:paraId="2E1812ED" w14:textId="4355BF74" w:rsidTr="00BA1191">
        <w:trPr>
          <w:trHeight w:val="143"/>
        </w:trPr>
        <w:tc>
          <w:tcPr>
            <w:tcW w:w="880" w:type="dxa"/>
            <w:tcBorders>
              <w:top w:val="nil"/>
              <w:left w:val="single" w:sz="4" w:space="0" w:color="000000"/>
              <w:bottom w:val="single" w:sz="4" w:space="0" w:color="000000"/>
              <w:right w:val="single" w:sz="4" w:space="0" w:color="000000"/>
            </w:tcBorders>
            <w:vAlign w:val="center"/>
            <w:hideMark/>
          </w:tcPr>
          <w:p w14:paraId="5E6D97FA" w14:textId="3EFE724C" w:rsidR="00BA1191" w:rsidRPr="00C310EE" w:rsidRDefault="00BA1191" w:rsidP="006E3658">
            <w:pPr>
              <w:jc w:val="both"/>
              <w:rPr>
                <w:lang w:val="en-US"/>
              </w:rPr>
            </w:pPr>
            <w:r w:rsidRPr="00C310EE">
              <w:rPr>
                <w:lang w:val="en-US"/>
              </w:rPr>
              <w:t>1.</w:t>
            </w:r>
            <w:r w:rsidR="006E3658">
              <w:rPr>
                <w:lang w:val="en-US"/>
              </w:rPr>
              <w:t>5</w:t>
            </w:r>
          </w:p>
        </w:tc>
        <w:tc>
          <w:tcPr>
            <w:tcW w:w="9072" w:type="dxa"/>
            <w:tcBorders>
              <w:top w:val="nil"/>
              <w:left w:val="single" w:sz="4" w:space="0" w:color="000000"/>
              <w:bottom w:val="single" w:sz="4" w:space="0" w:color="000000"/>
              <w:right w:val="single" w:sz="4" w:space="0" w:color="000000"/>
            </w:tcBorders>
            <w:hideMark/>
          </w:tcPr>
          <w:p w14:paraId="2D6C4822" w14:textId="77777777" w:rsidR="00BA1191" w:rsidRPr="00C310EE" w:rsidRDefault="00BA1191" w:rsidP="006E3658">
            <w:pPr>
              <w:jc w:val="both"/>
            </w:pPr>
            <w:r w:rsidRPr="00C310EE">
              <w:t>Elektromobilis turi turėti greito įkrovimo opciją.</w:t>
            </w:r>
          </w:p>
        </w:tc>
      </w:tr>
      <w:tr w:rsidR="00BA1191" w:rsidRPr="0027765C" w14:paraId="3394A2E4" w14:textId="20AD24B1" w:rsidTr="00BA1191">
        <w:trPr>
          <w:trHeight w:val="143"/>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6C9AC804" w14:textId="739846D6" w:rsidR="00BA1191" w:rsidRPr="00C310EE" w:rsidRDefault="00BA1191" w:rsidP="006E3658">
            <w:pPr>
              <w:jc w:val="both"/>
              <w:rPr>
                <w:lang w:val="en-US"/>
              </w:rPr>
            </w:pPr>
            <w:r w:rsidRPr="00C310EE">
              <w:rPr>
                <w:lang w:val="en-US"/>
              </w:rPr>
              <w:t>1.</w:t>
            </w:r>
            <w:r w:rsidR="006E3658">
              <w:rPr>
                <w:lang w:val="en-US"/>
              </w:rPr>
              <w:t>6</w:t>
            </w:r>
          </w:p>
        </w:tc>
        <w:tc>
          <w:tcPr>
            <w:tcW w:w="9072" w:type="dxa"/>
            <w:tcBorders>
              <w:top w:val="single" w:sz="4" w:space="0" w:color="000000"/>
              <w:left w:val="single" w:sz="4" w:space="0" w:color="000000"/>
              <w:bottom w:val="single" w:sz="4" w:space="0" w:color="000000"/>
              <w:right w:val="single" w:sz="4" w:space="0" w:color="000000"/>
            </w:tcBorders>
            <w:hideMark/>
          </w:tcPr>
          <w:p w14:paraId="08F82AF5" w14:textId="77777777" w:rsidR="00BA1191" w:rsidRPr="00C310EE" w:rsidRDefault="00BA1191" w:rsidP="006E3658">
            <w:pPr>
              <w:jc w:val="both"/>
            </w:pPr>
            <w:r w:rsidRPr="00C310EE">
              <w:t>Automobilio tipas – keleivinis lengvasis elektromobilis (M1 kategorijos).</w:t>
            </w:r>
          </w:p>
        </w:tc>
      </w:tr>
      <w:tr w:rsidR="00BA1191" w:rsidRPr="0027765C" w14:paraId="460D980C" w14:textId="259E97DA" w:rsidTr="00BA1191">
        <w:trPr>
          <w:trHeight w:val="143"/>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6839CCE8" w14:textId="10CF55A2" w:rsidR="00BA1191" w:rsidRPr="00C310EE" w:rsidRDefault="00BA1191" w:rsidP="006E3658">
            <w:pPr>
              <w:jc w:val="both"/>
              <w:rPr>
                <w:lang w:val="en-US"/>
              </w:rPr>
            </w:pPr>
            <w:r w:rsidRPr="00C310EE">
              <w:rPr>
                <w:lang w:val="en-US"/>
              </w:rPr>
              <w:t>1.</w:t>
            </w:r>
            <w:r w:rsidR="006E3658">
              <w:rPr>
                <w:lang w:val="en-US"/>
              </w:rPr>
              <w:t>7</w:t>
            </w:r>
          </w:p>
        </w:tc>
        <w:tc>
          <w:tcPr>
            <w:tcW w:w="9072" w:type="dxa"/>
            <w:tcBorders>
              <w:top w:val="single" w:sz="4" w:space="0" w:color="000000"/>
              <w:left w:val="single" w:sz="4" w:space="0" w:color="000000"/>
              <w:bottom w:val="single" w:sz="4" w:space="0" w:color="000000"/>
              <w:right w:val="single" w:sz="4" w:space="0" w:color="000000"/>
            </w:tcBorders>
            <w:hideMark/>
          </w:tcPr>
          <w:p w14:paraId="0C76D672" w14:textId="77777777" w:rsidR="00BA1191" w:rsidRPr="00C310EE" w:rsidRDefault="00BA1191" w:rsidP="006E3658">
            <w:pPr>
              <w:jc w:val="both"/>
            </w:pPr>
            <w:r w:rsidRPr="00C310EE">
              <w:t xml:space="preserve">Sėdimų vietų skaičius (įskaitant vairuotoją) – 5 vietų. </w:t>
            </w:r>
          </w:p>
        </w:tc>
      </w:tr>
      <w:tr w:rsidR="00BA1191" w:rsidRPr="0027765C" w14:paraId="1702BC7D" w14:textId="7F7E22AD" w:rsidTr="00BA1191">
        <w:trPr>
          <w:trHeight w:val="143"/>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128EECE3" w14:textId="258507CD" w:rsidR="00BA1191" w:rsidRPr="00C310EE" w:rsidRDefault="00BA1191" w:rsidP="006E3658">
            <w:pPr>
              <w:jc w:val="both"/>
              <w:rPr>
                <w:lang w:val="en-US"/>
              </w:rPr>
            </w:pPr>
            <w:r w:rsidRPr="00C310EE">
              <w:rPr>
                <w:lang w:val="en-US"/>
              </w:rPr>
              <w:t>1.</w:t>
            </w:r>
            <w:r w:rsidR="006E3658">
              <w:rPr>
                <w:lang w:val="en-US"/>
              </w:rPr>
              <w:t>8</w:t>
            </w:r>
          </w:p>
        </w:tc>
        <w:tc>
          <w:tcPr>
            <w:tcW w:w="9072" w:type="dxa"/>
            <w:tcBorders>
              <w:top w:val="single" w:sz="4" w:space="0" w:color="000000"/>
              <w:left w:val="single" w:sz="4" w:space="0" w:color="000000"/>
              <w:bottom w:val="single" w:sz="4" w:space="0" w:color="000000"/>
              <w:right w:val="single" w:sz="4" w:space="0" w:color="000000"/>
            </w:tcBorders>
            <w:hideMark/>
          </w:tcPr>
          <w:p w14:paraId="102282DB" w14:textId="326DC5D3" w:rsidR="00BA1191" w:rsidRPr="00C310EE" w:rsidRDefault="00BA1191" w:rsidP="006E3658">
            <w:pPr>
              <w:jc w:val="both"/>
            </w:pPr>
            <w:r w:rsidRPr="00C310EE">
              <w:t>Durelių skaičius –  ne mažiau kaip 4.</w:t>
            </w:r>
          </w:p>
        </w:tc>
      </w:tr>
      <w:tr w:rsidR="00BA1191" w:rsidRPr="0027765C" w14:paraId="5EC257E1" w14:textId="582A1C88" w:rsidTr="00BA1191">
        <w:trPr>
          <w:trHeight w:val="143"/>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5F05D256" w14:textId="1A24B114" w:rsidR="00BA1191" w:rsidRPr="00C310EE" w:rsidRDefault="00BA1191" w:rsidP="006E3658">
            <w:pPr>
              <w:jc w:val="both"/>
              <w:rPr>
                <w:lang w:val="en-US"/>
              </w:rPr>
            </w:pPr>
            <w:r w:rsidRPr="00C310EE">
              <w:rPr>
                <w:lang w:val="en-US"/>
              </w:rPr>
              <w:t>1.</w:t>
            </w:r>
            <w:r w:rsidR="006E3658">
              <w:rPr>
                <w:lang w:val="en-US"/>
              </w:rPr>
              <w:t>9</w:t>
            </w:r>
          </w:p>
        </w:tc>
        <w:tc>
          <w:tcPr>
            <w:tcW w:w="9072" w:type="dxa"/>
            <w:tcBorders>
              <w:top w:val="single" w:sz="4" w:space="0" w:color="000000"/>
              <w:left w:val="single" w:sz="4" w:space="0" w:color="000000"/>
              <w:bottom w:val="single" w:sz="4" w:space="0" w:color="000000"/>
              <w:right w:val="single" w:sz="4" w:space="0" w:color="000000"/>
            </w:tcBorders>
            <w:hideMark/>
          </w:tcPr>
          <w:p w14:paraId="7D631FA7" w14:textId="221053D7" w:rsidR="00BA1191" w:rsidRPr="00C310EE" w:rsidRDefault="00BA1191" w:rsidP="006E3658">
            <w:pPr>
              <w:jc w:val="both"/>
            </w:pPr>
            <w:r w:rsidRPr="00C310EE">
              <w:t xml:space="preserve">Akumuliatorių baterijų </w:t>
            </w:r>
            <w:r>
              <w:t xml:space="preserve">grynoji </w:t>
            </w:r>
            <w:r w:rsidRPr="00C310EE">
              <w:t>talpa ne mažesnė kai</w:t>
            </w:r>
            <w:r w:rsidRPr="00BA1191">
              <w:t>p 75</w:t>
            </w:r>
            <w:r w:rsidRPr="00C310EE">
              <w:t xml:space="preserve"> kWh.</w:t>
            </w:r>
          </w:p>
        </w:tc>
      </w:tr>
      <w:tr w:rsidR="00BA1191" w:rsidRPr="0027765C" w14:paraId="15C74EA8" w14:textId="1BDFA872" w:rsidTr="00BA1191">
        <w:trPr>
          <w:trHeight w:val="143"/>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60B249A6" w14:textId="74FADD32" w:rsidR="00BA1191" w:rsidRPr="00C310EE" w:rsidRDefault="00BA1191" w:rsidP="006E3658">
            <w:pPr>
              <w:jc w:val="both"/>
              <w:rPr>
                <w:lang w:val="en-US"/>
              </w:rPr>
            </w:pPr>
            <w:r w:rsidRPr="00C310EE">
              <w:rPr>
                <w:lang w:val="en-US"/>
              </w:rPr>
              <w:lastRenderedPageBreak/>
              <w:t>1.1</w:t>
            </w:r>
            <w:r w:rsidR="006E3658">
              <w:rPr>
                <w:lang w:val="en-US"/>
              </w:rPr>
              <w:t>0</w:t>
            </w:r>
          </w:p>
        </w:tc>
        <w:tc>
          <w:tcPr>
            <w:tcW w:w="9072" w:type="dxa"/>
            <w:tcBorders>
              <w:top w:val="single" w:sz="4" w:space="0" w:color="000000"/>
              <w:left w:val="single" w:sz="4" w:space="0" w:color="000000"/>
              <w:bottom w:val="single" w:sz="4" w:space="0" w:color="000000"/>
              <w:right w:val="single" w:sz="4" w:space="0" w:color="000000"/>
            </w:tcBorders>
            <w:hideMark/>
          </w:tcPr>
          <w:p w14:paraId="32C04943" w14:textId="20EBEC50" w:rsidR="00BA1191" w:rsidRPr="00C310EE" w:rsidRDefault="00BA1191" w:rsidP="006E3658">
            <w:pPr>
              <w:jc w:val="both"/>
            </w:pPr>
            <w:r w:rsidRPr="00C310EE">
              <w:t>Gamyklinė audiosistema su laisvų rankų įranga arba lygiavertė.</w:t>
            </w:r>
          </w:p>
        </w:tc>
      </w:tr>
      <w:tr w:rsidR="00BA1191" w:rsidRPr="0027765C" w14:paraId="56A151B8" w14:textId="3B3C6206" w:rsidTr="00BA1191">
        <w:trPr>
          <w:trHeight w:val="143"/>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1A21492B" w14:textId="6BAF2659" w:rsidR="00BA1191" w:rsidRPr="00C310EE" w:rsidRDefault="00BA1191" w:rsidP="006E3658">
            <w:pPr>
              <w:jc w:val="both"/>
              <w:rPr>
                <w:lang w:val="en-US"/>
              </w:rPr>
            </w:pPr>
            <w:r w:rsidRPr="00C310EE">
              <w:rPr>
                <w:lang w:val="en-US"/>
              </w:rPr>
              <w:t>1.1</w:t>
            </w:r>
            <w:r w:rsidR="006E3658">
              <w:rPr>
                <w:lang w:val="en-US"/>
              </w:rPr>
              <w:t>1</w:t>
            </w:r>
          </w:p>
        </w:tc>
        <w:tc>
          <w:tcPr>
            <w:tcW w:w="9072" w:type="dxa"/>
            <w:tcBorders>
              <w:top w:val="single" w:sz="4" w:space="0" w:color="000000"/>
              <w:left w:val="single" w:sz="4" w:space="0" w:color="000000"/>
              <w:bottom w:val="single" w:sz="4" w:space="0" w:color="000000"/>
              <w:right w:val="single" w:sz="4" w:space="0" w:color="000000"/>
            </w:tcBorders>
            <w:hideMark/>
          </w:tcPr>
          <w:p w14:paraId="0A00AAB3" w14:textId="77777777" w:rsidR="00BA1191" w:rsidRPr="00C310EE" w:rsidRDefault="00BA1191" w:rsidP="006E3658">
            <w:pPr>
              <w:jc w:val="both"/>
            </w:pPr>
            <w:r w:rsidRPr="00C310EE">
              <w:t>Oro kondicionierius arba automatinė klimato kontrolės sistema.</w:t>
            </w:r>
          </w:p>
        </w:tc>
      </w:tr>
      <w:tr w:rsidR="00BA1191" w:rsidRPr="0027765C" w14:paraId="5478DA78" w14:textId="6B6D43B4" w:rsidTr="00BA1191">
        <w:trPr>
          <w:trHeight w:val="822"/>
        </w:trPr>
        <w:tc>
          <w:tcPr>
            <w:tcW w:w="880" w:type="dxa"/>
            <w:tcBorders>
              <w:top w:val="single" w:sz="4" w:space="0" w:color="000000"/>
              <w:left w:val="single" w:sz="4" w:space="0" w:color="000000"/>
              <w:bottom w:val="single" w:sz="4" w:space="0" w:color="000000"/>
              <w:right w:val="single" w:sz="4" w:space="0" w:color="000000"/>
            </w:tcBorders>
            <w:vAlign w:val="center"/>
          </w:tcPr>
          <w:p w14:paraId="7704DB02" w14:textId="0D7D41F9" w:rsidR="00BA1191" w:rsidRPr="00C310EE" w:rsidRDefault="00BA1191" w:rsidP="006E3658">
            <w:pPr>
              <w:jc w:val="both"/>
              <w:rPr>
                <w:lang w:val="en-US"/>
              </w:rPr>
            </w:pPr>
            <w:r>
              <w:rPr>
                <w:lang w:val="en-US"/>
              </w:rPr>
              <w:t>1.1</w:t>
            </w:r>
            <w:r w:rsidR="006E3658">
              <w:rPr>
                <w:lang w:val="en-US"/>
              </w:rPr>
              <w:t>2</w:t>
            </w:r>
          </w:p>
        </w:tc>
        <w:tc>
          <w:tcPr>
            <w:tcW w:w="9072" w:type="dxa"/>
            <w:tcBorders>
              <w:top w:val="single" w:sz="4" w:space="0" w:color="000000"/>
              <w:left w:val="single" w:sz="4" w:space="0" w:color="000000"/>
              <w:bottom w:val="single" w:sz="4" w:space="0" w:color="000000"/>
              <w:right w:val="single" w:sz="4" w:space="0" w:color="000000"/>
            </w:tcBorders>
          </w:tcPr>
          <w:p w14:paraId="1052D317" w14:textId="625786EE" w:rsidR="00BA1191" w:rsidRPr="00C310EE" w:rsidRDefault="00BA1191" w:rsidP="006E3658">
            <w:pPr>
              <w:jc w:val="both"/>
            </w:pPr>
            <w:r>
              <w:t>Galinio vaizdo kamera.</w:t>
            </w:r>
          </w:p>
        </w:tc>
      </w:tr>
      <w:tr w:rsidR="00BA1191" w:rsidRPr="0027765C" w14:paraId="03D891B9" w14:textId="6824A5DC" w:rsidTr="00037A50">
        <w:trPr>
          <w:trHeight w:val="371"/>
        </w:trPr>
        <w:tc>
          <w:tcPr>
            <w:tcW w:w="880" w:type="dxa"/>
            <w:tcBorders>
              <w:top w:val="single" w:sz="4" w:space="0" w:color="000000"/>
              <w:left w:val="single" w:sz="4" w:space="0" w:color="000000"/>
              <w:bottom w:val="single" w:sz="4" w:space="0" w:color="000000"/>
              <w:right w:val="single" w:sz="4" w:space="0" w:color="000000"/>
            </w:tcBorders>
            <w:vAlign w:val="center"/>
          </w:tcPr>
          <w:p w14:paraId="7127A7C6" w14:textId="7750EBEF" w:rsidR="00BA1191" w:rsidRDefault="00BA1191" w:rsidP="006E3658">
            <w:pPr>
              <w:jc w:val="both"/>
              <w:rPr>
                <w:lang w:val="en-US"/>
              </w:rPr>
            </w:pPr>
            <w:r>
              <w:rPr>
                <w:lang w:val="en-US"/>
              </w:rPr>
              <w:t>1.1</w:t>
            </w:r>
            <w:r w:rsidR="006E3658">
              <w:rPr>
                <w:lang w:val="en-US"/>
              </w:rPr>
              <w:t>3</w:t>
            </w:r>
          </w:p>
        </w:tc>
        <w:tc>
          <w:tcPr>
            <w:tcW w:w="9072" w:type="dxa"/>
            <w:tcBorders>
              <w:top w:val="single" w:sz="4" w:space="0" w:color="000000"/>
              <w:left w:val="single" w:sz="4" w:space="0" w:color="000000"/>
              <w:bottom w:val="single" w:sz="4" w:space="0" w:color="000000"/>
              <w:right w:val="single" w:sz="4" w:space="0" w:color="000000"/>
            </w:tcBorders>
          </w:tcPr>
          <w:p w14:paraId="195C453A" w14:textId="6E22072D" w:rsidR="00BA1191" w:rsidRDefault="00BA1191" w:rsidP="006E3658">
            <w:pPr>
              <w:jc w:val="both"/>
            </w:pPr>
            <w:r>
              <w:t>Parkavimo sensoriai priekyje ir gale.</w:t>
            </w:r>
          </w:p>
        </w:tc>
      </w:tr>
      <w:tr w:rsidR="00BA1191" w:rsidRPr="0027765C" w14:paraId="3D1340E1" w14:textId="38D27D54" w:rsidTr="00BA1191">
        <w:trPr>
          <w:trHeight w:val="837"/>
        </w:trPr>
        <w:tc>
          <w:tcPr>
            <w:tcW w:w="88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11FD850" w14:textId="77777777" w:rsidR="00BA1191" w:rsidRPr="0027765C" w:rsidRDefault="00BA1191" w:rsidP="006E3658">
            <w:pPr>
              <w:jc w:val="both"/>
              <w:rPr>
                <w:b/>
                <w:lang w:val="en-US"/>
              </w:rPr>
            </w:pPr>
            <w:r w:rsidRPr="0027765C">
              <w:rPr>
                <w:b/>
                <w:lang w:val="en-US"/>
              </w:rPr>
              <w:t>2.</w:t>
            </w:r>
          </w:p>
        </w:tc>
        <w:tc>
          <w:tcPr>
            <w:tcW w:w="9072" w:type="dxa"/>
            <w:tcBorders>
              <w:top w:val="single" w:sz="4" w:space="0" w:color="000000"/>
              <w:left w:val="single" w:sz="4" w:space="0" w:color="000000"/>
              <w:bottom w:val="single" w:sz="4" w:space="0" w:color="000000"/>
              <w:right w:val="single" w:sz="4" w:space="0" w:color="000000"/>
            </w:tcBorders>
            <w:shd w:val="clear" w:color="auto" w:fill="D9D9D9"/>
            <w:hideMark/>
          </w:tcPr>
          <w:p w14:paraId="0DBA3F18" w14:textId="77777777" w:rsidR="00BA1191" w:rsidRPr="00F750BF" w:rsidRDefault="00BA1191" w:rsidP="006E3658">
            <w:pPr>
              <w:jc w:val="both"/>
            </w:pPr>
            <w:r w:rsidRPr="00F750BF">
              <w:rPr>
                <w:b/>
              </w:rPr>
              <w:t>Kiti reikalavimai automobiliui</w:t>
            </w:r>
          </w:p>
        </w:tc>
      </w:tr>
      <w:tr w:rsidR="004D3046" w:rsidRPr="0027765C" w14:paraId="6D305CBA" w14:textId="77777777" w:rsidTr="0093465A">
        <w:trPr>
          <w:trHeight w:val="820"/>
        </w:trPr>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E758F" w14:textId="73CB6C5D" w:rsidR="004D3046" w:rsidRPr="000F03F5" w:rsidRDefault="004D3046" w:rsidP="006E3658">
            <w:pPr>
              <w:jc w:val="both"/>
              <w:rPr>
                <w:bCs/>
                <w:lang w:val="en-US"/>
              </w:rPr>
            </w:pPr>
            <w:r w:rsidRPr="000F03F5">
              <w:rPr>
                <w:bCs/>
                <w:lang w:val="en-US"/>
              </w:rPr>
              <w:t>2.1</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4450DCB8" w14:textId="2C641103" w:rsidR="004D3046" w:rsidRPr="0093465A" w:rsidRDefault="004D3046" w:rsidP="006E3658">
            <w:pPr>
              <w:jc w:val="both"/>
            </w:pPr>
            <w:r w:rsidRPr="00835B22">
              <w:t>Galimybė pakrauti automobilį pagal europietišką „</w:t>
            </w:r>
            <w:proofErr w:type="spellStart"/>
            <w:r w:rsidRPr="00835B22">
              <w:t>Combo</w:t>
            </w:r>
            <w:proofErr w:type="spellEnd"/>
            <w:r w:rsidRPr="00835B22">
              <w:t xml:space="preserve"> 2“</w:t>
            </w:r>
            <w:r w:rsidR="00062FD6">
              <w:t xml:space="preserve"> (ccs2)</w:t>
            </w:r>
            <w:r w:rsidRPr="00835B22">
              <w:t xml:space="preserve"> standartą (arba lygiavertį) esant būtinybei su įkrovimo kabeliu ir kabelio adapteriu iš vienfazio 220V tinklo.                                                                                                                                                                                                                                                                                                                                                                                                                                                                                                                                                                                                                                                                                                                                                                                                                                                                                                                                                                                                                                                                                                                                                                                                                                                                                                                                                                                                                                                                                                                                                                                                                                                                                                                                                                                                                                                                                                                                                                                                                                                                                                                                                            </w:t>
            </w:r>
          </w:p>
        </w:tc>
      </w:tr>
      <w:tr w:rsidR="00BA1191" w:rsidRPr="0027765C" w14:paraId="00817F9B" w14:textId="7D4C4ED8" w:rsidTr="000F03F5">
        <w:trPr>
          <w:trHeight w:val="794"/>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26ACC451" w14:textId="1E31B9F5" w:rsidR="00BA1191" w:rsidRPr="00C310EE" w:rsidRDefault="00BA1191" w:rsidP="006E3658">
            <w:pPr>
              <w:jc w:val="both"/>
              <w:rPr>
                <w:lang w:val="en-US"/>
              </w:rPr>
            </w:pPr>
            <w:r w:rsidRPr="00C310EE">
              <w:rPr>
                <w:lang w:val="en-US"/>
              </w:rPr>
              <w:t>2.</w:t>
            </w:r>
            <w:r w:rsidR="004D3046">
              <w:rPr>
                <w:lang w:val="en-US"/>
              </w:rPr>
              <w:t>2</w:t>
            </w:r>
          </w:p>
        </w:tc>
        <w:tc>
          <w:tcPr>
            <w:tcW w:w="9072" w:type="dxa"/>
            <w:tcBorders>
              <w:top w:val="single" w:sz="4" w:space="0" w:color="000000"/>
              <w:left w:val="single" w:sz="4" w:space="0" w:color="000000"/>
              <w:bottom w:val="single" w:sz="4" w:space="0" w:color="000000"/>
              <w:right w:val="single" w:sz="4" w:space="0" w:color="000000"/>
            </w:tcBorders>
          </w:tcPr>
          <w:p w14:paraId="4CFC276E" w14:textId="00254DBC" w:rsidR="00BA1191" w:rsidRPr="00C310EE" w:rsidRDefault="000F03F5" w:rsidP="006E3658">
            <w:pPr>
              <w:jc w:val="both"/>
            </w:pPr>
            <w:r>
              <w:t xml:space="preserve">2.2. </w:t>
            </w:r>
            <w:r w:rsidRPr="00C310EE">
              <w:t>Elektromobilio įkrovimo laidai: vienas pakrauti automobilį iš 220 V, kitas ne mažiau 32 A – krautis elektromobiliui iš pakrovimo stotelių.</w:t>
            </w:r>
          </w:p>
        </w:tc>
      </w:tr>
      <w:tr w:rsidR="00BA1191" w:rsidRPr="0027765C" w14:paraId="1586EFDD" w14:textId="1E0C8822" w:rsidTr="000F03F5">
        <w:trPr>
          <w:trHeight w:val="818"/>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03090C38" w14:textId="4462585D" w:rsidR="00BA1191" w:rsidRPr="00C310EE" w:rsidRDefault="00BA1191" w:rsidP="006E3658">
            <w:pPr>
              <w:jc w:val="both"/>
              <w:rPr>
                <w:lang w:val="en-US"/>
              </w:rPr>
            </w:pPr>
            <w:r w:rsidRPr="00C310EE">
              <w:rPr>
                <w:lang w:val="en-US"/>
              </w:rPr>
              <w:t>2.</w:t>
            </w:r>
            <w:r w:rsidR="004D3046">
              <w:rPr>
                <w:lang w:val="en-US"/>
              </w:rPr>
              <w:t>3</w:t>
            </w:r>
          </w:p>
        </w:tc>
        <w:tc>
          <w:tcPr>
            <w:tcW w:w="9072" w:type="dxa"/>
            <w:tcBorders>
              <w:top w:val="single" w:sz="4" w:space="0" w:color="000000"/>
              <w:left w:val="single" w:sz="4" w:space="0" w:color="000000"/>
              <w:bottom w:val="single" w:sz="4" w:space="0" w:color="000000"/>
              <w:right w:val="single" w:sz="4" w:space="0" w:color="000000"/>
            </w:tcBorders>
            <w:hideMark/>
          </w:tcPr>
          <w:p w14:paraId="0D266896" w14:textId="77777777" w:rsidR="00BA1191" w:rsidRPr="00C310EE" w:rsidRDefault="00BA1191" w:rsidP="006E3658">
            <w:pPr>
              <w:jc w:val="both"/>
            </w:pPr>
            <w:r w:rsidRPr="00C310EE">
              <w:t>Akumuliatorių baterijos garantija – ne mažiau kaip 8 metai arba ne mažiau kaip iki 160 000 km ridos (išskyrus gamintojo numatytas išimtis).</w:t>
            </w:r>
          </w:p>
        </w:tc>
      </w:tr>
      <w:tr w:rsidR="00BA1191" w:rsidRPr="0027765C" w14:paraId="0FEDB5BE" w14:textId="65549A10" w:rsidTr="00BA1191">
        <w:trPr>
          <w:trHeight w:val="1117"/>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74ACA04F" w14:textId="6115F21B" w:rsidR="00BA1191" w:rsidRPr="00C310EE" w:rsidRDefault="00BA1191" w:rsidP="006E3658">
            <w:pPr>
              <w:jc w:val="both"/>
              <w:rPr>
                <w:lang w:val="en-US"/>
              </w:rPr>
            </w:pPr>
            <w:r w:rsidRPr="00C310EE">
              <w:rPr>
                <w:lang w:val="en-US"/>
              </w:rPr>
              <w:t>2.</w:t>
            </w:r>
            <w:r w:rsidR="004D3046">
              <w:rPr>
                <w:lang w:val="en-US"/>
              </w:rPr>
              <w:t>4</w:t>
            </w:r>
          </w:p>
        </w:tc>
        <w:tc>
          <w:tcPr>
            <w:tcW w:w="9072" w:type="dxa"/>
            <w:tcBorders>
              <w:top w:val="single" w:sz="4" w:space="0" w:color="000000"/>
              <w:left w:val="single" w:sz="4" w:space="0" w:color="000000"/>
              <w:bottom w:val="single" w:sz="4" w:space="0" w:color="000000"/>
              <w:right w:val="single" w:sz="4" w:space="0" w:color="000000"/>
            </w:tcBorders>
            <w:hideMark/>
          </w:tcPr>
          <w:p w14:paraId="1D8EF22F" w14:textId="77777777" w:rsidR="00BA1191" w:rsidRPr="00C310EE" w:rsidRDefault="00BA1191" w:rsidP="006E3658">
            <w:pPr>
              <w:jc w:val="both"/>
            </w:pPr>
            <w:r w:rsidRPr="00C310EE">
              <w:t>Automobilių techninis aptarnavimas organizuotas ir vykdomas tiekėjo lėšomis ir pajėgumais iki 100 000 km arba neilgiau kaip 60 mėnesių nuo transporto priemonės įregistravimo.</w:t>
            </w:r>
          </w:p>
        </w:tc>
      </w:tr>
      <w:tr w:rsidR="00BA1191" w:rsidRPr="0027765C" w14:paraId="474C8B13" w14:textId="23CBA46C" w:rsidTr="00BA1191">
        <w:trPr>
          <w:trHeight w:val="1256"/>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2D61E422" w14:textId="72537520" w:rsidR="00BA1191" w:rsidRPr="00C310EE" w:rsidRDefault="00BA1191" w:rsidP="006E3658">
            <w:pPr>
              <w:jc w:val="both"/>
              <w:rPr>
                <w:lang w:val="en-US"/>
              </w:rPr>
            </w:pPr>
            <w:r w:rsidRPr="00C310EE">
              <w:rPr>
                <w:lang w:val="en-US"/>
              </w:rPr>
              <w:t>2.</w:t>
            </w:r>
            <w:r w:rsidR="004D3046">
              <w:rPr>
                <w:lang w:val="en-US"/>
              </w:rPr>
              <w:t>5</w:t>
            </w:r>
          </w:p>
        </w:tc>
        <w:tc>
          <w:tcPr>
            <w:tcW w:w="9072" w:type="dxa"/>
            <w:tcBorders>
              <w:top w:val="single" w:sz="4" w:space="0" w:color="000000"/>
              <w:left w:val="single" w:sz="4" w:space="0" w:color="000000"/>
              <w:bottom w:val="single" w:sz="4" w:space="0" w:color="000000"/>
              <w:right w:val="single" w:sz="4" w:space="0" w:color="000000"/>
            </w:tcBorders>
            <w:hideMark/>
          </w:tcPr>
          <w:p w14:paraId="1F79C957" w14:textId="77777777" w:rsidR="00BA1191" w:rsidRPr="00C310EE" w:rsidRDefault="00BA1191" w:rsidP="006E3658">
            <w:pPr>
              <w:jc w:val="both"/>
            </w:pPr>
            <w:r w:rsidRPr="00C310EE">
              <w:t xml:space="preserve">Automobilis turi būti sukomplektuotas taip, kad jį būtų galima be papildomų priemonių registruoti ir eksploatuoti Lietuvos Respublikoje. </w:t>
            </w:r>
          </w:p>
          <w:p w14:paraId="1E2DD20B" w14:textId="77777777" w:rsidR="00BA1191" w:rsidRPr="00C310EE" w:rsidRDefault="00BA1191" w:rsidP="006E3658">
            <w:pPr>
              <w:jc w:val="both"/>
            </w:pPr>
            <w:r w:rsidRPr="00C310EE">
              <w:t xml:space="preserve">Kartu su automobiliu turi būti pateikiamas teisės aktais nustatytus reikalavimus atitinkantis gesintuvas (2 kg), pirmosios pagalbos rinkinys, avarinio sustojimo ženklas ir liemenė su šviesą atspindinčiais elementais. </w:t>
            </w:r>
          </w:p>
          <w:p w14:paraId="5EDFB5C1" w14:textId="77777777" w:rsidR="00BA1191" w:rsidRPr="00C310EE" w:rsidRDefault="00BA1191" w:rsidP="006E3658">
            <w:pPr>
              <w:jc w:val="both"/>
            </w:pPr>
            <w:r w:rsidRPr="00C310EE">
              <w:t>Automobilis pateikiamas su sezoną atitinkančiu padangų komplektu (4 padangos). Prie automobilio pridedamas papildomas, kitam sezonui tinkantis padangų komplektas (4 padangos), skirtas pasiūlytai transporto priemonei, jei jie numatyti pagal šios transporto priemonės gamintojo reikalavimus. Žieminės padangos turi būti nedygliuotos.</w:t>
            </w:r>
          </w:p>
        </w:tc>
      </w:tr>
      <w:tr w:rsidR="00BA1191" w:rsidRPr="0027765C" w14:paraId="649BB984" w14:textId="0D85F1A7" w:rsidTr="00BA1191">
        <w:trPr>
          <w:trHeight w:val="143"/>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5E802933" w14:textId="3C51E4F1" w:rsidR="00BA1191" w:rsidRPr="00C310EE" w:rsidRDefault="00BA1191" w:rsidP="006E3658">
            <w:pPr>
              <w:jc w:val="both"/>
              <w:rPr>
                <w:lang w:val="en-US"/>
              </w:rPr>
            </w:pPr>
            <w:r w:rsidRPr="00C310EE">
              <w:rPr>
                <w:lang w:val="en-US"/>
              </w:rPr>
              <w:t>2.</w:t>
            </w:r>
            <w:r w:rsidR="004D3046">
              <w:rPr>
                <w:lang w:val="en-US"/>
              </w:rPr>
              <w:t>6</w:t>
            </w:r>
          </w:p>
        </w:tc>
        <w:tc>
          <w:tcPr>
            <w:tcW w:w="9072" w:type="dxa"/>
            <w:tcBorders>
              <w:top w:val="single" w:sz="4" w:space="0" w:color="000000"/>
              <w:left w:val="single" w:sz="4" w:space="0" w:color="000000"/>
              <w:bottom w:val="single" w:sz="4" w:space="0" w:color="000000"/>
              <w:right w:val="single" w:sz="4" w:space="0" w:color="000000"/>
            </w:tcBorders>
            <w:hideMark/>
          </w:tcPr>
          <w:p w14:paraId="75B9666F" w14:textId="77777777" w:rsidR="00BA1191" w:rsidRPr="00C310EE" w:rsidRDefault="00BA1191" w:rsidP="006E3658">
            <w:pPr>
              <w:jc w:val="both"/>
            </w:pPr>
            <w:r w:rsidRPr="00C310EE">
              <w:t>Padangos remonto komplektas  (12V oro kompresorius arba atsarginis ratas su pakėlimo komplektu).</w:t>
            </w:r>
          </w:p>
        </w:tc>
      </w:tr>
      <w:tr w:rsidR="00BA1191" w:rsidRPr="0027765C" w14:paraId="3C722876" w14:textId="64A4C3A4" w:rsidTr="00BA1191">
        <w:trPr>
          <w:trHeight w:val="143"/>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4528ED45" w14:textId="2D5236F6" w:rsidR="00BA1191" w:rsidRPr="00C310EE" w:rsidRDefault="00BA1191" w:rsidP="006E3658">
            <w:pPr>
              <w:jc w:val="both"/>
              <w:rPr>
                <w:lang w:val="en-US"/>
              </w:rPr>
            </w:pPr>
            <w:r w:rsidRPr="00C310EE">
              <w:rPr>
                <w:lang w:val="en-US"/>
              </w:rPr>
              <w:t>2.</w:t>
            </w:r>
            <w:r w:rsidR="004D3046">
              <w:rPr>
                <w:lang w:val="en-US"/>
              </w:rPr>
              <w:t>7</w:t>
            </w:r>
          </w:p>
        </w:tc>
        <w:tc>
          <w:tcPr>
            <w:tcW w:w="9072" w:type="dxa"/>
            <w:tcBorders>
              <w:top w:val="single" w:sz="4" w:space="0" w:color="000000"/>
              <w:left w:val="single" w:sz="4" w:space="0" w:color="000000"/>
              <w:bottom w:val="single" w:sz="4" w:space="0" w:color="000000"/>
              <w:right w:val="single" w:sz="4" w:space="0" w:color="000000"/>
            </w:tcBorders>
            <w:hideMark/>
          </w:tcPr>
          <w:p w14:paraId="4E23549F" w14:textId="77777777" w:rsidR="00BA1191" w:rsidRPr="00C310EE" w:rsidRDefault="00BA1191" w:rsidP="006E3658">
            <w:pPr>
              <w:jc w:val="both"/>
            </w:pPr>
            <w:r w:rsidRPr="00C310EE">
              <w:t>Nuotoliniu būdu valdomas gamyklinis centrinis durų užraktas, du rakteliai su nuotolinio valdymo pulteliais.</w:t>
            </w:r>
          </w:p>
        </w:tc>
      </w:tr>
      <w:tr w:rsidR="00BA1191" w:rsidRPr="0027765C" w14:paraId="42B84ADF" w14:textId="3036E081" w:rsidTr="00062FD6">
        <w:trPr>
          <w:trHeight w:val="699"/>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02870266" w14:textId="6A7734F0" w:rsidR="00BA1191" w:rsidRPr="00C310EE" w:rsidRDefault="00BA1191" w:rsidP="006E3658">
            <w:pPr>
              <w:jc w:val="both"/>
              <w:rPr>
                <w:lang w:val="en-US"/>
              </w:rPr>
            </w:pPr>
            <w:r w:rsidRPr="00C310EE">
              <w:rPr>
                <w:lang w:val="en-US"/>
              </w:rPr>
              <w:t>2.</w:t>
            </w:r>
            <w:r w:rsidR="004D3046">
              <w:rPr>
                <w:lang w:val="en-US"/>
              </w:rPr>
              <w:t>8</w:t>
            </w:r>
          </w:p>
        </w:tc>
        <w:tc>
          <w:tcPr>
            <w:tcW w:w="9072" w:type="dxa"/>
            <w:tcBorders>
              <w:top w:val="single" w:sz="4" w:space="0" w:color="000000"/>
              <w:left w:val="single" w:sz="4" w:space="0" w:color="000000"/>
              <w:bottom w:val="single" w:sz="4" w:space="0" w:color="000000"/>
              <w:right w:val="single" w:sz="4" w:space="0" w:color="000000"/>
            </w:tcBorders>
            <w:hideMark/>
          </w:tcPr>
          <w:p w14:paraId="6506005E" w14:textId="31F0A64E" w:rsidR="000F03F5" w:rsidRPr="00C310EE" w:rsidRDefault="000F03F5" w:rsidP="006E3658">
            <w:pPr>
              <w:jc w:val="both"/>
            </w:pPr>
            <w:r w:rsidRPr="00C310EE">
              <w:t>2.</w:t>
            </w:r>
            <w:r>
              <w:t>8</w:t>
            </w:r>
            <w:r w:rsidRPr="00C310EE">
              <w:t>.1 Automobilio eksploatacijos garantinis laikotarpis – ne mažiau 60 mėnesių ar 100 000 km ridos (išskyrus gamintojo numatytas išimtis).</w:t>
            </w:r>
          </w:p>
          <w:p w14:paraId="1073BA21" w14:textId="4FD7E097" w:rsidR="00BA1191" w:rsidRPr="00C310EE" w:rsidRDefault="000F03F5" w:rsidP="006E3658">
            <w:pPr>
              <w:jc w:val="both"/>
            </w:pPr>
            <w:r w:rsidRPr="00C310EE">
              <w:t>2.</w:t>
            </w:r>
            <w:r>
              <w:t>8</w:t>
            </w:r>
            <w:r w:rsidRPr="00C310EE">
              <w:t>.2 Gamintojas turi suteikti antikorozinę (kiauryminio prarūdijimo) kėbulo garantiją ne mažiau kaip 144 mėnesių (išskyrus gamintojo</w:t>
            </w:r>
            <w:r>
              <w:t xml:space="preserve"> </w:t>
            </w:r>
            <w:r w:rsidRPr="00C310EE">
              <w:t>numatytas išimtis).</w:t>
            </w:r>
          </w:p>
        </w:tc>
      </w:tr>
      <w:tr w:rsidR="00BA1191" w:rsidRPr="0027765C" w14:paraId="6ED669DF" w14:textId="39ACB1E0" w:rsidTr="00BA1191">
        <w:trPr>
          <w:trHeight w:val="143"/>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331D3769" w14:textId="23D390CA" w:rsidR="00BA1191" w:rsidRPr="00C310EE" w:rsidRDefault="00BA1191" w:rsidP="006E3658">
            <w:pPr>
              <w:jc w:val="both"/>
              <w:rPr>
                <w:lang w:val="en-US"/>
              </w:rPr>
            </w:pPr>
            <w:r w:rsidRPr="00C310EE">
              <w:rPr>
                <w:lang w:val="en-US"/>
              </w:rPr>
              <w:lastRenderedPageBreak/>
              <w:t>2.</w:t>
            </w:r>
            <w:r w:rsidR="004D3046">
              <w:rPr>
                <w:lang w:val="en-US"/>
              </w:rPr>
              <w:t>9</w:t>
            </w:r>
          </w:p>
        </w:tc>
        <w:tc>
          <w:tcPr>
            <w:tcW w:w="9072" w:type="dxa"/>
            <w:tcBorders>
              <w:top w:val="single" w:sz="4" w:space="0" w:color="000000"/>
              <w:left w:val="single" w:sz="4" w:space="0" w:color="000000"/>
              <w:bottom w:val="single" w:sz="4" w:space="0" w:color="000000"/>
              <w:right w:val="single" w:sz="4" w:space="0" w:color="000000"/>
            </w:tcBorders>
            <w:hideMark/>
          </w:tcPr>
          <w:p w14:paraId="02E38E4A" w14:textId="77777777" w:rsidR="00BA1191" w:rsidRPr="00C310EE" w:rsidRDefault="00BA1191" w:rsidP="006E3658">
            <w:pPr>
              <w:jc w:val="both"/>
            </w:pPr>
            <w:r w:rsidRPr="00C310EE">
              <w:t>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r>
    </w:tbl>
    <w:p w14:paraId="71E49566" w14:textId="77777777" w:rsidR="00C6385E" w:rsidRDefault="00C6385E" w:rsidP="006E3658">
      <w:pPr>
        <w:jc w:val="both"/>
      </w:pPr>
    </w:p>
    <w:sectPr w:rsidR="00C6385E">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2139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6350621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85E"/>
    <w:rsid w:val="00024F41"/>
    <w:rsid w:val="00037A50"/>
    <w:rsid w:val="000626B9"/>
    <w:rsid w:val="00062FD6"/>
    <w:rsid w:val="0009619B"/>
    <w:rsid w:val="000F03F5"/>
    <w:rsid w:val="001830FE"/>
    <w:rsid w:val="00194669"/>
    <w:rsid w:val="001A38D7"/>
    <w:rsid w:val="001A7216"/>
    <w:rsid w:val="00251CDC"/>
    <w:rsid w:val="00272257"/>
    <w:rsid w:val="0028649A"/>
    <w:rsid w:val="002E6CDA"/>
    <w:rsid w:val="00314E28"/>
    <w:rsid w:val="00352F3E"/>
    <w:rsid w:val="00355EA5"/>
    <w:rsid w:val="003C3783"/>
    <w:rsid w:val="003F4658"/>
    <w:rsid w:val="00411181"/>
    <w:rsid w:val="0041453B"/>
    <w:rsid w:val="00473613"/>
    <w:rsid w:val="00480371"/>
    <w:rsid w:val="004D26C8"/>
    <w:rsid w:val="004D3046"/>
    <w:rsid w:val="00514760"/>
    <w:rsid w:val="0059428F"/>
    <w:rsid w:val="00623631"/>
    <w:rsid w:val="006D43A5"/>
    <w:rsid w:val="006E2360"/>
    <w:rsid w:val="006E3658"/>
    <w:rsid w:val="0074363D"/>
    <w:rsid w:val="007461F5"/>
    <w:rsid w:val="00765294"/>
    <w:rsid w:val="007C7D9B"/>
    <w:rsid w:val="007E4224"/>
    <w:rsid w:val="00835B22"/>
    <w:rsid w:val="008514BD"/>
    <w:rsid w:val="008812C1"/>
    <w:rsid w:val="008A6C42"/>
    <w:rsid w:val="0093465A"/>
    <w:rsid w:val="009D076A"/>
    <w:rsid w:val="009D2A58"/>
    <w:rsid w:val="00A42BE6"/>
    <w:rsid w:val="00A56EE0"/>
    <w:rsid w:val="00A74B0E"/>
    <w:rsid w:val="00A76F4C"/>
    <w:rsid w:val="00B1208B"/>
    <w:rsid w:val="00B70556"/>
    <w:rsid w:val="00BA1191"/>
    <w:rsid w:val="00C60550"/>
    <w:rsid w:val="00C6385E"/>
    <w:rsid w:val="00C74225"/>
    <w:rsid w:val="00CA755F"/>
    <w:rsid w:val="00CD3DC1"/>
    <w:rsid w:val="00D03C62"/>
    <w:rsid w:val="00D97C85"/>
    <w:rsid w:val="00E97A25"/>
    <w:rsid w:val="00EF7564"/>
    <w:rsid w:val="00F76BA3"/>
    <w:rsid w:val="00F93B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A8905"/>
  <w15:chartTrackingRefBased/>
  <w15:docId w15:val="{785A3D3E-51B4-405D-B4EB-A4CD0F491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385E"/>
    <w:pPr>
      <w:spacing w:after="200" w:line="276" w:lineRule="auto"/>
    </w:pPr>
    <w:rPr>
      <w:rFonts w:ascii="Times New Roman" w:eastAsia="Calibri" w:hAnsi="Times New Roman" w:cs="Times New Roman"/>
      <w:kern w:val="0"/>
      <w14:ligatures w14:val="none"/>
    </w:rPr>
  </w:style>
  <w:style w:type="paragraph" w:styleId="Antrat1">
    <w:name w:val="heading 1"/>
    <w:basedOn w:val="prastasis"/>
    <w:next w:val="prastasis"/>
    <w:link w:val="Antrat1Diagrama"/>
    <w:uiPriority w:val="9"/>
    <w:qFormat/>
    <w:rsid w:val="00C638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638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6385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6385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6385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6385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6385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6385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6385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385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6385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6385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6385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6385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6385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6385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6385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6385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63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6385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6385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6385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6385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6385E"/>
    <w:rPr>
      <w:i/>
      <w:iCs/>
      <w:color w:val="404040" w:themeColor="text1" w:themeTint="BF"/>
    </w:rPr>
  </w:style>
  <w:style w:type="paragraph" w:styleId="Sraopastraipa">
    <w:name w:val="List Paragraph"/>
    <w:basedOn w:val="prastasis"/>
    <w:uiPriority w:val="34"/>
    <w:qFormat/>
    <w:rsid w:val="00C6385E"/>
    <w:pPr>
      <w:ind w:left="720"/>
      <w:contextualSpacing/>
    </w:pPr>
  </w:style>
  <w:style w:type="character" w:styleId="Rykuspabraukimas">
    <w:name w:val="Intense Emphasis"/>
    <w:basedOn w:val="Numatytasispastraiposriftas"/>
    <w:uiPriority w:val="21"/>
    <w:qFormat/>
    <w:rsid w:val="00C6385E"/>
    <w:rPr>
      <w:i/>
      <w:iCs/>
      <w:color w:val="2F5496" w:themeColor="accent1" w:themeShade="BF"/>
    </w:rPr>
  </w:style>
  <w:style w:type="paragraph" w:styleId="Iskirtacitata">
    <w:name w:val="Intense Quote"/>
    <w:basedOn w:val="prastasis"/>
    <w:next w:val="prastasis"/>
    <w:link w:val="IskirtacitataDiagrama"/>
    <w:uiPriority w:val="30"/>
    <w:qFormat/>
    <w:rsid w:val="00C638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6385E"/>
    <w:rPr>
      <w:i/>
      <w:iCs/>
      <w:color w:val="2F5496" w:themeColor="accent1" w:themeShade="BF"/>
    </w:rPr>
  </w:style>
  <w:style w:type="character" w:styleId="Rykinuoroda">
    <w:name w:val="Intense Reference"/>
    <w:basedOn w:val="Numatytasispastraiposriftas"/>
    <w:uiPriority w:val="32"/>
    <w:qFormat/>
    <w:rsid w:val="00C6385E"/>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F93BA3"/>
    <w:rPr>
      <w:sz w:val="16"/>
      <w:szCs w:val="16"/>
    </w:rPr>
  </w:style>
  <w:style w:type="paragraph" w:styleId="Komentarotekstas">
    <w:name w:val="annotation text"/>
    <w:basedOn w:val="prastasis"/>
    <w:link w:val="KomentarotekstasDiagrama"/>
    <w:unhideWhenUsed/>
    <w:rsid w:val="00F93BA3"/>
    <w:pPr>
      <w:spacing w:line="240" w:lineRule="auto"/>
    </w:pPr>
    <w:rPr>
      <w:sz w:val="20"/>
      <w:szCs w:val="20"/>
    </w:rPr>
  </w:style>
  <w:style w:type="character" w:customStyle="1" w:styleId="KomentarotekstasDiagrama">
    <w:name w:val="Komentaro tekstas Diagrama"/>
    <w:basedOn w:val="Numatytasispastraiposriftas"/>
    <w:link w:val="Komentarotekstas"/>
    <w:rsid w:val="00F93BA3"/>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F93BA3"/>
    <w:rPr>
      <w:b/>
      <w:bCs/>
    </w:rPr>
  </w:style>
  <w:style w:type="character" w:customStyle="1" w:styleId="KomentarotemaDiagrama">
    <w:name w:val="Komentaro tema Diagrama"/>
    <w:basedOn w:val="KomentarotekstasDiagrama"/>
    <w:link w:val="Komentarotema"/>
    <w:uiPriority w:val="99"/>
    <w:semiHidden/>
    <w:rsid w:val="00F93BA3"/>
    <w:rPr>
      <w:rFonts w:ascii="Times New Roman" w:eastAsia="Calibri" w:hAnsi="Times New Roman" w:cs="Times New Roman"/>
      <w:b/>
      <w:bCs/>
      <w:kern w:val="0"/>
      <w:sz w:val="20"/>
      <w:szCs w:val="20"/>
      <w14:ligatures w14:val="none"/>
    </w:rPr>
  </w:style>
  <w:style w:type="paragraph" w:styleId="Paprastasistekstas">
    <w:name w:val="Plain Text"/>
    <w:basedOn w:val="prastasis"/>
    <w:link w:val="PaprastasistekstasDiagrama"/>
    <w:uiPriority w:val="99"/>
    <w:rsid w:val="00765294"/>
    <w:pPr>
      <w:spacing w:after="0" w:line="240" w:lineRule="auto"/>
    </w:pPr>
    <w:rPr>
      <w:rFonts w:ascii="Courier New" w:hAnsi="Courier New" w:cs="Courier New"/>
      <w:sz w:val="20"/>
      <w:szCs w:val="20"/>
      <w:lang w:val="en-US" w:eastAsia="lt-LT"/>
    </w:rPr>
  </w:style>
  <w:style w:type="character" w:customStyle="1" w:styleId="PaprastasistekstasDiagrama">
    <w:name w:val="Paprastasis tekstas Diagrama"/>
    <w:basedOn w:val="Numatytasispastraiposriftas"/>
    <w:link w:val="Paprastasistekstas"/>
    <w:uiPriority w:val="99"/>
    <w:rsid w:val="00765294"/>
    <w:rPr>
      <w:rFonts w:ascii="Courier New" w:eastAsia="Calibri" w:hAnsi="Courier New" w:cs="Courier New"/>
      <w:kern w:val="0"/>
      <w:sz w:val="20"/>
      <w:szCs w:val="20"/>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80665">
      <w:bodyDiv w:val="1"/>
      <w:marLeft w:val="0"/>
      <w:marRight w:val="0"/>
      <w:marTop w:val="0"/>
      <w:marBottom w:val="0"/>
      <w:divBdr>
        <w:top w:val="none" w:sz="0" w:space="0" w:color="auto"/>
        <w:left w:val="none" w:sz="0" w:space="0" w:color="auto"/>
        <w:bottom w:val="none" w:sz="0" w:space="0" w:color="auto"/>
        <w:right w:val="none" w:sz="0" w:space="0" w:color="auto"/>
      </w:divBdr>
    </w:div>
    <w:div w:id="1373462379">
      <w:bodyDiv w:val="1"/>
      <w:marLeft w:val="0"/>
      <w:marRight w:val="0"/>
      <w:marTop w:val="0"/>
      <w:marBottom w:val="0"/>
      <w:divBdr>
        <w:top w:val="none" w:sz="0" w:space="0" w:color="auto"/>
        <w:left w:val="none" w:sz="0" w:space="0" w:color="auto"/>
        <w:bottom w:val="none" w:sz="0" w:space="0" w:color="auto"/>
        <w:right w:val="none" w:sz="0" w:space="0" w:color="auto"/>
      </w:divBdr>
    </w:div>
    <w:div w:id="1718436041">
      <w:bodyDiv w:val="1"/>
      <w:marLeft w:val="0"/>
      <w:marRight w:val="0"/>
      <w:marTop w:val="0"/>
      <w:marBottom w:val="0"/>
      <w:divBdr>
        <w:top w:val="none" w:sz="0" w:space="0" w:color="auto"/>
        <w:left w:val="none" w:sz="0" w:space="0" w:color="auto"/>
        <w:bottom w:val="none" w:sz="0" w:space="0" w:color="auto"/>
        <w:right w:val="none" w:sz="0" w:space="0" w:color="auto"/>
      </w:divBdr>
    </w:div>
    <w:div w:id="186747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4126</Words>
  <Characters>2353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LauraKutkute</dc:creator>
  <cp:keywords/>
  <dc:description/>
  <cp:lastModifiedBy>Sigita Maziliauskienė</cp:lastModifiedBy>
  <cp:revision>7</cp:revision>
  <cp:lastPrinted>2025-06-17T06:15:00Z</cp:lastPrinted>
  <dcterms:created xsi:type="dcterms:W3CDTF">2025-07-03T09:56:00Z</dcterms:created>
  <dcterms:modified xsi:type="dcterms:W3CDTF">2025-07-16T10:02:00Z</dcterms:modified>
</cp:coreProperties>
</file>