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6022FB3A"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F25BA" w:rsidRPr="001F25BA">
            <w:rPr>
              <w:rFonts w:ascii="Times New Roman" w:eastAsia="Times New Roman" w:hAnsi="Times New Roman" w:cs="Times New Roman"/>
              <w:b/>
              <w:bCs/>
              <w:iCs/>
              <w:caps/>
              <w:sz w:val="28"/>
              <w:szCs w:val="28"/>
            </w:rPr>
            <w:t>ŠALIGATVIO DAINAVOS G., MIROSLAVO MSTL., MIROSLAVO SEN., ALYTAUS R. SAV. REMONTO</w:t>
          </w:r>
          <w:r w:rsidR="001F25BA" w:rsidRPr="001F25BA">
            <w:rPr>
              <w:rFonts w:ascii="Times New Roman" w:eastAsia="Times New Roman" w:hAnsi="Times New Roman" w:cs="Times New Roman"/>
              <w:b/>
              <w:bCs/>
              <w:iCs/>
              <w:caps/>
              <w:sz w:val="28"/>
              <w:szCs w:val="28"/>
            </w:rPr>
            <w:t xml:space="preserve"> </w:t>
          </w:r>
          <w:r w:rsidR="004D0664" w:rsidRPr="004D0664">
            <w:rPr>
              <w:rFonts w:ascii="Times New Roman" w:eastAsia="Times New Roman" w:hAnsi="Times New Roman" w:cs="Times New Roman"/>
              <w:b/>
              <w:bCs/>
              <w:iCs/>
              <w:caps/>
              <w:sz w:val="28"/>
              <w:szCs w:val="28"/>
            </w:rPr>
            <w:t>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149F93E"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69B6E2A6"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CF4081" w:rsidRPr="00CF4081">
        <w:rPr>
          <w:rFonts w:ascii="Times New Roman" w:hAnsi="Times New Roman" w:cs="Times New Roman"/>
          <w:bCs/>
          <w:sz w:val="24"/>
          <w:szCs w:val="24"/>
        </w:rPr>
        <w:t>Šaligatvio Dainavos g., Miroslavo mstl., Miroslavo sen., Alytaus r. sav. remonto darbai</w:t>
      </w:r>
      <w:r w:rsidR="003B42EB" w:rsidRPr="003B42EB">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lastRenderedPageBreak/>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lastRenderedPageBreak/>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4825E2">
              <w:rPr>
                <w:rFonts w:ascii="Times New Roman" w:hAnsi="Times New Roman" w:cs="Times New Roman"/>
                <w:sz w:val="24"/>
                <w:szCs w:val="24"/>
              </w:rPr>
              <w:t>Tiekėjas, atlikdamas darbus (veiklos sritis – susisiekimo komunikacijos</w:t>
            </w:r>
            <w:r w:rsidR="003638BB" w:rsidRPr="004825E2">
              <w:rPr>
                <w:rFonts w:ascii="Times New Roman" w:hAnsi="Times New Roman" w:cs="Times New Roman"/>
                <w:sz w:val="24"/>
                <w:szCs w:val="24"/>
              </w:rPr>
              <w:t>, pogrupis – keliai (gatvės)</w:t>
            </w:r>
            <w:r w:rsidRPr="004825E2">
              <w:rPr>
                <w:rFonts w:ascii="Times New Roman" w:hAnsi="Times New Roman" w:cs="Times New Roman"/>
                <w:sz w:val="24"/>
                <w:szCs w:val="24"/>
              </w:rPr>
              <w:t>), 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DA1A" w14:textId="77777777" w:rsidR="007366EF" w:rsidRDefault="007366EF" w:rsidP="00D05666">
      <w:r>
        <w:separator/>
      </w:r>
    </w:p>
  </w:endnote>
  <w:endnote w:type="continuationSeparator" w:id="0">
    <w:p w14:paraId="27F9896F" w14:textId="77777777" w:rsidR="007366EF" w:rsidRDefault="007366EF" w:rsidP="00D05666">
      <w:r>
        <w:continuationSeparator/>
      </w:r>
    </w:p>
  </w:endnote>
  <w:endnote w:type="continuationNotice" w:id="1">
    <w:p w14:paraId="2471916A" w14:textId="77777777" w:rsidR="007366EF" w:rsidRDefault="007366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DD56" w14:textId="77777777" w:rsidR="007366EF" w:rsidRDefault="007366EF" w:rsidP="00D05666">
      <w:r>
        <w:separator/>
      </w:r>
    </w:p>
  </w:footnote>
  <w:footnote w:type="continuationSeparator" w:id="0">
    <w:p w14:paraId="09D37830" w14:textId="77777777" w:rsidR="007366EF" w:rsidRDefault="007366EF" w:rsidP="00D05666">
      <w:r>
        <w:continuationSeparator/>
      </w:r>
    </w:p>
  </w:footnote>
  <w:footnote w:type="continuationNotice" w:id="1">
    <w:p w14:paraId="42000468" w14:textId="77777777" w:rsidR="007366EF" w:rsidRDefault="007366EF">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5BA"/>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3764"/>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6EF"/>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0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0C2380"/>
    <w:rsid w:val="00102FFE"/>
    <w:rsid w:val="00513764"/>
    <w:rsid w:val="00534CF4"/>
    <w:rsid w:val="006002F1"/>
    <w:rsid w:val="006158E1"/>
    <w:rsid w:val="006B3A6F"/>
    <w:rsid w:val="006F60FD"/>
    <w:rsid w:val="00B27B2A"/>
    <w:rsid w:val="00C06F5D"/>
    <w:rsid w:val="00C41E6E"/>
    <w:rsid w:val="00D30015"/>
    <w:rsid w:val="00DD4F97"/>
    <w:rsid w:val="00E67351"/>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24</Pages>
  <Words>27346</Words>
  <Characters>15588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525</cp:revision>
  <cp:lastPrinted>2023-09-08T12:30:00Z</cp:lastPrinted>
  <dcterms:created xsi:type="dcterms:W3CDTF">2023-10-09T12:07:00Z</dcterms:created>
  <dcterms:modified xsi:type="dcterms:W3CDTF">2025-07-16T11:55:00Z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