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28FA" w14:textId="67B84918" w:rsidR="00684DBD" w:rsidRPr="00684DBD" w:rsidRDefault="00684DBD" w:rsidP="00684DBD">
      <w:pPr>
        <w:spacing w:after="0" w:line="240" w:lineRule="auto"/>
        <w:jc w:val="right"/>
        <w:rPr>
          <w:rFonts w:cs="Calibri"/>
          <w:i/>
          <w:iCs/>
          <w:sz w:val="20"/>
          <w:szCs w:val="20"/>
          <w:lang w:eastAsia="lt-LT"/>
        </w:rPr>
      </w:pPr>
      <w:bookmarkStart w:id="0" w:name="_Hlk99029777"/>
      <w:r w:rsidRPr="00684DBD">
        <w:rPr>
          <w:rFonts w:cs="Calibri"/>
          <w:i/>
          <w:iCs/>
          <w:sz w:val="20"/>
          <w:szCs w:val="20"/>
          <w:lang w:eastAsia="lt-LT"/>
        </w:rPr>
        <w:t xml:space="preserve">Specialiųjų pirkimo sąlygų </w:t>
      </w:r>
      <w:r w:rsidR="00B01807">
        <w:rPr>
          <w:rFonts w:cs="Calibri"/>
          <w:i/>
          <w:iCs/>
          <w:sz w:val="20"/>
          <w:szCs w:val="20"/>
          <w:lang w:eastAsia="lt-LT"/>
        </w:rPr>
        <w:t>7</w:t>
      </w:r>
      <w:r w:rsidRPr="00684DBD">
        <w:rPr>
          <w:rFonts w:cs="Calibri"/>
          <w:i/>
          <w:iCs/>
          <w:sz w:val="20"/>
          <w:szCs w:val="20"/>
          <w:lang w:eastAsia="lt-LT"/>
        </w:rPr>
        <w:t xml:space="preserve"> priedas</w:t>
      </w:r>
    </w:p>
    <w:p w14:paraId="43A5F55B" w14:textId="081F83E5" w:rsidR="00684DBD" w:rsidRPr="00684DBD" w:rsidRDefault="00684DBD" w:rsidP="00684DBD">
      <w:pPr>
        <w:spacing w:after="0" w:line="240" w:lineRule="auto"/>
        <w:jc w:val="right"/>
        <w:rPr>
          <w:rFonts w:cs="Calibri"/>
          <w:i/>
          <w:iCs/>
          <w:sz w:val="20"/>
          <w:szCs w:val="20"/>
          <w:lang w:eastAsia="lt-LT"/>
        </w:rPr>
      </w:pPr>
      <w:r w:rsidRPr="00684DBD">
        <w:rPr>
          <w:rFonts w:cs="Calibri"/>
          <w:i/>
          <w:iCs/>
          <w:sz w:val="20"/>
          <w:szCs w:val="20"/>
          <w:lang w:eastAsia="lt-LT"/>
        </w:rPr>
        <w:t xml:space="preserve"> „</w:t>
      </w:r>
      <w:r>
        <w:rPr>
          <w:rFonts w:cs="Calibri"/>
          <w:i/>
          <w:iCs/>
          <w:sz w:val="20"/>
          <w:szCs w:val="20"/>
          <w:lang w:eastAsia="lt-LT"/>
        </w:rPr>
        <w:t>Pasiūlymų vertinimo kriterijai ir sąlygos</w:t>
      </w:r>
      <w:r w:rsidRPr="00684DBD">
        <w:rPr>
          <w:rFonts w:cs="Calibri"/>
          <w:i/>
          <w:iCs/>
          <w:sz w:val="20"/>
          <w:szCs w:val="20"/>
          <w:lang w:eastAsia="lt-LT"/>
        </w:rPr>
        <w:t>“</w:t>
      </w:r>
    </w:p>
    <w:p w14:paraId="475A6F75" w14:textId="497370B3" w:rsidR="00E530D4" w:rsidRPr="00AA4CBC" w:rsidRDefault="00E530D4" w:rsidP="00E530D4">
      <w:pPr>
        <w:pStyle w:val="Patvirtinta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bookmarkEnd w:id="0"/>
    <w:p w14:paraId="1FFC57D3" w14:textId="77777777" w:rsidR="00684DBD" w:rsidRDefault="00684DBD" w:rsidP="00822E4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24961D" w14:textId="762FB9EB" w:rsidR="00822E4A" w:rsidRPr="00D555DF" w:rsidRDefault="00822E4A" w:rsidP="00822E4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5DF">
        <w:rPr>
          <w:rFonts w:ascii="Times New Roman" w:hAnsi="Times New Roman"/>
          <w:b/>
          <w:bCs/>
          <w:sz w:val="24"/>
          <w:szCs w:val="24"/>
        </w:rPr>
        <w:t>PASIŪLYMŲ VERTINIMO KRITERIJAI</w:t>
      </w:r>
      <w:r w:rsidR="003D5495">
        <w:rPr>
          <w:rFonts w:ascii="Times New Roman" w:hAnsi="Times New Roman"/>
          <w:b/>
          <w:bCs/>
          <w:sz w:val="24"/>
          <w:szCs w:val="24"/>
        </w:rPr>
        <w:t xml:space="preserve"> IR SĄLYGOS</w:t>
      </w:r>
    </w:p>
    <w:p w14:paraId="7E9F7C85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555DF">
        <w:rPr>
          <w:rFonts w:ascii="Times New Roman" w:hAnsi="Times New Roman"/>
          <w:bCs/>
          <w:sz w:val="24"/>
          <w:szCs w:val="24"/>
        </w:rPr>
        <w:t>Perkančiosios organizacijos neatmesti pasiūlymai vertinami pagal ekonomiškai naudingiausio pasiūlymo kriterijų – kainos ir kokybės santykį. Ekonomiškai naudingiausias pasiūlymas – tai pasiūlymas, kurio balų suma, apskaičiuota pagal šiame priede pateiktus pasiūlymų vertinimo kriterijus, yra didžiausia.</w:t>
      </w:r>
    </w:p>
    <w:p w14:paraId="4778FE0A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D555DF">
        <w:rPr>
          <w:rFonts w:ascii="Times New Roman" w:hAnsi="Times New Roman"/>
          <w:bCs/>
          <w:sz w:val="24"/>
          <w:szCs w:val="24"/>
        </w:rPr>
        <w:t>Šiame priede pateikiami ekonomiškai naudingiausio pasiūlymo vertinimo kriterijai, jų parametrai, lyginamieji svoriai, balai, formulės, pagal kurias skaičiuojamas pasiūlymų ekonominis naudingumas, vertinimo tvarkos aprašymas.</w:t>
      </w:r>
    </w:p>
    <w:p w14:paraId="07B6AC10" w14:textId="554D0DE1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D555DF">
        <w:rPr>
          <w:rFonts w:ascii="Times New Roman" w:hAnsi="Times New Roman"/>
          <w:bCs/>
          <w:sz w:val="24"/>
          <w:szCs w:val="24"/>
        </w:rPr>
        <w:t>Pasiūlymų vertinimo kriterijai:</w:t>
      </w:r>
    </w:p>
    <w:p w14:paraId="081A5239" w14:textId="224D53A3" w:rsidR="005E7F8F" w:rsidRPr="005E7F8F" w:rsidRDefault="005E7F8F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7F8F">
        <w:rPr>
          <w:rFonts w:ascii="Times New Roman" w:hAnsi="Times New Roman"/>
          <w:b/>
          <w:bCs/>
          <w:sz w:val="24"/>
          <w:szCs w:val="24"/>
        </w:rPr>
        <w:t>1 lentelė.</w:t>
      </w:r>
    </w:p>
    <w:tbl>
      <w:tblPr>
        <w:tblW w:w="494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6"/>
        <w:gridCol w:w="5471"/>
        <w:gridCol w:w="1756"/>
        <w:gridCol w:w="1651"/>
      </w:tblGrid>
      <w:tr w:rsidR="00822E4A" w:rsidRPr="00D555DF" w14:paraId="3EE45C62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5F3A0E8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E70958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0248307" w14:textId="1B7DEB86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Kriterijaus parametro </w:t>
            </w:r>
            <w:r w:rsidR="00701445">
              <w:rPr>
                <w:rFonts w:ascii="Times New Roman" w:eastAsia="Times New Roman" w:hAnsi="Times New Roman"/>
                <w:b/>
                <w:sz w:val="23"/>
                <w:szCs w:val="23"/>
              </w:rPr>
              <w:t>ribos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3C3857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Lyginamasis svoris ekonominio naudingumo įvertinime</w:t>
            </w:r>
          </w:p>
        </w:tc>
      </w:tr>
      <w:tr w:rsidR="00822E4A" w:rsidRPr="00D555DF" w14:paraId="10DB3A7B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B8E4E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5317E4E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2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6C745C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55CC11F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4</w:t>
            </w:r>
          </w:p>
        </w:tc>
      </w:tr>
      <w:tr w:rsidR="00822E4A" w:rsidRPr="00D555DF" w14:paraId="6C6B02B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55F482A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360580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sz w:val="23"/>
                <w:szCs w:val="23"/>
              </w:rPr>
              <w:t>Bendra pasiūlymo kaina (C)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21E36D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6C2BEE8A" w14:textId="6DC2CF61" w:rsidR="00822E4A" w:rsidRPr="00DA604C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DA604C">
              <w:rPr>
                <w:rFonts w:ascii="Times New Roman" w:hAnsi="Times New Roman"/>
                <w:sz w:val="23"/>
                <w:szCs w:val="23"/>
              </w:rPr>
              <w:t xml:space="preserve">X= </w:t>
            </w:r>
            <w:r w:rsidR="00D378D7">
              <w:rPr>
                <w:rFonts w:ascii="Times New Roman" w:hAnsi="Times New Roman"/>
                <w:sz w:val="23"/>
                <w:szCs w:val="23"/>
              </w:rPr>
              <w:t>8</w:t>
            </w:r>
            <w:r w:rsidRPr="00DA604C">
              <w:rPr>
                <w:rFonts w:ascii="Times New Roman" w:hAnsi="Times New Roman"/>
                <w:sz w:val="23"/>
                <w:szCs w:val="23"/>
                <w:lang w:val="en-GB"/>
              </w:rPr>
              <w:t>0</w:t>
            </w:r>
          </w:p>
        </w:tc>
      </w:tr>
      <w:tr w:rsidR="00822E4A" w:rsidRPr="00D555DF" w14:paraId="08E8265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053232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077994E" w14:textId="47731EEE" w:rsidR="00E530D4" w:rsidRPr="00E530D4" w:rsidRDefault="00923A05" w:rsidP="00E27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U</w:t>
            </w:r>
            <w:r w:rsidR="00822E4A" w:rsidRPr="009F4395">
              <w:rPr>
                <w:rFonts w:ascii="Times New Roman" w:hAnsi="Times New Roman"/>
                <w:b/>
                <w:bCs/>
                <w:sz w:val="23"/>
                <w:szCs w:val="23"/>
              </w:rPr>
              <w:t>ž sutarties vykdymą skiriamų kvalifikuotų specialistų patirtis,</w:t>
            </w:r>
            <w:r w:rsidR="00271276">
              <w:rPr>
                <w:color w:val="000000"/>
              </w:rPr>
              <w:t xml:space="preserve"> daranti reikšmingą įtaką pirkimo sutarties įvykdymo kokybei: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74129E4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9F0E0AD" w14:textId="30782D3E" w:rsidR="00822E4A" w:rsidRPr="00DA604C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22E4A" w:rsidRPr="00D555DF" w14:paraId="262A1D03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D12A041" w14:textId="1FEBAAFB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E9ACB9B" w14:textId="29130E8B" w:rsidR="00271276" w:rsidRPr="00497CAC" w:rsidRDefault="00497CAC" w:rsidP="00497C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bookmarkStart w:id="1" w:name="_Hlk199937452"/>
            <w:r w:rsidRPr="0024590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24590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1 – Projekto vadov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="00011B69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="00011B69" w:rsidRPr="00497CAC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patirtis</w:t>
            </w:r>
            <w:bookmarkEnd w:id="1"/>
            <w:r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  <w:r w:rsidR="00011B69" w:rsidRPr="00D8730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 pastaruosius 5 (penkis) metus yra vadovavęs bent 1 (</w:t>
            </w:r>
            <w:r w:rsidR="00104F52"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) projektui, kuris buvo įvykdytas (užbaigtas) ir kurio apimtyje buvo parengtas nacionalinės / tarptautinės svarbos energetikos / klimato kaitos / darnaus ekonomikos vystymo / aplinkos apsaugos srities dokumentas ‒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metodika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/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strategija / programa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/ studija / gairės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; </w:t>
            </w:r>
            <w:r w:rsidRPr="00497C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(T1).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2BE02B8" w14:textId="77777777" w:rsidR="008F532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07D3350" w14:textId="77777777" w:rsidR="008F532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381EC05" w14:textId="0DAF36CE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1</w:t>
            </w:r>
          </w:p>
          <w:p w14:paraId="5A487F8A" w14:textId="7A9BB8DC" w:rsidR="00822E4A" w:rsidRPr="00D555D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="00822E4A"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2A51B790" w14:textId="37EEFA81" w:rsidR="00822E4A" w:rsidRPr="00D555DF" w:rsidRDefault="00CF5395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maks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9A6081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>
              <w:rPr>
                <w:rFonts w:ascii="Times New Roman" w:hAnsi="Times New Roman"/>
                <w:sz w:val="23"/>
                <w:szCs w:val="23"/>
              </w:rPr>
              <w:t>bal</w:t>
            </w:r>
            <w:r w:rsidR="00497CAC">
              <w:rPr>
                <w:rFonts w:ascii="Times New Roman" w:hAnsi="Times New Roman"/>
                <w:sz w:val="23"/>
                <w:szCs w:val="23"/>
              </w:rPr>
              <w:t>ai</w:t>
            </w:r>
            <w:r w:rsidR="00822E4A"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BFBCE68" w14:textId="660CF144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1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9A608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822E4A" w:rsidRPr="00D555DF" w14:paraId="507A4204" w14:textId="77777777" w:rsidTr="13BFB763">
        <w:trPr>
          <w:trHeight w:val="1609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8A7BC87" w14:textId="540A1813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r w:rsidR="00822E4A"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5F868FA" w14:textId="02C5C261" w:rsidR="00822E4A" w:rsidRPr="00D555DF" w:rsidRDefault="00497CAC" w:rsidP="00E27F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bookmarkStart w:id="2" w:name="_Hlk199937868"/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2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pagrindini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D633C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SGC vertinimo</w:t>
            </w:r>
            <w:r w:rsidR="00D633C4"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ekspert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 patirtis</w:t>
            </w:r>
            <w:bookmarkEnd w:id="2"/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 pastaruosius 5 (penkis) metus</w:t>
            </w:r>
            <w:r w:rsidRPr="000E3321">
              <w:rPr>
                <w:rFonts w:ascii="Arial" w:eastAsia="Arial" w:hAnsi="Arial" w:cs="Arial"/>
                <w:sz w:val="24"/>
                <w:szCs w:val="24"/>
                <w:lang w:eastAsia="ja-JP"/>
              </w:rPr>
              <w:t xml:space="preserve"> </w:t>
            </w:r>
            <w:r w:rsidRPr="000E3321">
              <w:rPr>
                <w:rFonts w:ascii="Times New Roman" w:eastAsia="Arial" w:hAnsi="Times New Roman"/>
                <w:sz w:val="24"/>
                <w:szCs w:val="24"/>
                <w:lang w:eastAsia="ja-JP"/>
              </w:rPr>
              <w:t>dalyvavo vykdant  bent 1 projektą (sutartį), kurio vykdymo metu atliko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SGC vertinimo</w:t>
            </w:r>
            <w:r w:rsidR="00D633C4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analizę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parengė 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SGC vertinimo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metodiką</w:t>
            </w:r>
            <w:r w:rsidR="001D69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/ studiją / gaires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913C36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susijusi</w:t>
            </w:r>
            <w:r w:rsidR="00913C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="00913C36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 statybos sektoriumi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</w:t>
            </w:r>
            <w:r w:rsidR="00760F2E" w:rsidRPr="13BFB763">
              <w:rPr>
                <w:lang w:eastAsia="lt-LT"/>
              </w:rPr>
              <w:t xml:space="preserve"> </w:t>
            </w:r>
            <w:r w:rsidR="00CC6E43" w:rsidRPr="13BFB763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 xml:space="preserve"> (T2).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5E001CE" w14:textId="27CE613B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2</w:t>
            </w:r>
          </w:p>
          <w:p w14:paraId="1050E7B9" w14:textId="77777777" w:rsidR="008F532F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262F85FD" w14:textId="7FA359FB" w:rsidR="00822E4A" w:rsidRPr="00D555DF" w:rsidRDefault="008F532F" w:rsidP="008F53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maks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52686E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083410EE" w14:textId="3D926ED6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2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52686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</w:tr>
      <w:tr w:rsidR="00822E4A" w:rsidRPr="00D555DF" w14:paraId="2B2CE101" w14:textId="77777777" w:rsidTr="13BFB763">
        <w:trPr>
          <w:trHeight w:val="1609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D437F32" w14:textId="484441EF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  <w:r w:rsidR="00822E4A"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829C3C7" w14:textId="77BEA52D" w:rsidR="0052686E" w:rsidRDefault="0052686E" w:rsidP="00E27F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2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pagrindini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AD7BF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SGC vertinimo</w:t>
            </w:r>
            <w:r w:rsidR="00AD7BFE"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ekspert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 papildoma patirtis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:</w:t>
            </w:r>
          </w:p>
          <w:p w14:paraId="43A59B0D" w14:textId="77777777" w:rsidR="0052686E" w:rsidRPr="0052686E" w:rsidRDefault="0052686E" w:rsidP="007B664B">
            <w:pPr>
              <w:pStyle w:val="Sraopastraipa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bookmarkStart w:id="3" w:name="_Hlk199938106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Dalyvavimas tarptautinėse ekspertų grupėse (EU JRC, CEN TC 350, UNEP </w:t>
            </w:r>
            <w:proofErr w:type="spellStart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Life</w:t>
            </w:r>
            <w:proofErr w:type="spellEnd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Cycle</w:t>
            </w:r>
            <w:proofErr w:type="spellEnd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Initiative</w:t>
            </w:r>
            <w:proofErr w:type="spellEnd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ir pan.);</w:t>
            </w:r>
          </w:p>
          <w:p w14:paraId="29D5573E" w14:textId="731B4563" w:rsidR="0052686E" w:rsidRPr="0052686E" w:rsidRDefault="0052686E" w:rsidP="007B664B">
            <w:pPr>
              <w:pStyle w:val="Sraopastraipa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Dalyvavimas nacionalinės ar ES politikos formavime ar standartų kūrime;</w:t>
            </w:r>
          </w:p>
          <w:p w14:paraId="7880A3C9" w14:textId="77777777" w:rsidR="0052686E" w:rsidRPr="0052686E" w:rsidRDefault="0052686E" w:rsidP="007B664B">
            <w:pPr>
              <w:pStyle w:val="Sraopastraipa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Aplinkosauginių produkto deklaracijų (EPD) rengimas pagal EN 15804;</w:t>
            </w:r>
          </w:p>
          <w:p w14:paraId="404CB10C" w14:textId="67D3BA6A" w:rsidR="007B664B" w:rsidRDefault="001563F4" w:rsidP="007B664B">
            <w:pPr>
              <w:pStyle w:val="Sraopastraipa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SGC vertinimo</w:t>
            </w: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2686E"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taikymas pastatų sertifikavimo sistemose (pvz., LEED, BREEAM, DGNB);</w:t>
            </w:r>
          </w:p>
          <w:p w14:paraId="74D77C75" w14:textId="303D638B" w:rsidR="007B664B" w:rsidRPr="00595E56" w:rsidRDefault="007B664B" w:rsidP="00595E56">
            <w:pPr>
              <w:pStyle w:val="Sraopastraipa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bookmarkStart w:id="4" w:name="_Hlk200013323"/>
            <w:r w:rsidRPr="00595E56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Tur</w:t>
            </w:r>
            <w:r w:rsidR="000942CE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i</w:t>
            </w:r>
            <w:r w:rsidRPr="00595E56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bent vieną iš šių sertifikatų arba mokymų išklausymo pažymėjimų (arba lygiavertį):</w:t>
            </w:r>
          </w:p>
          <w:p w14:paraId="09CE94DC" w14:textId="08931299" w:rsidR="007B664B" w:rsidRPr="00702D2B" w:rsidRDefault="007B664B" w:rsidP="00595E56">
            <w:pPr>
              <w:pStyle w:val="Sraopastraipa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5" w:name="_Hlk200013366"/>
            <w:bookmarkEnd w:id="4"/>
            <w:proofErr w:type="spellStart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lastRenderedPageBreak/>
              <w:t>Certified</w:t>
            </w:r>
            <w:proofErr w:type="spellEnd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LCA </w:t>
            </w:r>
            <w:proofErr w:type="spellStart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Practitioner</w:t>
            </w:r>
            <w:proofErr w:type="spellEnd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  <w:p w14:paraId="5531753E" w14:textId="77777777" w:rsidR="007B664B" w:rsidRPr="00702D2B" w:rsidRDefault="007B664B" w:rsidP="00595E56">
            <w:pPr>
              <w:pStyle w:val="Sraopastraipa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6" w:name="_Hlk200013396"/>
            <w:bookmarkEnd w:id="5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One </w:t>
            </w:r>
            <w:proofErr w:type="spellStart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Click</w:t>
            </w:r>
            <w:proofErr w:type="spellEnd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LCA </w:t>
            </w:r>
            <w:proofErr w:type="spellStart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Certified</w:t>
            </w:r>
            <w:proofErr w:type="spellEnd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Professional</w:t>
            </w:r>
          </w:p>
          <w:p w14:paraId="656BA3A3" w14:textId="77777777" w:rsidR="007B664B" w:rsidRPr="00702D2B" w:rsidRDefault="007B664B" w:rsidP="00595E56">
            <w:pPr>
              <w:pStyle w:val="Sraopastraipa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7" w:name="_Hlk200013426"/>
            <w:bookmarkEnd w:id="6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EN 15804 ar ISO 21930 mokymų pažymėjimas</w:t>
            </w:r>
          </w:p>
          <w:p w14:paraId="2173A903" w14:textId="5210023C" w:rsidR="00051BD2" w:rsidRPr="00595E56" w:rsidRDefault="007B664B" w:rsidP="00595E56">
            <w:pPr>
              <w:pStyle w:val="Sraopastraipa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8" w:name="_Hlk200013453"/>
            <w:bookmarkEnd w:id="7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EU </w:t>
            </w:r>
            <w:proofErr w:type="spellStart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Level</w:t>
            </w:r>
            <w:proofErr w:type="spellEnd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(s) sistemos mokymų pažymėjimas</w:t>
            </w:r>
            <w:bookmarkEnd w:id="8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.</w:t>
            </w:r>
            <w:r w:rsid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bookmarkEnd w:id="3"/>
            <w:r w:rsidR="00051BD2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(T</w:t>
            </w:r>
            <w:r w:rsidR="00CC6E43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</w:t>
            </w:r>
            <w:r w:rsidR="00051BD2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6D2797B4" w14:textId="0F5AA362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lastRenderedPageBreak/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</w:p>
          <w:p w14:paraId="69225BB8" w14:textId="77777777" w:rsidR="008F532F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7AA93101" w14:textId="302C1299" w:rsidR="00822E4A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maks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9A6081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>
              <w:rPr>
                <w:rFonts w:ascii="Times New Roman" w:hAnsi="Times New Roman"/>
                <w:sz w:val="23"/>
                <w:szCs w:val="23"/>
              </w:rPr>
              <w:t>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47C9FE48" w14:textId="25D23866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9A608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</w:tbl>
    <w:p w14:paraId="73C0BCD3" w14:textId="77777777" w:rsidR="00822E4A" w:rsidRPr="00E215C2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4418E636" w14:textId="741AE940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 xml:space="preserve">Tiekėjas, išviešindamas </w:t>
      </w:r>
      <w:r w:rsidR="00614FC5">
        <w:rPr>
          <w:rFonts w:ascii="Times New Roman" w:eastAsia="Times New Roman" w:hAnsi="Times New Roman"/>
          <w:sz w:val="24"/>
          <w:szCs w:val="24"/>
        </w:rPr>
        <w:t>siūlomų specialistų</w:t>
      </w:r>
      <w:r w:rsidR="00497CAC">
        <w:rPr>
          <w:rFonts w:ascii="Times New Roman" w:eastAsia="Times New Roman" w:hAnsi="Times New Roman"/>
          <w:sz w:val="24"/>
          <w:szCs w:val="24"/>
        </w:rPr>
        <w:t xml:space="preserve"> ir paslaugų teikimo termino</w:t>
      </w:r>
      <w:r w:rsidR="00614F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>parametrų reikšmes savo pasiūlyme, turi realiai įsivertinti savo galimybes prisiimti įsipareigojimus pasiūlytų reikšmių atžvilgiu visą paslaugų pirkimo sutarties vykdymo laikotarpį.</w:t>
      </w:r>
      <w:r w:rsidR="00051BD2">
        <w:rPr>
          <w:rFonts w:ascii="Times New Roman" w:eastAsia="Times New Roman" w:hAnsi="Times New Roman"/>
          <w:sz w:val="24"/>
          <w:szCs w:val="24"/>
        </w:rPr>
        <w:t xml:space="preserve"> </w:t>
      </w:r>
      <w:r w:rsidR="000F06CD">
        <w:rPr>
          <w:rFonts w:ascii="Times New Roman" w:eastAsia="Times New Roman" w:hAnsi="Times New Roman"/>
          <w:sz w:val="24"/>
          <w:szCs w:val="24"/>
        </w:rPr>
        <w:t>Priešingu atveju, t. y. neužtikrinus š</w:t>
      </w:r>
      <w:r w:rsidR="00051BD2">
        <w:rPr>
          <w:rFonts w:ascii="Times New Roman" w:eastAsia="Times New Roman" w:hAnsi="Times New Roman"/>
          <w:sz w:val="24"/>
          <w:szCs w:val="24"/>
        </w:rPr>
        <w:t>ios sąlygos visą pirkimo sutarties vykdymo laikotarpį</w:t>
      </w:r>
      <w:r w:rsidR="000F06CD">
        <w:rPr>
          <w:rFonts w:ascii="Times New Roman" w:eastAsia="Times New Roman" w:hAnsi="Times New Roman"/>
          <w:sz w:val="24"/>
          <w:szCs w:val="24"/>
        </w:rPr>
        <w:t>, būtų traktuojama, kad</w:t>
      </w:r>
      <w:r w:rsidR="00497CAC">
        <w:rPr>
          <w:rFonts w:ascii="Times New Roman" w:eastAsia="Times New Roman" w:hAnsi="Times New Roman"/>
          <w:sz w:val="24"/>
          <w:szCs w:val="24"/>
        </w:rPr>
        <w:t xml:space="preserve"> sutartis yra vykdoma su nuolatiniais ar dideliais trūkumais</w:t>
      </w:r>
      <w:r w:rsidR="000F06CD">
        <w:rPr>
          <w:rFonts w:ascii="Times New Roman" w:eastAsia="Times New Roman" w:hAnsi="Times New Roman"/>
          <w:sz w:val="24"/>
          <w:szCs w:val="24"/>
        </w:rPr>
        <w:t>.</w:t>
      </w:r>
    </w:p>
    <w:p w14:paraId="0A446D54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E22DC78" w14:textId="77777777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Pasiūlymo ekonominis naudingumas (S) apskaičiuojamas sudedant Paslaugų teikėjo pasiūlymo kainos C ir kokybės kriterijaus (T) balus:</w:t>
      </w:r>
    </w:p>
    <w:p w14:paraId="1A70E733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8624FE3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C2073ED" wp14:editId="140C16A1">
            <wp:extent cx="621665" cy="1828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10B02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C ir T kriterijų balai suapvalinami pagal aritmetines taisykles iki 2 skaitmenų po kablelio.</w:t>
      </w:r>
    </w:p>
    <w:p w14:paraId="718FF54F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AC2D0A3" w14:textId="77777777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Pasiūlymo kainos (</w:t>
      </w:r>
      <w:r w:rsidRPr="00D555DF">
        <w:rPr>
          <w:rFonts w:ascii="Times New Roman" w:eastAsia="Times New Roman" w:hAnsi="Times New Roman"/>
          <w:noProof/>
          <w:position w:val="-6"/>
          <w:sz w:val="24"/>
          <w:szCs w:val="24"/>
          <w:lang w:eastAsia="lt-LT"/>
        </w:rPr>
        <w:drawing>
          <wp:inline distT="0" distB="0" distL="0" distR="0" wp14:anchorId="2ECCD590" wp14:editId="0329BC33">
            <wp:extent cx="155575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balai apskaičiuojami mažiausios pasiūlytos kainos (</w:t>
      </w:r>
      <w:r w:rsidRPr="00D555DF">
        <w:rPr>
          <w:rFonts w:ascii="Times New Roman" w:eastAsia="Times New Roman" w:hAnsi="Times New Roman"/>
          <w:noProof/>
          <w:position w:val="-10"/>
          <w:sz w:val="24"/>
          <w:szCs w:val="24"/>
          <w:lang w:eastAsia="lt-LT"/>
        </w:rPr>
        <w:drawing>
          <wp:inline distT="0" distB="0" distL="0" distR="0" wp14:anchorId="73259D8E" wp14:editId="051A572A">
            <wp:extent cx="301625" cy="207010"/>
            <wp:effectExtent l="0" t="0" r="317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ir vertinamo pasiūlymo kainos (</w:t>
      </w:r>
      <w:r w:rsidRPr="00D555DF">
        <w:rPr>
          <w:rFonts w:ascii="Times New Roman" w:eastAsia="Times New Roman" w:hAnsi="Times New Roman"/>
          <w:noProof/>
          <w:position w:val="-14"/>
          <w:sz w:val="24"/>
          <w:szCs w:val="24"/>
          <w:lang w:eastAsia="lt-LT"/>
        </w:rPr>
        <w:drawing>
          <wp:inline distT="0" distB="0" distL="0" distR="0" wp14:anchorId="5E8E9323" wp14:editId="1EAF9E5A">
            <wp:extent cx="198120" cy="250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santykį padauginant iš kainos lyginamojo svorio (</w:t>
      </w:r>
      <w:r w:rsidRPr="00D555DF">
        <w:rPr>
          <w:rFonts w:ascii="Times New Roman" w:eastAsia="Times New Roman" w:hAnsi="Times New Roman"/>
          <w:i/>
          <w:iCs/>
          <w:sz w:val="24"/>
          <w:szCs w:val="24"/>
        </w:rPr>
        <w:t>X</w:t>
      </w:r>
      <w:r w:rsidRPr="00D555DF">
        <w:rPr>
          <w:rFonts w:ascii="Times New Roman" w:eastAsia="Times New Roman" w:hAnsi="Times New Roman"/>
          <w:sz w:val="24"/>
          <w:szCs w:val="24"/>
        </w:rPr>
        <w:t>):</w:t>
      </w:r>
    </w:p>
    <w:p w14:paraId="5ECAC2AC" w14:textId="77777777" w:rsidR="00822E4A" w:rsidRPr="00D555DF" w:rsidRDefault="00822E4A" w:rsidP="00822E4A">
      <w:pPr>
        <w:tabs>
          <w:tab w:val="center" w:pos="4889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D555DF">
        <w:rPr>
          <w:rFonts w:ascii="Times New Roman" w:hAnsi="Times New Roman"/>
          <w:color w:val="000000"/>
          <w:sz w:val="24"/>
          <w:szCs w:val="24"/>
        </w:rPr>
        <w:tab/>
      </w:r>
      <w:r w:rsidRPr="00D555DF">
        <w:rPr>
          <w:rFonts w:ascii="Times New Roman" w:hAnsi="Times New Roman"/>
          <w:noProof/>
          <w:color w:val="000000"/>
          <w:position w:val="-32"/>
          <w:sz w:val="24"/>
          <w:szCs w:val="24"/>
          <w:lang w:eastAsia="lt-LT"/>
        </w:rPr>
        <w:drawing>
          <wp:inline distT="0" distB="0" distL="0" distR="0" wp14:anchorId="525AA71B" wp14:editId="7AC98A6D">
            <wp:extent cx="828040" cy="448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28F0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27E3A9C" w14:textId="146F5A50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</w:t>
      </w:r>
      <w:r w:rsidR="004D4AAD">
        <w:rPr>
          <w:rFonts w:ascii="Times New Roman" w:eastAsia="Times New Roman" w:hAnsi="Times New Roman"/>
          <w:sz w:val="24"/>
          <w:szCs w:val="24"/>
        </w:rPr>
        <w:t>aus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(T) balai apskaičiuojami sudedant atskirų kriterijų (</w:t>
      </w:r>
      <w:proofErr w:type="spellStart"/>
      <w:r w:rsidRPr="00D555DF">
        <w:rPr>
          <w:rFonts w:ascii="Times New Roman" w:eastAsia="Times New Roman" w:hAnsi="Times New Roman"/>
          <w:sz w:val="24"/>
          <w:szCs w:val="24"/>
        </w:rPr>
        <w:t>T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Pr="00D555DF">
        <w:rPr>
          <w:rFonts w:ascii="Times New Roman" w:eastAsia="Times New Roman" w:hAnsi="Times New Roman"/>
          <w:sz w:val="24"/>
          <w:szCs w:val="24"/>
        </w:rPr>
        <w:t>) balus:</w:t>
      </w:r>
    </w:p>
    <w:p w14:paraId="0F9B27B9" w14:textId="77777777" w:rsidR="00822E4A" w:rsidRPr="00D555DF" w:rsidRDefault="00822E4A" w:rsidP="00822E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E4FAEC3" w14:textId="749327E1" w:rsidR="00822E4A" w:rsidRPr="00D555DF" w:rsidRDefault="004D4AAD" w:rsidP="00822E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4AAD">
        <w:rPr>
          <w:rFonts w:ascii="Times New Roman" w:eastAsia="Times New Roman" w:hAnsi="Times New Roman"/>
          <w:sz w:val="24"/>
          <w:szCs w:val="24"/>
        </w:rPr>
        <w:t>T=T1+T2</w:t>
      </w:r>
      <w:r>
        <w:rPr>
          <w:rFonts w:ascii="Times New Roman" w:eastAsia="Times New Roman" w:hAnsi="Times New Roman"/>
          <w:sz w:val="24"/>
          <w:szCs w:val="24"/>
        </w:rPr>
        <w:t>+T3</w:t>
      </w:r>
    </w:p>
    <w:p w14:paraId="61F03E69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8973E99" w14:textId="77777777" w:rsidR="00822E4A" w:rsidRPr="00822E4A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Kriterijaus (</w:t>
      </w:r>
      <w:proofErr w:type="spellStart"/>
      <w:r w:rsidRPr="00D555DF"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 w:rsidRPr="00D555DF">
        <w:rPr>
          <w:rFonts w:ascii="Times New Roman" w:eastAsia="Times New Roman" w:hAnsi="Times New Roman"/>
          <w:sz w:val="24"/>
          <w:szCs w:val="24"/>
        </w:rPr>
        <w:t>) balai apskaičiuojami kriterijaus parametro (</w:t>
      </w:r>
      <w:proofErr w:type="spellStart"/>
      <w:r w:rsidRPr="00D555DF">
        <w:rPr>
          <w:rFonts w:ascii="Times New Roman" w:eastAsia="Times New Roman" w:hAnsi="Times New Roman"/>
          <w:sz w:val="24"/>
          <w:szCs w:val="24"/>
        </w:rPr>
        <w:t>R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p</w:t>
      </w:r>
      <w:proofErr w:type="spellEnd"/>
      <w:r w:rsidRPr="00D555DF">
        <w:rPr>
          <w:rFonts w:ascii="Times New Roman" w:eastAsia="Times New Roman" w:hAnsi="Times New Roman"/>
          <w:sz w:val="24"/>
          <w:szCs w:val="24"/>
        </w:rPr>
        <w:t>) reikšmę palyginant su geriausia to paties parametro (</w:t>
      </w:r>
      <w:proofErr w:type="spellStart"/>
      <w:r w:rsidRPr="00D555DF">
        <w:rPr>
          <w:rFonts w:ascii="Times New Roman" w:eastAsia="Times New Roman" w:hAnsi="Times New Roman"/>
          <w:sz w:val="24"/>
          <w:szCs w:val="24"/>
        </w:rPr>
        <w:t>R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max</w:t>
      </w:r>
      <w:proofErr w:type="spellEnd"/>
      <w:r w:rsidRPr="00D555DF">
        <w:rPr>
          <w:rFonts w:ascii="Times New Roman" w:eastAsia="Times New Roman" w:hAnsi="Times New Roman"/>
          <w:sz w:val="24"/>
          <w:szCs w:val="24"/>
        </w:rPr>
        <w:t>) reikšme ir santykį padauginant iš vertinamo kriterijaus parametro lyginamojo svorio (</w:t>
      </w:r>
      <w:proofErr w:type="spellStart"/>
      <w:r w:rsidRPr="00D555DF">
        <w:rPr>
          <w:rFonts w:ascii="Times New Roman" w:eastAsia="Times New Roman" w:hAnsi="Times New Roman"/>
          <w:sz w:val="24"/>
          <w:szCs w:val="24"/>
        </w:rPr>
        <w:t>Y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Pr="00D555DF">
        <w:rPr>
          <w:rFonts w:ascii="Times New Roman" w:eastAsia="Times New Roman" w:hAnsi="Times New Roman"/>
          <w:sz w:val="24"/>
          <w:szCs w:val="24"/>
        </w:rPr>
        <w:t>):</w:t>
      </w:r>
    </w:p>
    <w:p w14:paraId="3D496878" w14:textId="77777777" w:rsidR="00822E4A" w:rsidRPr="00D555DF" w:rsidRDefault="00822E4A" w:rsidP="00822E4A">
      <w:pPr>
        <w:spacing w:after="0" w:line="240" w:lineRule="auto"/>
        <w:ind w:left="4516" w:firstLine="3260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T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imax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∙</m:t>
          </m:r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Y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</m:oMath>
      </m:oMathPara>
    </w:p>
    <w:p w14:paraId="4439AB38" w14:textId="77777777" w:rsidR="00822E4A" w:rsidRPr="00D555DF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36A6533" w14:textId="0EDE0CE5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Tiekėjų pasiūlymų pagal kriterijus C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,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T1</w:t>
      </w:r>
      <w:r w:rsidRPr="00D555DF">
        <w:rPr>
          <w:rFonts w:ascii="Times New Roman" w:eastAsia="Times New Roman" w:hAnsi="Times New Roman"/>
          <w:sz w:val="24"/>
          <w:szCs w:val="24"/>
        </w:rPr>
        <w:t>, T2</w:t>
      </w:r>
      <w:r w:rsidR="00D378D7">
        <w:rPr>
          <w:rFonts w:ascii="Times New Roman" w:eastAsia="Times New Roman" w:hAnsi="Times New Roman"/>
          <w:sz w:val="24"/>
          <w:szCs w:val="24"/>
        </w:rPr>
        <w:t xml:space="preserve"> ir</w:t>
      </w:r>
      <w:r w:rsidR="004D4AAD">
        <w:rPr>
          <w:rFonts w:ascii="Times New Roman" w:eastAsia="Times New Roman" w:hAnsi="Times New Roman"/>
          <w:sz w:val="24"/>
          <w:szCs w:val="24"/>
        </w:rPr>
        <w:t xml:space="preserve"> </w:t>
      </w:r>
      <w:r w:rsidR="00614FC5">
        <w:rPr>
          <w:rFonts w:ascii="Times New Roman" w:eastAsia="Times New Roman" w:hAnsi="Times New Roman"/>
          <w:sz w:val="24"/>
          <w:szCs w:val="24"/>
        </w:rPr>
        <w:t>T3</w:t>
      </w:r>
      <w:r w:rsidR="00AF15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vertinimą atlieka </w:t>
      </w:r>
      <w:r w:rsidR="00614FC5">
        <w:rPr>
          <w:rFonts w:ascii="Times New Roman" w:eastAsia="Times New Roman" w:hAnsi="Times New Roman"/>
          <w:sz w:val="24"/>
          <w:szCs w:val="24"/>
        </w:rPr>
        <w:t>perkančiosios organizacijos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viešojo pirkimo komisija (toliau – komisija). </w:t>
      </w:r>
    </w:p>
    <w:p w14:paraId="53B937E8" w14:textId="77777777" w:rsidR="00822E4A" w:rsidRPr="00D555DF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42B21B" w14:textId="1A96D1BF" w:rsidR="00C32303" w:rsidRPr="0058551C" w:rsidRDefault="00822E4A" w:rsidP="0058551C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Kriterijų (T1), (T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2</w:t>
      </w:r>
      <w:r w:rsidR="002C48AC">
        <w:rPr>
          <w:rFonts w:ascii="Times New Roman" w:eastAsia="Times New Roman" w:hAnsi="Times New Roman"/>
          <w:sz w:val="24"/>
          <w:szCs w:val="24"/>
        </w:rPr>
        <w:t>)</w:t>
      </w:r>
      <w:r w:rsidR="00D378D7">
        <w:rPr>
          <w:rFonts w:ascii="Times New Roman" w:eastAsia="Times New Roman" w:hAnsi="Times New Roman"/>
          <w:sz w:val="24"/>
          <w:szCs w:val="24"/>
        </w:rPr>
        <w:t xml:space="preserve"> ir</w:t>
      </w:r>
      <w:r w:rsidR="004D4AAD">
        <w:rPr>
          <w:rFonts w:ascii="Times New Roman" w:eastAsia="Times New Roman" w:hAnsi="Times New Roman"/>
          <w:sz w:val="24"/>
          <w:szCs w:val="24"/>
        </w:rPr>
        <w:t xml:space="preserve"> </w:t>
      </w:r>
      <w:r w:rsidR="002C48AC">
        <w:rPr>
          <w:rFonts w:ascii="Times New Roman" w:eastAsia="Times New Roman" w:hAnsi="Times New Roman"/>
          <w:sz w:val="24"/>
          <w:szCs w:val="24"/>
        </w:rPr>
        <w:t>(</w:t>
      </w:r>
      <w:r w:rsidR="00AF1589">
        <w:rPr>
          <w:rFonts w:ascii="Times New Roman" w:eastAsia="Times New Roman" w:hAnsi="Times New Roman"/>
          <w:sz w:val="24"/>
          <w:szCs w:val="24"/>
        </w:rPr>
        <w:t>T3</w:t>
      </w:r>
      <w:r w:rsidRPr="00D555DF">
        <w:rPr>
          <w:rFonts w:ascii="Times New Roman" w:eastAsia="Times New Roman" w:hAnsi="Times New Roman"/>
          <w:sz w:val="24"/>
          <w:szCs w:val="24"/>
        </w:rPr>
        <w:t>) vertinimas:</w:t>
      </w:r>
    </w:p>
    <w:p w14:paraId="428167B7" w14:textId="77777777" w:rsidR="009A122F" w:rsidRPr="009A122F" w:rsidRDefault="009A122F" w:rsidP="00EB75CE">
      <w:pPr>
        <w:pStyle w:val="Sraopastraipa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6F958A9" w14:textId="41588EFC" w:rsidR="00FF57AE" w:rsidRPr="009A122F" w:rsidRDefault="00FF57AE" w:rsidP="009A122F">
      <w:pPr>
        <w:pStyle w:val="Sraopastraipa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B75CE">
        <w:rPr>
          <w:rFonts w:ascii="Times New Roman" w:eastAsia="Times New Roman" w:hAnsi="Times New Roman"/>
          <w:b/>
          <w:sz w:val="24"/>
          <w:szCs w:val="24"/>
        </w:rPr>
        <w:t>T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bookmarkStart w:id="9" w:name="_Hlk199937770"/>
      <w:r w:rsidR="009A122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Pr="009A12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Pr="009A122F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4D4AAD" w:rsidRPr="009A122F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1 – Projekto vadovo</w:t>
      </w:r>
      <w:r w:rsidR="004D4AAD" w:rsidRPr="009A122F">
        <w:rPr>
          <w:rFonts w:ascii="Times New Roman" w:eastAsia="Times New Roman" w:hAnsi="Times New Roman"/>
          <w:sz w:val="24"/>
          <w:szCs w:val="24"/>
        </w:rPr>
        <w:t xml:space="preserve"> </w:t>
      </w:r>
      <w:r w:rsidR="004D4AAD" w:rsidRPr="009A122F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122F">
        <w:rPr>
          <w:rFonts w:ascii="Times New Roman" w:hAnsi="Times New Roman"/>
          <w:i/>
          <w:iCs/>
          <w:sz w:val="24"/>
          <w:szCs w:val="24"/>
        </w:rPr>
        <w:t>duomenys tik apie tinkamai įvykdytus projektus (projektų skaičius vnt.), jei jų skaičius didesnis už 1 (pvz.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jei asmuo turi patirties tinkamai įgyvendinant tik 1 projektą, </w:t>
      </w:r>
      <w:r w:rsidR="00D44291" w:rsidRPr="00D44291">
        <w:rPr>
          <w:rFonts w:ascii="Times New Roman" w:hAnsi="Times New Roman"/>
          <w:i/>
          <w:iCs/>
          <w:sz w:val="24"/>
          <w:szCs w:val="24"/>
        </w:rPr>
        <w:t>tuomet į vertinimo formulę rašoma R reikšmė 0</w:t>
      </w:r>
      <w:r w:rsidRPr="009A122F">
        <w:rPr>
          <w:rFonts w:ascii="Times New Roman" w:hAnsi="Times New Roman"/>
          <w:i/>
          <w:iCs/>
          <w:sz w:val="24"/>
          <w:szCs w:val="24"/>
        </w:rPr>
        <w:t>, jei 2 projektus, į vertinimo formulę rašoma</w:t>
      </w:r>
      <w:r w:rsidR="008579E6" w:rsidRPr="009A122F">
        <w:rPr>
          <w:rFonts w:ascii="Times New Roman" w:hAnsi="Times New Roman"/>
          <w:i/>
          <w:iCs/>
          <w:sz w:val="24"/>
          <w:szCs w:val="24"/>
        </w:rPr>
        <w:t xml:space="preserve"> R reikšmė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>2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, 3 projektus 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>–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>4, 4 projektus</w:t>
      </w:r>
      <w:r w:rsidR="006D0CE5">
        <w:rPr>
          <w:rFonts w:ascii="Times New Roman" w:hAnsi="Times New Roman"/>
          <w:i/>
          <w:iCs/>
          <w:sz w:val="24"/>
          <w:szCs w:val="24"/>
        </w:rPr>
        <w:t xml:space="preserve"> ir daugiau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 xml:space="preserve"> – 6</w:t>
      </w:r>
      <w:r w:rsidRPr="009A122F">
        <w:rPr>
          <w:rFonts w:ascii="Times New Roman" w:hAnsi="Times New Roman"/>
          <w:i/>
          <w:iCs/>
          <w:sz w:val="24"/>
          <w:szCs w:val="24"/>
        </w:rPr>
        <w:t>.</w:t>
      </w:r>
      <w:bookmarkEnd w:id="9"/>
    </w:p>
    <w:p w14:paraId="32A479E2" w14:textId="4E6E364F" w:rsidR="00822E4A" w:rsidRPr="009D16DC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6AE49CAE" w14:textId="0DBED552" w:rsidR="00822E4A" w:rsidRPr="009D16DC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specialistas, vertinamas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tik </w:t>
      </w:r>
      <w:r w:rsidR="00D267BB">
        <w:rPr>
          <w:rFonts w:ascii="Times New Roman" w:eastAsia="Times New Roman" w:hAnsi="Times New Roman"/>
          <w:sz w:val="24"/>
          <w:szCs w:val="24"/>
        </w:rPr>
        <w:t>daugiausiai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įgyvendintų projektų turintis specialistas. </w:t>
      </w:r>
    </w:p>
    <w:p w14:paraId="5F5BA749" w14:textId="0A015DCA" w:rsidR="00822E4A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tik </w:t>
      </w:r>
      <w:r w:rsidR="00C9641E">
        <w:rPr>
          <w:rFonts w:ascii="Times New Roman" w:eastAsia="Times New Roman" w:hAnsi="Times New Roman"/>
          <w:sz w:val="24"/>
          <w:szCs w:val="24"/>
        </w:rPr>
        <w:t xml:space="preserve">vienareikšmiškai traktuotina ir </w:t>
      </w:r>
      <w:r w:rsidR="008579E6">
        <w:rPr>
          <w:rFonts w:ascii="Times New Roman" w:eastAsia="Times New Roman" w:hAnsi="Times New Roman"/>
          <w:sz w:val="24"/>
          <w:szCs w:val="24"/>
        </w:rPr>
        <w:t xml:space="preserve">akivaizdžiai </w:t>
      </w:r>
      <w:r w:rsidR="00C9641E">
        <w:rPr>
          <w:rFonts w:ascii="Times New Roman" w:eastAsia="Times New Roman" w:hAnsi="Times New Roman"/>
          <w:sz w:val="24"/>
          <w:szCs w:val="24"/>
        </w:rPr>
        <w:t xml:space="preserve">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 apie patirtį</w:t>
      </w:r>
      <w:r w:rsidR="00C9641E">
        <w:rPr>
          <w:rFonts w:ascii="Times New Roman" w:eastAsia="Times New Roman" w:hAnsi="Times New Roman"/>
          <w:sz w:val="24"/>
          <w:szCs w:val="24"/>
        </w:rPr>
        <w:t>,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 įgytą iki </w:t>
      </w:r>
      <w:r w:rsidR="00C9641E">
        <w:rPr>
          <w:rFonts w:ascii="Times New Roman" w:eastAsia="Times New Roman" w:hAnsi="Times New Roman"/>
          <w:sz w:val="24"/>
          <w:szCs w:val="24"/>
        </w:rPr>
        <w:t>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0B9106D2" w14:textId="77777777" w:rsidR="00EB75CE" w:rsidRPr="009D16DC" w:rsidRDefault="00EB75CE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F1201D2" w14:textId="77777777" w:rsidR="009A122F" w:rsidRPr="009A122F" w:rsidRDefault="009A122F" w:rsidP="002C2AAB">
      <w:pPr>
        <w:pStyle w:val="Sraopastraipa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358F387" w14:textId="455B48DF" w:rsidR="00A66D38" w:rsidRPr="00D44291" w:rsidRDefault="00AF1589" w:rsidP="009A122F">
      <w:pPr>
        <w:pStyle w:val="Sraopastraipa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44291">
        <w:rPr>
          <w:rFonts w:ascii="Times New Roman" w:eastAsia="Times New Roman" w:hAnsi="Times New Roman"/>
          <w:b/>
          <w:sz w:val="24"/>
          <w:szCs w:val="24"/>
        </w:rPr>
        <w:lastRenderedPageBreak/>
        <w:t>T2</w:t>
      </w:r>
      <w:bookmarkStart w:id="10" w:name="_Hlk199937971"/>
      <w:r w:rsidR="009A122F" w:rsidRPr="00D442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0D267BB" w:rsidRPr="00D44291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D267BB" w:rsidRPr="00D4429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2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pagrindinio </w:t>
      </w:r>
      <w:r w:rsidR="008C401D">
        <w:rPr>
          <w:rFonts w:ascii="Times New Roman" w:eastAsia="Times New Roman" w:hAnsi="Times New Roman"/>
          <w:b/>
          <w:sz w:val="24"/>
          <w:szCs w:val="24"/>
          <w:lang w:eastAsia="lt-LT"/>
        </w:rPr>
        <w:t>SGC vertinimo</w:t>
      </w:r>
      <w:r w:rsidR="008C401D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>eksperto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duomenys tik apie tinkamai įvykdytus projektus (projektų skaičius vnt.), jei jų skaičius didesnis už 1 (pvz., jei asmuo turi patirties tinkamai įgyvendinant tik 1 projektą, </w:t>
      </w:r>
      <w:r w:rsidR="0058551C" w:rsidRPr="0058551C">
        <w:rPr>
          <w:rFonts w:ascii="Times New Roman" w:hAnsi="Times New Roman"/>
          <w:i/>
          <w:iCs/>
          <w:sz w:val="24"/>
          <w:szCs w:val="24"/>
        </w:rPr>
        <w:t>tuomet į vertinimo formulę rašoma R reikšmė 0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 jei 2 projektus, į vertinimo formulę rašoma R reikšmė 2, 3 projektus – 4, 4 projektus – 6, 5 projektus ir daugiau - 8.</w:t>
      </w:r>
      <w:bookmarkEnd w:id="10"/>
    </w:p>
    <w:p w14:paraId="58C765AA" w14:textId="6D0A562C" w:rsidR="004B05CB" w:rsidRPr="009D16DC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7494183A" w14:textId="50511923" w:rsidR="004B05CB" w:rsidRPr="009D16DC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specialistas, vertinamas </w:t>
      </w:r>
      <w:r>
        <w:rPr>
          <w:rFonts w:ascii="Times New Roman" w:eastAsia="Times New Roman" w:hAnsi="Times New Roman"/>
          <w:sz w:val="24"/>
          <w:szCs w:val="24"/>
        </w:rPr>
        <w:t xml:space="preserve">tik </w:t>
      </w:r>
      <w:r w:rsidR="00D267BB">
        <w:rPr>
          <w:rFonts w:ascii="Times New Roman" w:eastAsia="Times New Roman" w:hAnsi="Times New Roman"/>
          <w:sz w:val="24"/>
          <w:szCs w:val="24"/>
        </w:rPr>
        <w:t>didžiausią</w:t>
      </w:r>
      <w:r>
        <w:rPr>
          <w:rFonts w:ascii="Times New Roman" w:eastAsia="Times New Roman" w:hAnsi="Times New Roman"/>
          <w:sz w:val="24"/>
          <w:szCs w:val="24"/>
        </w:rPr>
        <w:t xml:space="preserve"> (iš pasiūlytų)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patirtį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turintis specialistas. </w:t>
      </w:r>
    </w:p>
    <w:p w14:paraId="7072515E" w14:textId="2071CB5D" w:rsidR="004B05CB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>
        <w:rPr>
          <w:rFonts w:ascii="Times New Roman" w:eastAsia="Times New Roman" w:hAnsi="Times New Roman"/>
          <w:sz w:val="24"/>
          <w:szCs w:val="24"/>
        </w:rPr>
        <w:t xml:space="preserve">tik vienareikšmiškai traktuotina ir akivaizdžiai 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>
        <w:rPr>
          <w:rFonts w:ascii="Times New Roman" w:eastAsia="Times New Roman" w:hAnsi="Times New Roman"/>
          <w:sz w:val="24"/>
          <w:szCs w:val="24"/>
        </w:rPr>
        <w:t xml:space="preserve"> apie patirtį, įgytą iki 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136B3327" w14:textId="77777777" w:rsidR="00EB75CE" w:rsidRPr="00D555DF" w:rsidRDefault="00EB75CE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3741B41" w14:textId="77777777" w:rsidR="009A122F" w:rsidRPr="009A122F" w:rsidRDefault="009A122F" w:rsidP="002C2AAB">
      <w:pPr>
        <w:pStyle w:val="Sraopastraipa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CD1ECD6" w14:textId="3B59B939" w:rsidR="00A66D38" w:rsidRPr="00D44291" w:rsidRDefault="004B05CB" w:rsidP="009A122F">
      <w:pPr>
        <w:pStyle w:val="Sraopastraipa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T3</w:t>
      </w:r>
      <w:r w:rsidR="009A122F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0D267BB" w:rsidRPr="00D44291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D267BB" w:rsidRPr="00D4429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2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pagrindinio </w:t>
      </w:r>
      <w:r w:rsidR="008C401D">
        <w:rPr>
          <w:rFonts w:ascii="Times New Roman" w:eastAsia="Times New Roman" w:hAnsi="Times New Roman"/>
          <w:b/>
          <w:sz w:val="24"/>
          <w:szCs w:val="24"/>
          <w:lang w:eastAsia="lt-LT"/>
        </w:rPr>
        <w:t>SGC vertinimo</w:t>
      </w:r>
      <w:r w:rsidR="008C401D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>eksperto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papildomos </w:t>
      </w:r>
      <w:r w:rsidR="00D267BB" w:rsidRPr="00D44291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duomenys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: 1) 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Dalyvavimas tarptautinėse ekspertų grupėse (EU JRC, CEN TC 350, UNEP </w:t>
      </w:r>
      <w:proofErr w:type="spellStart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Life</w:t>
      </w:r>
      <w:proofErr w:type="spellEnd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Cycle</w:t>
      </w:r>
      <w:proofErr w:type="spellEnd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Initiative</w:t>
      </w:r>
      <w:proofErr w:type="spellEnd"/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ir pan.), 2) Dalyvavimas nacionalinės ar ES politikos formavime ar standartų kūrime; 3) Aplinkosauginių produkto deklaracijų (EPD) rengimas pagal EN 15804; 4) </w:t>
      </w:r>
      <w:r w:rsidR="00601349">
        <w:rPr>
          <w:rFonts w:ascii="Times New Roman" w:eastAsia="Times New Roman" w:hAnsi="Times New Roman"/>
          <w:bCs/>
          <w:sz w:val="24"/>
          <w:szCs w:val="24"/>
          <w:lang w:eastAsia="lt-LT"/>
        </w:rPr>
        <w:t>SGC vertinimo</w:t>
      </w:r>
      <w:r w:rsidR="00601349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taikymas pastatų sertifikavimo sistemose (pvz., LEED, BREEAM, DGNB)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; 5)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Turi bent vieną iš šių sertifikatų arba mokymų išklausymo pažymėjimų (arba lygiavertį):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a) </w:t>
      </w:r>
      <w:proofErr w:type="spellStart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Certified</w:t>
      </w:r>
      <w:proofErr w:type="spellEnd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LCA </w:t>
      </w:r>
      <w:proofErr w:type="spellStart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Practitioner</w:t>
      </w:r>
      <w:proofErr w:type="spellEnd"/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, b)</w:t>
      </w:r>
      <w:r w:rsidR="00595E56" w:rsidRPr="00595E56">
        <w:t xml:space="preserve">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One </w:t>
      </w:r>
      <w:proofErr w:type="spellStart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Click</w:t>
      </w:r>
      <w:proofErr w:type="spellEnd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LCA </w:t>
      </w:r>
      <w:proofErr w:type="spellStart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Certified</w:t>
      </w:r>
      <w:proofErr w:type="spellEnd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Professional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c)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EN 15804 ar ISO 21930 mokymų pažymėjimas</w:t>
      </w:r>
      <w:r w:rsidR="00595E56">
        <w:t>,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EU </w:t>
      </w:r>
      <w:proofErr w:type="spellStart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Level</w:t>
      </w:r>
      <w:proofErr w:type="spellEnd"/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(s) sistemos mokymų pažymėjimas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. Tai yra,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jei asmuo turi patirties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 vienoje iš nurodytų papildomai vertinamų patirčių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</w:t>
      </w:r>
      <w:r w:rsidR="009A122F" w:rsidRPr="00D44291">
        <w:rPr>
          <w:rFonts w:ascii="Times New Roman" w:hAnsi="Times New Roman"/>
          <w:i/>
          <w:iCs/>
          <w:sz w:val="24"/>
          <w:szCs w:val="24"/>
        </w:rPr>
        <w:t xml:space="preserve"> tuomet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į vertinimo formulę rašoma R reikšmė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1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dvejose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2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trejose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3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 keturiose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A48BC">
        <w:rPr>
          <w:rFonts w:ascii="Times New Roman" w:hAnsi="Times New Roman"/>
          <w:i/>
          <w:iCs/>
          <w:sz w:val="24"/>
          <w:szCs w:val="24"/>
        </w:rPr>
        <w:t>–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4</w:t>
      </w:r>
      <w:r w:rsidR="001A48BC">
        <w:rPr>
          <w:rFonts w:ascii="Times New Roman" w:hAnsi="Times New Roman"/>
          <w:i/>
          <w:iCs/>
          <w:sz w:val="24"/>
          <w:szCs w:val="24"/>
        </w:rPr>
        <w:t>, penkiose</w:t>
      </w:r>
      <w:r w:rsidR="001A48BC" w:rsidRPr="00D44291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1A48BC">
        <w:rPr>
          <w:rFonts w:ascii="Times New Roman" w:hAnsi="Times New Roman"/>
          <w:i/>
          <w:iCs/>
          <w:sz w:val="24"/>
          <w:szCs w:val="24"/>
        </w:rPr>
        <w:t>6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.</w:t>
      </w:r>
    </w:p>
    <w:p w14:paraId="341217C3" w14:textId="77777777" w:rsidR="00A66D38" w:rsidRPr="009D16DC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352661EB" w14:textId="5B0E2AD8" w:rsidR="00A66D38" w:rsidRPr="009D16DC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specialistas, vertinamas </w:t>
      </w:r>
      <w:r>
        <w:rPr>
          <w:rFonts w:ascii="Times New Roman" w:eastAsia="Times New Roman" w:hAnsi="Times New Roman"/>
          <w:sz w:val="24"/>
          <w:szCs w:val="24"/>
        </w:rPr>
        <w:t xml:space="preserve">tik </w:t>
      </w:r>
      <w:r w:rsidR="000F7D9F">
        <w:rPr>
          <w:rFonts w:ascii="Times New Roman" w:eastAsia="Times New Roman" w:hAnsi="Times New Roman"/>
          <w:sz w:val="24"/>
          <w:szCs w:val="24"/>
        </w:rPr>
        <w:t>didžiausią</w:t>
      </w:r>
      <w:r>
        <w:rPr>
          <w:rFonts w:ascii="Times New Roman" w:eastAsia="Times New Roman" w:hAnsi="Times New Roman"/>
          <w:sz w:val="24"/>
          <w:szCs w:val="24"/>
        </w:rPr>
        <w:t xml:space="preserve"> (iš pasiūlytų)</w:t>
      </w:r>
      <w:r w:rsidR="000F7D9F">
        <w:rPr>
          <w:rFonts w:ascii="Times New Roman" w:eastAsia="Times New Roman" w:hAnsi="Times New Roman"/>
          <w:sz w:val="24"/>
          <w:szCs w:val="24"/>
        </w:rPr>
        <w:t xml:space="preserve"> papildomą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patirtį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turintis specialistas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1C873230" w14:textId="7AE02B80" w:rsidR="00A66D38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>
        <w:rPr>
          <w:rFonts w:ascii="Times New Roman" w:eastAsia="Times New Roman" w:hAnsi="Times New Roman"/>
          <w:sz w:val="24"/>
          <w:szCs w:val="24"/>
        </w:rPr>
        <w:t xml:space="preserve">tik vienareikšmiškai traktuotina ir akivaizdžiai 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>
        <w:rPr>
          <w:rFonts w:ascii="Times New Roman" w:eastAsia="Times New Roman" w:hAnsi="Times New Roman"/>
          <w:sz w:val="24"/>
          <w:szCs w:val="24"/>
        </w:rPr>
        <w:t xml:space="preserve"> apie </w:t>
      </w:r>
      <w:r w:rsidR="000F7D9F">
        <w:rPr>
          <w:rFonts w:ascii="Times New Roman" w:eastAsia="Times New Roman" w:hAnsi="Times New Roman"/>
          <w:sz w:val="24"/>
          <w:szCs w:val="24"/>
        </w:rPr>
        <w:t xml:space="preserve">papildomą </w:t>
      </w:r>
      <w:r>
        <w:rPr>
          <w:rFonts w:ascii="Times New Roman" w:eastAsia="Times New Roman" w:hAnsi="Times New Roman"/>
          <w:sz w:val="24"/>
          <w:szCs w:val="24"/>
        </w:rPr>
        <w:t>patirtį, įgytą iki 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522C43CF" w14:textId="1EC5F5E6" w:rsidR="00822E4A" w:rsidRDefault="00822E4A" w:rsidP="000F7D9F">
      <w:pPr>
        <w:pStyle w:val="Sraopastraipa"/>
        <w:snapToGri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bookmarkStart w:id="11" w:name="_Hlk199938295"/>
    </w:p>
    <w:p w14:paraId="2AC1E934" w14:textId="77777777" w:rsidR="00D378D7" w:rsidRDefault="00D378D7" w:rsidP="000F7D9F">
      <w:pPr>
        <w:pStyle w:val="Sraopastraipa"/>
        <w:snapToGri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bookmarkEnd w:id="11"/>
    <w:p w14:paraId="75EDB6FE" w14:textId="77777777" w:rsidR="00A66D38" w:rsidRDefault="00A66D38" w:rsidP="00A66D38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22398C41" w14:textId="2321551F" w:rsidR="00A66D38" w:rsidRPr="002C2AAB" w:rsidRDefault="00A66D38" w:rsidP="00A66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2A2F">
        <w:rPr>
          <w:rFonts w:ascii="Times New Roman" w:hAnsi="Times New Roman"/>
          <w:b/>
          <w:bCs/>
          <w:color w:val="00000A"/>
          <w:sz w:val="24"/>
          <w:szCs w:val="24"/>
        </w:rPr>
        <w:t>Pastaba.</w:t>
      </w:r>
      <w:r>
        <w:rPr>
          <w:rFonts w:ascii="Times New Roman" w:hAnsi="Times New Roman"/>
          <w:color w:val="00000A"/>
          <w:sz w:val="24"/>
          <w:szCs w:val="24"/>
        </w:rPr>
        <w:t xml:space="preserve"> Jei vertinimo metu iškiltų poreikis atlikti veiksmus, kai daliklis būtų 0, tuomet vietoj reikšmės, kai </w:t>
      </w:r>
      <w:proofErr w:type="spellStart"/>
      <w:r w:rsidR="00CF012F">
        <w:rPr>
          <w:rFonts w:ascii="Times New Roman" w:hAnsi="Times New Roman"/>
          <w:color w:val="00000A"/>
          <w:sz w:val="24"/>
          <w:szCs w:val="24"/>
        </w:rPr>
        <w:t>Ri</w:t>
      </w:r>
      <w:proofErr w:type="spellEnd"/>
      <w:r w:rsidR="00CF012F">
        <w:rPr>
          <w:rFonts w:ascii="Times New Roman" w:hAnsi="Times New Roman"/>
          <w:color w:val="00000A"/>
          <w:sz w:val="24"/>
          <w:szCs w:val="24"/>
        </w:rPr>
        <w:t xml:space="preserve">=0, veiksmai būtų atliekami su </w:t>
      </w:r>
      <w:proofErr w:type="spellStart"/>
      <w:r w:rsidR="00CF012F">
        <w:rPr>
          <w:rFonts w:ascii="Times New Roman" w:hAnsi="Times New Roman"/>
          <w:color w:val="00000A"/>
          <w:sz w:val="24"/>
          <w:szCs w:val="24"/>
        </w:rPr>
        <w:t>Ri</w:t>
      </w:r>
      <w:proofErr w:type="spellEnd"/>
      <w:r w:rsidR="00CF012F">
        <w:rPr>
          <w:rFonts w:ascii="Times New Roman" w:hAnsi="Times New Roman"/>
          <w:color w:val="00000A"/>
          <w:sz w:val="24"/>
          <w:szCs w:val="24"/>
        </w:rPr>
        <w:t xml:space="preserve">=0,01 (vietoj </w:t>
      </w:r>
      <w:proofErr w:type="spellStart"/>
      <w:r w:rsidR="00CF012F">
        <w:rPr>
          <w:rFonts w:ascii="Times New Roman" w:hAnsi="Times New Roman"/>
          <w:color w:val="00000A"/>
          <w:sz w:val="24"/>
          <w:szCs w:val="24"/>
        </w:rPr>
        <w:t>Ri</w:t>
      </w:r>
      <w:proofErr w:type="spellEnd"/>
      <w:r w:rsidR="00CF012F">
        <w:rPr>
          <w:rFonts w:ascii="Times New Roman" w:hAnsi="Times New Roman"/>
          <w:color w:val="00000A"/>
          <w:sz w:val="24"/>
          <w:szCs w:val="24"/>
        </w:rPr>
        <w:t>=0).</w:t>
      </w:r>
    </w:p>
    <w:sectPr w:rsidR="00A66D38" w:rsidRPr="002C2AAB" w:rsidSect="003E075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7"/>
    <w:multiLevelType w:val="hybridMultilevel"/>
    <w:tmpl w:val="88BAB1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3C0"/>
    <w:multiLevelType w:val="multilevel"/>
    <w:tmpl w:val="E0628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E869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143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8316A"/>
    <w:multiLevelType w:val="multilevel"/>
    <w:tmpl w:val="E0FA9C48"/>
    <w:lvl w:ilvl="0">
      <w:start w:val="1"/>
      <w:numFmt w:val="decimal"/>
      <w:lvlText w:val="%1."/>
      <w:lvlJc w:val="left"/>
      <w:pPr>
        <w:ind w:left="2465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2705" w:hanging="720"/>
      </w:pPr>
    </w:lvl>
    <w:lvl w:ilvl="4">
      <w:start w:val="1"/>
      <w:numFmt w:val="decimal"/>
      <w:lvlText w:val="%1.%2.%3.%4.%5."/>
      <w:lvlJc w:val="left"/>
      <w:pPr>
        <w:ind w:left="3065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25" w:hanging="1440"/>
      </w:pPr>
    </w:lvl>
    <w:lvl w:ilvl="7">
      <w:start w:val="1"/>
      <w:numFmt w:val="decimal"/>
      <w:lvlText w:val="%1.%2.%3.%4.%5.%6.%7.%8."/>
      <w:lvlJc w:val="left"/>
      <w:pPr>
        <w:ind w:left="3425" w:hanging="1440"/>
      </w:pPr>
    </w:lvl>
    <w:lvl w:ilvl="8">
      <w:start w:val="1"/>
      <w:numFmt w:val="decimal"/>
      <w:lvlText w:val="%1.%2.%3.%4.%5.%6.%7.%8.%9."/>
      <w:lvlJc w:val="left"/>
      <w:pPr>
        <w:ind w:left="3785" w:hanging="1800"/>
      </w:pPr>
    </w:lvl>
  </w:abstractNum>
  <w:abstractNum w:abstractNumId="5" w15:restartNumberingAfterBreak="0">
    <w:nsid w:val="28A745EA"/>
    <w:multiLevelType w:val="hybridMultilevel"/>
    <w:tmpl w:val="072A355E"/>
    <w:lvl w:ilvl="0" w:tplc="A530C7C4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060CE"/>
    <w:multiLevelType w:val="multilevel"/>
    <w:tmpl w:val="293AD8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275B72"/>
    <w:multiLevelType w:val="hybridMultilevel"/>
    <w:tmpl w:val="59266550"/>
    <w:lvl w:ilvl="0" w:tplc="293439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3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FB05B2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62D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2472"/>
    <w:multiLevelType w:val="hybridMultilevel"/>
    <w:tmpl w:val="BB427B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1AC1"/>
    <w:multiLevelType w:val="multilevel"/>
    <w:tmpl w:val="AA760E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40006"/>
    <w:multiLevelType w:val="multilevel"/>
    <w:tmpl w:val="BBF65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0E39"/>
    <w:multiLevelType w:val="multilevel"/>
    <w:tmpl w:val="976EFE9C"/>
    <w:lvl w:ilvl="0">
      <w:start w:val="1"/>
      <w:numFmt w:val="decimal"/>
      <w:lvlText w:val="2.%1.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6982F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2416CB"/>
    <w:multiLevelType w:val="hybridMultilevel"/>
    <w:tmpl w:val="43487EB8"/>
    <w:lvl w:ilvl="0" w:tplc="0427000F">
      <w:start w:val="1"/>
      <w:numFmt w:val="decimal"/>
      <w:lvlText w:val="%1."/>
      <w:lvlJc w:val="left"/>
      <w:pPr>
        <w:ind w:left="1760" w:hanging="360"/>
      </w:pPr>
    </w:lvl>
    <w:lvl w:ilvl="1" w:tplc="04270019" w:tentative="1">
      <w:start w:val="1"/>
      <w:numFmt w:val="lowerLetter"/>
      <w:lvlText w:val="%2."/>
      <w:lvlJc w:val="left"/>
      <w:pPr>
        <w:ind w:left="2480" w:hanging="360"/>
      </w:pPr>
    </w:lvl>
    <w:lvl w:ilvl="2" w:tplc="0427001B" w:tentative="1">
      <w:start w:val="1"/>
      <w:numFmt w:val="lowerRoman"/>
      <w:lvlText w:val="%3."/>
      <w:lvlJc w:val="right"/>
      <w:pPr>
        <w:ind w:left="3200" w:hanging="180"/>
      </w:pPr>
    </w:lvl>
    <w:lvl w:ilvl="3" w:tplc="0427000F" w:tentative="1">
      <w:start w:val="1"/>
      <w:numFmt w:val="decimal"/>
      <w:lvlText w:val="%4."/>
      <w:lvlJc w:val="left"/>
      <w:pPr>
        <w:ind w:left="3920" w:hanging="360"/>
      </w:pPr>
    </w:lvl>
    <w:lvl w:ilvl="4" w:tplc="04270019" w:tentative="1">
      <w:start w:val="1"/>
      <w:numFmt w:val="lowerLetter"/>
      <w:lvlText w:val="%5."/>
      <w:lvlJc w:val="left"/>
      <w:pPr>
        <w:ind w:left="4640" w:hanging="360"/>
      </w:pPr>
    </w:lvl>
    <w:lvl w:ilvl="5" w:tplc="0427001B" w:tentative="1">
      <w:start w:val="1"/>
      <w:numFmt w:val="lowerRoman"/>
      <w:lvlText w:val="%6."/>
      <w:lvlJc w:val="right"/>
      <w:pPr>
        <w:ind w:left="5360" w:hanging="180"/>
      </w:pPr>
    </w:lvl>
    <w:lvl w:ilvl="6" w:tplc="0427000F" w:tentative="1">
      <w:start w:val="1"/>
      <w:numFmt w:val="decimal"/>
      <w:lvlText w:val="%7."/>
      <w:lvlJc w:val="left"/>
      <w:pPr>
        <w:ind w:left="6080" w:hanging="360"/>
      </w:pPr>
    </w:lvl>
    <w:lvl w:ilvl="7" w:tplc="04270019" w:tentative="1">
      <w:start w:val="1"/>
      <w:numFmt w:val="lowerLetter"/>
      <w:lvlText w:val="%8."/>
      <w:lvlJc w:val="left"/>
      <w:pPr>
        <w:ind w:left="6800" w:hanging="360"/>
      </w:pPr>
    </w:lvl>
    <w:lvl w:ilvl="8" w:tplc="0427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436FEE"/>
    <w:multiLevelType w:val="hybridMultilevel"/>
    <w:tmpl w:val="B7FCF236"/>
    <w:lvl w:ilvl="0" w:tplc="42C4D214">
      <w:start w:val="10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69861967"/>
    <w:multiLevelType w:val="hybridMultilevel"/>
    <w:tmpl w:val="5100DC0C"/>
    <w:lvl w:ilvl="0" w:tplc="E0C2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A0F05"/>
    <w:multiLevelType w:val="multilevel"/>
    <w:tmpl w:val="4F7E26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706BA"/>
    <w:multiLevelType w:val="hybridMultilevel"/>
    <w:tmpl w:val="9E0A4B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33DC"/>
    <w:multiLevelType w:val="hybridMultilevel"/>
    <w:tmpl w:val="511CF6DA"/>
    <w:lvl w:ilvl="0" w:tplc="AF8E45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04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249109">
    <w:abstractNumId w:val="12"/>
  </w:num>
  <w:num w:numId="2" w16cid:durableId="507015338">
    <w:abstractNumId w:val="17"/>
  </w:num>
  <w:num w:numId="3" w16cid:durableId="995260864">
    <w:abstractNumId w:val="18"/>
  </w:num>
  <w:num w:numId="4" w16cid:durableId="1717463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5695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526785">
    <w:abstractNumId w:val="6"/>
  </w:num>
  <w:num w:numId="7" w16cid:durableId="153036044">
    <w:abstractNumId w:val="19"/>
  </w:num>
  <w:num w:numId="8" w16cid:durableId="1242985333">
    <w:abstractNumId w:val="21"/>
  </w:num>
  <w:num w:numId="9" w16cid:durableId="1770814378">
    <w:abstractNumId w:val="2"/>
  </w:num>
  <w:num w:numId="10" w16cid:durableId="1148085550">
    <w:abstractNumId w:val="3"/>
  </w:num>
  <w:num w:numId="11" w16cid:durableId="1628733090">
    <w:abstractNumId w:val="5"/>
  </w:num>
  <w:num w:numId="12" w16cid:durableId="357128399">
    <w:abstractNumId w:val="22"/>
  </w:num>
  <w:num w:numId="13" w16cid:durableId="2111002380">
    <w:abstractNumId w:val="1"/>
  </w:num>
  <w:num w:numId="14" w16cid:durableId="531382322">
    <w:abstractNumId w:val="10"/>
  </w:num>
  <w:num w:numId="15" w16cid:durableId="2031756675">
    <w:abstractNumId w:val="8"/>
  </w:num>
  <w:num w:numId="16" w16cid:durableId="264265050">
    <w:abstractNumId w:val="16"/>
  </w:num>
  <w:num w:numId="17" w16cid:durableId="1871063122">
    <w:abstractNumId w:val="15"/>
  </w:num>
  <w:num w:numId="18" w16cid:durableId="271937213">
    <w:abstractNumId w:val="13"/>
  </w:num>
  <w:num w:numId="19" w16cid:durableId="813638980">
    <w:abstractNumId w:val="7"/>
  </w:num>
  <w:num w:numId="20" w16cid:durableId="712769990">
    <w:abstractNumId w:val="11"/>
  </w:num>
  <w:num w:numId="21" w16cid:durableId="1965455388">
    <w:abstractNumId w:val="9"/>
  </w:num>
  <w:num w:numId="22" w16cid:durableId="243615878">
    <w:abstractNumId w:val="20"/>
  </w:num>
  <w:num w:numId="23" w16cid:durableId="17877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51"/>
    <w:rsid w:val="000041D3"/>
    <w:rsid w:val="00005B57"/>
    <w:rsid w:val="00011B69"/>
    <w:rsid w:val="00012643"/>
    <w:rsid w:val="00014549"/>
    <w:rsid w:val="00016CB6"/>
    <w:rsid w:val="000229F9"/>
    <w:rsid w:val="00030531"/>
    <w:rsid w:val="0003257A"/>
    <w:rsid w:val="000329DA"/>
    <w:rsid w:val="00042B5F"/>
    <w:rsid w:val="00051BD2"/>
    <w:rsid w:val="0005498B"/>
    <w:rsid w:val="000578DB"/>
    <w:rsid w:val="00062FD5"/>
    <w:rsid w:val="00066234"/>
    <w:rsid w:val="00086F13"/>
    <w:rsid w:val="00090643"/>
    <w:rsid w:val="00093F3F"/>
    <w:rsid w:val="000942CE"/>
    <w:rsid w:val="000A4F0E"/>
    <w:rsid w:val="000B1EB8"/>
    <w:rsid w:val="000F06CD"/>
    <w:rsid w:val="000F73AE"/>
    <w:rsid w:val="000F7D9F"/>
    <w:rsid w:val="001017DE"/>
    <w:rsid w:val="001039ED"/>
    <w:rsid w:val="00104B08"/>
    <w:rsid w:val="00104F52"/>
    <w:rsid w:val="00113CC9"/>
    <w:rsid w:val="001227A2"/>
    <w:rsid w:val="0012609C"/>
    <w:rsid w:val="001305AF"/>
    <w:rsid w:val="001539B8"/>
    <w:rsid w:val="00154DB1"/>
    <w:rsid w:val="001563F4"/>
    <w:rsid w:val="001666DC"/>
    <w:rsid w:val="00173C1F"/>
    <w:rsid w:val="0018032D"/>
    <w:rsid w:val="00193728"/>
    <w:rsid w:val="001A2EBE"/>
    <w:rsid w:val="001A48BC"/>
    <w:rsid w:val="001B1337"/>
    <w:rsid w:val="001C01D8"/>
    <w:rsid w:val="001C22AE"/>
    <w:rsid w:val="001C2C0F"/>
    <w:rsid w:val="001D59CD"/>
    <w:rsid w:val="001D5F08"/>
    <w:rsid w:val="001D6939"/>
    <w:rsid w:val="001E0C57"/>
    <w:rsid w:val="001E1B90"/>
    <w:rsid w:val="001E3EF3"/>
    <w:rsid w:val="001E6130"/>
    <w:rsid w:val="001E6843"/>
    <w:rsid w:val="001F1136"/>
    <w:rsid w:val="001F4258"/>
    <w:rsid w:val="001F749A"/>
    <w:rsid w:val="002011F8"/>
    <w:rsid w:val="00202D31"/>
    <w:rsid w:val="00231BA5"/>
    <w:rsid w:val="002368DC"/>
    <w:rsid w:val="0024532F"/>
    <w:rsid w:val="002461AC"/>
    <w:rsid w:val="00264B3B"/>
    <w:rsid w:val="00265E46"/>
    <w:rsid w:val="00271276"/>
    <w:rsid w:val="00275A48"/>
    <w:rsid w:val="0029178A"/>
    <w:rsid w:val="00291F9E"/>
    <w:rsid w:val="00296BF3"/>
    <w:rsid w:val="002A7862"/>
    <w:rsid w:val="002B7BC8"/>
    <w:rsid w:val="002C2AAB"/>
    <w:rsid w:val="002C48AC"/>
    <w:rsid w:val="002D4103"/>
    <w:rsid w:val="002D5658"/>
    <w:rsid w:val="002E3908"/>
    <w:rsid w:val="002E3A7A"/>
    <w:rsid w:val="002F0C44"/>
    <w:rsid w:val="002F5682"/>
    <w:rsid w:val="002F7B35"/>
    <w:rsid w:val="002F7B51"/>
    <w:rsid w:val="00306422"/>
    <w:rsid w:val="003160AB"/>
    <w:rsid w:val="00321D32"/>
    <w:rsid w:val="00335D2D"/>
    <w:rsid w:val="003509E6"/>
    <w:rsid w:val="00363A41"/>
    <w:rsid w:val="00365F26"/>
    <w:rsid w:val="00365FE5"/>
    <w:rsid w:val="00366FD5"/>
    <w:rsid w:val="00371CA1"/>
    <w:rsid w:val="00373B6C"/>
    <w:rsid w:val="003750A5"/>
    <w:rsid w:val="00375F8E"/>
    <w:rsid w:val="0037635A"/>
    <w:rsid w:val="00380133"/>
    <w:rsid w:val="00381165"/>
    <w:rsid w:val="00385F7E"/>
    <w:rsid w:val="00386C92"/>
    <w:rsid w:val="00396268"/>
    <w:rsid w:val="003A2D05"/>
    <w:rsid w:val="003A7EE0"/>
    <w:rsid w:val="003B0003"/>
    <w:rsid w:val="003B16FD"/>
    <w:rsid w:val="003B76FD"/>
    <w:rsid w:val="003C0EC1"/>
    <w:rsid w:val="003C228B"/>
    <w:rsid w:val="003D3ED0"/>
    <w:rsid w:val="003D5495"/>
    <w:rsid w:val="003D5D71"/>
    <w:rsid w:val="003D745B"/>
    <w:rsid w:val="003E0751"/>
    <w:rsid w:val="003E121F"/>
    <w:rsid w:val="003E15BC"/>
    <w:rsid w:val="003E2972"/>
    <w:rsid w:val="003E29C0"/>
    <w:rsid w:val="003E3B0F"/>
    <w:rsid w:val="003F252D"/>
    <w:rsid w:val="003F5CEE"/>
    <w:rsid w:val="004006F1"/>
    <w:rsid w:val="004037FB"/>
    <w:rsid w:val="00417DF9"/>
    <w:rsid w:val="00422BBE"/>
    <w:rsid w:val="00431AA2"/>
    <w:rsid w:val="00431CA5"/>
    <w:rsid w:val="0043359C"/>
    <w:rsid w:val="00433FEE"/>
    <w:rsid w:val="00437990"/>
    <w:rsid w:val="00437F7F"/>
    <w:rsid w:val="00447A54"/>
    <w:rsid w:val="00451258"/>
    <w:rsid w:val="00463787"/>
    <w:rsid w:val="00464F85"/>
    <w:rsid w:val="00476093"/>
    <w:rsid w:val="004805E6"/>
    <w:rsid w:val="00481019"/>
    <w:rsid w:val="0048488A"/>
    <w:rsid w:val="004926CB"/>
    <w:rsid w:val="00494FEB"/>
    <w:rsid w:val="00495732"/>
    <w:rsid w:val="00496C27"/>
    <w:rsid w:val="00497CAC"/>
    <w:rsid w:val="004A4400"/>
    <w:rsid w:val="004A5349"/>
    <w:rsid w:val="004A788C"/>
    <w:rsid w:val="004B05CB"/>
    <w:rsid w:val="004B0F5B"/>
    <w:rsid w:val="004B15BB"/>
    <w:rsid w:val="004B5E16"/>
    <w:rsid w:val="004C0FC8"/>
    <w:rsid w:val="004C44A0"/>
    <w:rsid w:val="004C661E"/>
    <w:rsid w:val="004D06D5"/>
    <w:rsid w:val="004D2A0F"/>
    <w:rsid w:val="004D4AAD"/>
    <w:rsid w:val="004D7FFC"/>
    <w:rsid w:val="004E0416"/>
    <w:rsid w:val="004F0952"/>
    <w:rsid w:val="004F15D3"/>
    <w:rsid w:val="004F2273"/>
    <w:rsid w:val="004F4A0F"/>
    <w:rsid w:val="004F4DD3"/>
    <w:rsid w:val="00502ACC"/>
    <w:rsid w:val="0051072A"/>
    <w:rsid w:val="005107A0"/>
    <w:rsid w:val="00511F8C"/>
    <w:rsid w:val="00515852"/>
    <w:rsid w:val="00523AF9"/>
    <w:rsid w:val="0052686E"/>
    <w:rsid w:val="0053006E"/>
    <w:rsid w:val="00537548"/>
    <w:rsid w:val="00541A1F"/>
    <w:rsid w:val="00546FAC"/>
    <w:rsid w:val="0055159C"/>
    <w:rsid w:val="00553FE3"/>
    <w:rsid w:val="00556B3A"/>
    <w:rsid w:val="00564F70"/>
    <w:rsid w:val="00572389"/>
    <w:rsid w:val="0058037F"/>
    <w:rsid w:val="0058551C"/>
    <w:rsid w:val="00595E56"/>
    <w:rsid w:val="005A03C7"/>
    <w:rsid w:val="005A1B47"/>
    <w:rsid w:val="005B3711"/>
    <w:rsid w:val="005C431F"/>
    <w:rsid w:val="005D1C93"/>
    <w:rsid w:val="005D2249"/>
    <w:rsid w:val="005E7F8F"/>
    <w:rsid w:val="005F3297"/>
    <w:rsid w:val="005F65A8"/>
    <w:rsid w:val="00601349"/>
    <w:rsid w:val="006013DF"/>
    <w:rsid w:val="00607597"/>
    <w:rsid w:val="00614FC5"/>
    <w:rsid w:val="0061567C"/>
    <w:rsid w:val="00622F2D"/>
    <w:rsid w:val="0062512D"/>
    <w:rsid w:val="00634B06"/>
    <w:rsid w:val="00641CAA"/>
    <w:rsid w:val="00642230"/>
    <w:rsid w:val="00652B9B"/>
    <w:rsid w:val="006600E1"/>
    <w:rsid w:val="006608AF"/>
    <w:rsid w:val="00663ECA"/>
    <w:rsid w:val="00677BA8"/>
    <w:rsid w:val="00684DBD"/>
    <w:rsid w:val="006902AE"/>
    <w:rsid w:val="006944A7"/>
    <w:rsid w:val="0069712D"/>
    <w:rsid w:val="006A3F57"/>
    <w:rsid w:val="006C6362"/>
    <w:rsid w:val="006D0CE5"/>
    <w:rsid w:val="006D448E"/>
    <w:rsid w:val="006D6344"/>
    <w:rsid w:val="006D7285"/>
    <w:rsid w:val="006E0BC8"/>
    <w:rsid w:val="006E137A"/>
    <w:rsid w:val="006F0F3B"/>
    <w:rsid w:val="006F6662"/>
    <w:rsid w:val="006F7874"/>
    <w:rsid w:val="00701445"/>
    <w:rsid w:val="00702606"/>
    <w:rsid w:val="007046CB"/>
    <w:rsid w:val="00705BC5"/>
    <w:rsid w:val="00706A61"/>
    <w:rsid w:val="00707148"/>
    <w:rsid w:val="0072586A"/>
    <w:rsid w:val="00725C22"/>
    <w:rsid w:val="00734C75"/>
    <w:rsid w:val="00735743"/>
    <w:rsid w:val="00736F22"/>
    <w:rsid w:val="00737DE3"/>
    <w:rsid w:val="007430FE"/>
    <w:rsid w:val="00744386"/>
    <w:rsid w:val="00750817"/>
    <w:rsid w:val="007550C6"/>
    <w:rsid w:val="00760F2E"/>
    <w:rsid w:val="00767D22"/>
    <w:rsid w:val="00770735"/>
    <w:rsid w:val="0078440C"/>
    <w:rsid w:val="00786589"/>
    <w:rsid w:val="00786E6D"/>
    <w:rsid w:val="007922A5"/>
    <w:rsid w:val="00797F4F"/>
    <w:rsid w:val="007A1368"/>
    <w:rsid w:val="007A28D9"/>
    <w:rsid w:val="007B664B"/>
    <w:rsid w:val="007B7516"/>
    <w:rsid w:val="007D5D14"/>
    <w:rsid w:val="007E20F1"/>
    <w:rsid w:val="007F0EE1"/>
    <w:rsid w:val="007F149B"/>
    <w:rsid w:val="007F1F92"/>
    <w:rsid w:val="007F4E72"/>
    <w:rsid w:val="00822E4A"/>
    <w:rsid w:val="008269A1"/>
    <w:rsid w:val="00827D58"/>
    <w:rsid w:val="00833317"/>
    <w:rsid w:val="00834705"/>
    <w:rsid w:val="0083573B"/>
    <w:rsid w:val="00835CED"/>
    <w:rsid w:val="00836327"/>
    <w:rsid w:val="00836DDB"/>
    <w:rsid w:val="00847997"/>
    <w:rsid w:val="00853352"/>
    <w:rsid w:val="008579E6"/>
    <w:rsid w:val="008622B9"/>
    <w:rsid w:val="008638DC"/>
    <w:rsid w:val="00865D59"/>
    <w:rsid w:val="00884E62"/>
    <w:rsid w:val="008B5607"/>
    <w:rsid w:val="008B634D"/>
    <w:rsid w:val="008B6549"/>
    <w:rsid w:val="008B6A6D"/>
    <w:rsid w:val="008B71A8"/>
    <w:rsid w:val="008C0D8B"/>
    <w:rsid w:val="008C1DC3"/>
    <w:rsid w:val="008C401D"/>
    <w:rsid w:val="008C715F"/>
    <w:rsid w:val="008D636D"/>
    <w:rsid w:val="008F20BE"/>
    <w:rsid w:val="008F29C9"/>
    <w:rsid w:val="008F3CDA"/>
    <w:rsid w:val="008F532F"/>
    <w:rsid w:val="00913C36"/>
    <w:rsid w:val="009173C4"/>
    <w:rsid w:val="0092172C"/>
    <w:rsid w:val="00923A05"/>
    <w:rsid w:val="00925829"/>
    <w:rsid w:val="00926DCF"/>
    <w:rsid w:val="009270D2"/>
    <w:rsid w:val="00934301"/>
    <w:rsid w:val="00940B38"/>
    <w:rsid w:val="00946E03"/>
    <w:rsid w:val="00952BFC"/>
    <w:rsid w:val="00956FE8"/>
    <w:rsid w:val="00965E0E"/>
    <w:rsid w:val="00966AB3"/>
    <w:rsid w:val="00983B3E"/>
    <w:rsid w:val="00986E21"/>
    <w:rsid w:val="00992FDE"/>
    <w:rsid w:val="009A122F"/>
    <w:rsid w:val="009A52D3"/>
    <w:rsid w:val="009A6081"/>
    <w:rsid w:val="009B0A44"/>
    <w:rsid w:val="009C54BE"/>
    <w:rsid w:val="009C5709"/>
    <w:rsid w:val="009D16DC"/>
    <w:rsid w:val="009D487B"/>
    <w:rsid w:val="009D4CE6"/>
    <w:rsid w:val="009D5150"/>
    <w:rsid w:val="009F3BD1"/>
    <w:rsid w:val="009F4395"/>
    <w:rsid w:val="009F7C34"/>
    <w:rsid w:val="00A01691"/>
    <w:rsid w:val="00A021BA"/>
    <w:rsid w:val="00A138E4"/>
    <w:rsid w:val="00A16F9F"/>
    <w:rsid w:val="00A3196A"/>
    <w:rsid w:val="00A327FA"/>
    <w:rsid w:val="00A3348A"/>
    <w:rsid w:val="00A447AF"/>
    <w:rsid w:val="00A451C9"/>
    <w:rsid w:val="00A50C7E"/>
    <w:rsid w:val="00A544B4"/>
    <w:rsid w:val="00A55B0C"/>
    <w:rsid w:val="00A55B91"/>
    <w:rsid w:val="00A66D38"/>
    <w:rsid w:val="00A74714"/>
    <w:rsid w:val="00A844FC"/>
    <w:rsid w:val="00A84B65"/>
    <w:rsid w:val="00A84F38"/>
    <w:rsid w:val="00AB3330"/>
    <w:rsid w:val="00AC5A08"/>
    <w:rsid w:val="00AD7BFE"/>
    <w:rsid w:val="00AE0D81"/>
    <w:rsid w:val="00AE5003"/>
    <w:rsid w:val="00AE56F0"/>
    <w:rsid w:val="00AE5D5B"/>
    <w:rsid w:val="00AE746D"/>
    <w:rsid w:val="00AF1589"/>
    <w:rsid w:val="00AF7322"/>
    <w:rsid w:val="00B01807"/>
    <w:rsid w:val="00B05995"/>
    <w:rsid w:val="00B10C17"/>
    <w:rsid w:val="00B14EDF"/>
    <w:rsid w:val="00B41054"/>
    <w:rsid w:val="00B421B7"/>
    <w:rsid w:val="00B52F49"/>
    <w:rsid w:val="00B53BEF"/>
    <w:rsid w:val="00B54CBC"/>
    <w:rsid w:val="00B652CD"/>
    <w:rsid w:val="00B75AD8"/>
    <w:rsid w:val="00B8578C"/>
    <w:rsid w:val="00B85FB7"/>
    <w:rsid w:val="00BB32B1"/>
    <w:rsid w:val="00BC78C6"/>
    <w:rsid w:val="00BC7E9F"/>
    <w:rsid w:val="00BD0A3F"/>
    <w:rsid w:val="00BD21AD"/>
    <w:rsid w:val="00BD4CC9"/>
    <w:rsid w:val="00BD679D"/>
    <w:rsid w:val="00BE580D"/>
    <w:rsid w:val="00BE6180"/>
    <w:rsid w:val="00BE7A34"/>
    <w:rsid w:val="00BF26C0"/>
    <w:rsid w:val="00BF3BC0"/>
    <w:rsid w:val="00BF58C7"/>
    <w:rsid w:val="00C05AAC"/>
    <w:rsid w:val="00C14DA6"/>
    <w:rsid w:val="00C15AE5"/>
    <w:rsid w:val="00C21629"/>
    <w:rsid w:val="00C217F8"/>
    <w:rsid w:val="00C22C62"/>
    <w:rsid w:val="00C3147A"/>
    <w:rsid w:val="00C32303"/>
    <w:rsid w:val="00C32DDD"/>
    <w:rsid w:val="00C43CC9"/>
    <w:rsid w:val="00C505BD"/>
    <w:rsid w:val="00C53861"/>
    <w:rsid w:val="00C57D3C"/>
    <w:rsid w:val="00C707FF"/>
    <w:rsid w:val="00C72E4A"/>
    <w:rsid w:val="00C7644E"/>
    <w:rsid w:val="00C76A75"/>
    <w:rsid w:val="00C8125A"/>
    <w:rsid w:val="00C82CFA"/>
    <w:rsid w:val="00C84942"/>
    <w:rsid w:val="00C93433"/>
    <w:rsid w:val="00C9641E"/>
    <w:rsid w:val="00C97A77"/>
    <w:rsid w:val="00CC565C"/>
    <w:rsid w:val="00CC6E43"/>
    <w:rsid w:val="00CD23D8"/>
    <w:rsid w:val="00CD7304"/>
    <w:rsid w:val="00CE3533"/>
    <w:rsid w:val="00CE372F"/>
    <w:rsid w:val="00CF012F"/>
    <w:rsid w:val="00CF0A65"/>
    <w:rsid w:val="00CF3F79"/>
    <w:rsid w:val="00CF5395"/>
    <w:rsid w:val="00CF6869"/>
    <w:rsid w:val="00CF6DCA"/>
    <w:rsid w:val="00D0040A"/>
    <w:rsid w:val="00D16057"/>
    <w:rsid w:val="00D236E5"/>
    <w:rsid w:val="00D267BB"/>
    <w:rsid w:val="00D30B61"/>
    <w:rsid w:val="00D36F28"/>
    <w:rsid w:val="00D378CC"/>
    <w:rsid w:val="00D378D7"/>
    <w:rsid w:val="00D402BF"/>
    <w:rsid w:val="00D41508"/>
    <w:rsid w:val="00D44291"/>
    <w:rsid w:val="00D54845"/>
    <w:rsid w:val="00D555DF"/>
    <w:rsid w:val="00D633C4"/>
    <w:rsid w:val="00D67743"/>
    <w:rsid w:val="00D75307"/>
    <w:rsid w:val="00D80929"/>
    <w:rsid w:val="00D8615B"/>
    <w:rsid w:val="00D8730F"/>
    <w:rsid w:val="00D9257B"/>
    <w:rsid w:val="00D95CF1"/>
    <w:rsid w:val="00DA3A61"/>
    <w:rsid w:val="00DA604C"/>
    <w:rsid w:val="00DB255B"/>
    <w:rsid w:val="00DB6EF4"/>
    <w:rsid w:val="00DC4C53"/>
    <w:rsid w:val="00DE0609"/>
    <w:rsid w:val="00DE0EB9"/>
    <w:rsid w:val="00DE2F95"/>
    <w:rsid w:val="00DF2FAF"/>
    <w:rsid w:val="00DF32C8"/>
    <w:rsid w:val="00E0279D"/>
    <w:rsid w:val="00E10133"/>
    <w:rsid w:val="00E1188F"/>
    <w:rsid w:val="00E203A4"/>
    <w:rsid w:val="00E27FCA"/>
    <w:rsid w:val="00E32C4C"/>
    <w:rsid w:val="00E332EF"/>
    <w:rsid w:val="00E35FF4"/>
    <w:rsid w:val="00E40158"/>
    <w:rsid w:val="00E52A2F"/>
    <w:rsid w:val="00E530D4"/>
    <w:rsid w:val="00E6058B"/>
    <w:rsid w:val="00E63B5E"/>
    <w:rsid w:val="00E6498C"/>
    <w:rsid w:val="00E75DCA"/>
    <w:rsid w:val="00EA2656"/>
    <w:rsid w:val="00EA3D65"/>
    <w:rsid w:val="00EA522C"/>
    <w:rsid w:val="00EB6418"/>
    <w:rsid w:val="00EB7169"/>
    <w:rsid w:val="00EB75CE"/>
    <w:rsid w:val="00EC0CCF"/>
    <w:rsid w:val="00EC5DD6"/>
    <w:rsid w:val="00EC69C7"/>
    <w:rsid w:val="00EE00DF"/>
    <w:rsid w:val="00EE57CA"/>
    <w:rsid w:val="00EF1E0E"/>
    <w:rsid w:val="00EF2977"/>
    <w:rsid w:val="00EF52DE"/>
    <w:rsid w:val="00F06FE8"/>
    <w:rsid w:val="00F07BDD"/>
    <w:rsid w:val="00F26DBB"/>
    <w:rsid w:val="00F52298"/>
    <w:rsid w:val="00F55893"/>
    <w:rsid w:val="00F55D6A"/>
    <w:rsid w:val="00F57A4B"/>
    <w:rsid w:val="00F63500"/>
    <w:rsid w:val="00F63A31"/>
    <w:rsid w:val="00F77D9A"/>
    <w:rsid w:val="00FC3693"/>
    <w:rsid w:val="00FD076D"/>
    <w:rsid w:val="00FD3C48"/>
    <w:rsid w:val="00FD4AE0"/>
    <w:rsid w:val="00FD5302"/>
    <w:rsid w:val="00FE44D7"/>
    <w:rsid w:val="00FE721D"/>
    <w:rsid w:val="00FF1A0C"/>
    <w:rsid w:val="00FF30CE"/>
    <w:rsid w:val="00FF414A"/>
    <w:rsid w:val="00FF57AE"/>
    <w:rsid w:val="0207D38E"/>
    <w:rsid w:val="04FDFB13"/>
    <w:rsid w:val="07692D01"/>
    <w:rsid w:val="08E56DEB"/>
    <w:rsid w:val="096E7377"/>
    <w:rsid w:val="09DABCAD"/>
    <w:rsid w:val="13BFB763"/>
    <w:rsid w:val="1474815C"/>
    <w:rsid w:val="16C545E3"/>
    <w:rsid w:val="17D681BD"/>
    <w:rsid w:val="1B8B2509"/>
    <w:rsid w:val="1CADEB2F"/>
    <w:rsid w:val="2070779C"/>
    <w:rsid w:val="207B3385"/>
    <w:rsid w:val="24418D28"/>
    <w:rsid w:val="287597E9"/>
    <w:rsid w:val="2AA8238C"/>
    <w:rsid w:val="2B44DA4A"/>
    <w:rsid w:val="2DD84172"/>
    <w:rsid w:val="2E575809"/>
    <w:rsid w:val="301FBCFC"/>
    <w:rsid w:val="305F7234"/>
    <w:rsid w:val="31F113AF"/>
    <w:rsid w:val="3332EAE7"/>
    <w:rsid w:val="33D6BDEC"/>
    <w:rsid w:val="3437B6F7"/>
    <w:rsid w:val="3475C60F"/>
    <w:rsid w:val="3976A798"/>
    <w:rsid w:val="3D1BDED2"/>
    <w:rsid w:val="3E7879DA"/>
    <w:rsid w:val="3EBAA90A"/>
    <w:rsid w:val="40149269"/>
    <w:rsid w:val="412610AE"/>
    <w:rsid w:val="46AA572B"/>
    <w:rsid w:val="4B9C3235"/>
    <w:rsid w:val="4BEF8DFD"/>
    <w:rsid w:val="4EAF7834"/>
    <w:rsid w:val="4EE7508E"/>
    <w:rsid w:val="546443DA"/>
    <w:rsid w:val="564278AE"/>
    <w:rsid w:val="57581E53"/>
    <w:rsid w:val="5AE418C1"/>
    <w:rsid w:val="5D1CF11F"/>
    <w:rsid w:val="61D9AFDD"/>
    <w:rsid w:val="62107E75"/>
    <w:rsid w:val="63907BCB"/>
    <w:rsid w:val="64101867"/>
    <w:rsid w:val="6692CC52"/>
    <w:rsid w:val="6C0201EF"/>
    <w:rsid w:val="6C8B077B"/>
    <w:rsid w:val="6CFCE15C"/>
    <w:rsid w:val="7037491B"/>
    <w:rsid w:val="78387789"/>
    <w:rsid w:val="78A4B05A"/>
    <w:rsid w:val="7B4F87C8"/>
    <w:rsid w:val="7B9AE988"/>
    <w:rsid w:val="7E6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ACB8"/>
  <w15:chartTrackingRefBased/>
  <w15:docId w15:val="{3F934D29-1CC3-423F-945D-E73F4E0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D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1">
    <w:name w:val="heading 1"/>
    <w:basedOn w:val="prastasis"/>
    <w:link w:val="Antrat1Diagrama"/>
    <w:autoRedefine/>
    <w:uiPriority w:val="9"/>
    <w:qFormat/>
    <w:rsid w:val="003E2972"/>
    <w:pPr>
      <w:keepNext/>
      <w:keepLines/>
      <w:spacing w:before="240" w:after="240" w:line="240" w:lineRule="auto"/>
      <w:ind w:firstLine="680"/>
      <w:jc w:val="both"/>
      <w:outlineLvl w:val="0"/>
    </w:pPr>
    <w:rPr>
      <w:rFonts w:ascii="Times New Roman" w:eastAsia="Times New Roman" w:hAnsi="Times New Roman"/>
      <w:b/>
      <w:bCs/>
      <w:caps/>
      <w:sz w:val="24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66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3E0751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751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751"/>
    <w:rPr>
      <w:rFonts w:ascii="Calibri" w:eastAsia="Calibri" w:hAnsi="Calibri"/>
      <w:sz w:val="22"/>
      <w:szCs w:val="22"/>
    </w:rPr>
  </w:style>
  <w:style w:type="paragraph" w:styleId="Sraopastraipa">
    <w:name w:val="List Paragraph"/>
    <w:aliases w:val="LP,List Paragraph1,SGC veiklų ID,Buletai,Bullet EY,List Paragraph21,List Paragraph2,lp1,Bullet 1,Use Case List Paragraph,Numbering,ERP-List Paragraph,List Paragraph11,List Paragraph111,Paragraph,List Paragraph Red,Bullet Number,lp11"/>
    <w:basedOn w:val="prastasis"/>
    <w:link w:val="SraopastraipaDiagrama"/>
    <w:uiPriority w:val="34"/>
    <w:qFormat/>
    <w:rsid w:val="003E0751"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751"/>
    <w:rPr>
      <w:rFonts w:ascii="Segoe UI" w:eastAsia="Calibr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7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07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3E0751"/>
    <w:rPr>
      <w:color w:val="808080"/>
    </w:rPr>
  </w:style>
  <w:style w:type="table" w:styleId="Lentelstinklelis">
    <w:name w:val="Table Grid"/>
    <w:basedOn w:val="prastojilentel"/>
    <w:uiPriority w:val="39"/>
    <w:rsid w:val="0085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B3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125A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E2972"/>
    <w:rPr>
      <w:rFonts w:eastAsia="Times New Roman"/>
      <w:b/>
      <w:bCs/>
      <w:caps/>
      <w:sz w:val="24"/>
      <w:lang w:val="en-US"/>
    </w:rPr>
  </w:style>
  <w:style w:type="character" w:customStyle="1" w:styleId="SraopastraipaDiagrama">
    <w:name w:val="Sąrašo pastraipa Diagrama"/>
    <w:aliases w:val="LP Diagrama,List Paragraph1 Diagrama,SGC veiklų ID Diagrama,Buletai Diagrama,Bullet EY Diagrama,List Paragraph21 Diagrama,List Paragraph2 Diagrama,lp1 Diagrama,Bullet 1 Diagrama,Use Case List Paragraph Diagrama,lp11 Diagrama"/>
    <w:basedOn w:val="Numatytasispastraiposriftas"/>
    <w:link w:val="Sraopastraipa"/>
    <w:rsid w:val="003E29C0"/>
    <w:rPr>
      <w:rFonts w:ascii="Calibri" w:eastAsia="Calibri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E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1E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E0E"/>
    <w:rPr>
      <w:rFonts w:ascii="Calibri" w:eastAsia="Calibri" w:hAnsi="Calibr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1E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1E0E"/>
    <w:rPr>
      <w:rFonts w:ascii="Calibri" w:eastAsia="Calibri" w:hAnsi="Calibri"/>
      <w:b/>
      <w:bCs/>
    </w:rPr>
  </w:style>
  <w:style w:type="paragraph" w:customStyle="1" w:styleId="Patvirtinta">
    <w:name w:val="Patvirtinta"/>
    <w:rsid w:val="00E530D4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styleId="Pataisymai">
    <w:name w:val="Revision"/>
    <w:hidden/>
    <w:uiPriority w:val="99"/>
    <w:semiHidden/>
    <w:rsid w:val="00923A05"/>
    <w:rPr>
      <w:rFonts w:ascii="Calibri" w:eastAsia="Calibri" w:hAnsi="Calibri"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664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0af7b-b145-438f-b99c-ba3f0edc2bd2">
      <Terms xmlns="http://schemas.microsoft.com/office/infopath/2007/PartnerControls"/>
    </lcf76f155ced4ddcb4097134ff3c332f>
    <TaxCatchAll xmlns="c3ea11f3-c99f-44ed-a6e8-08e5edd5b0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7C5957DC4D24F9B53629A40708123" ma:contentTypeVersion="11" ma:contentTypeDescription="Create a new document." ma:contentTypeScope="" ma:versionID="c682d75becd5147a660fb4b5966053bc">
  <xsd:schema xmlns:xsd="http://www.w3.org/2001/XMLSchema" xmlns:xs="http://www.w3.org/2001/XMLSchema" xmlns:p="http://schemas.microsoft.com/office/2006/metadata/properties" xmlns:ns2="9470af7b-b145-438f-b99c-ba3f0edc2bd2" xmlns:ns3="c3ea11f3-c99f-44ed-a6e8-08e5edd5b059" targetNamespace="http://schemas.microsoft.com/office/2006/metadata/properties" ma:root="true" ma:fieldsID="0432e27950eaeb4bc894896ec3264a37" ns2:_="" ns3:_="">
    <xsd:import namespace="9470af7b-b145-438f-b99c-ba3f0edc2bd2"/>
    <xsd:import namespace="c3ea11f3-c99f-44ed-a6e8-08e5edd5b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0af7b-b145-438f-b99c-ba3f0edc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4cf862-12b4-46aa-9fd1-23146477f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11f3-c99f-44ed-a6e8-08e5edd5b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1c6c2-8c1e-41a1-835b-97f93fe53018}" ma:internalName="TaxCatchAll" ma:showField="CatchAllData" ma:web="c3ea11f3-c99f-44ed-a6e8-08e5edd5b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149F-DCF3-4D13-A067-AA15B897A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C4FC3-FC3B-4457-BA09-23749968F87E}">
  <ds:schemaRefs>
    <ds:schemaRef ds:uri="http://schemas.microsoft.com/office/2006/metadata/properties"/>
    <ds:schemaRef ds:uri="http://schemas.microsoft.com/office/infopath/2007/PartnerControls"/>
    <ds:schemaRef ds:uri="9470af7b-b145-438f-b99c-ba3f0edc2bd2"/>
    <ds:schemaRef ds:uri="c3ea11f3-c99f-44ed-a6e8-08e5edd5b059"/>
  </ds:schemaRefs>
</ds:datastoreItem>
</file>

<file path=customXml/itemProps3.xml><?xml version="1.0" encoding="utf-8"?>
<ds:datastoreItem xmlns:ds="http://schemas.openxmlformats.org/officeDocument/2006/customXml" ds:itemID="{85F682DD-B231-4DA9-BE12-35789828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0af7b-b145-438f-b99c-ba3f0edc2bd2"/>
    <ds:schemaRef ds:uri="c3ea11f3-c99f-44ed-a6e8-08e5edd5b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82A1E-8054-487F-93A4-7B6CC5E0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4328</Words>
  <Characters>2467</Characters>
  <Application>Microsoft Office Word</Application>
  <DocSecurity>0</DocSecurity>
  <Lines>20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Gauronskis</dc:creator>
  <cp:keywords/>
  <dc:description/>
  <cp:lastModifiedBy>Žygimantas Norkus</cp:lastModifiedBy>
  <cp:revision>7</cp:revision>
  <cp:lastPrinted>2022-01-19T12:06:00Z</cp:lastPrinted>
  <dcterms:created xsi:type="dcterms:W3CDTF">2025-07-03T13:47:00Z</dcterms:created>
  <dcterms:modified xsi:type="dcterms:W3CDTF">2025-07-11T07:08:00Z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0x010100E167C5957DC4D24F9B53629A40708123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2023-11-04T18:36:35Z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7d0c2e9d-b962-4240-bfaf-bdf5fb3116dc</vt:lpwstr>
  </property>
  <property fmtid="{D5CDD505-2E9C-101B-9397-08002B2CF9AE}" pid="9" name="MSIP_Label_defa4170-0d19-0005-0004-bc88714345d2_ActionId">
    <vt:lpwstr>3c227d5d-b2df-479a-9717-23d7888c00dc</vt:lpwstr>
  </property>
  <property fmtid="{D5CDD505-2E9C-101B-9397-08002B2CF9AE}" pid="10" name="MSIP_Label_defa4170-0d19-0005-0004-bc88714345d2_ContentBits">
    <vt:lpwstr>0</vt:lpwstr>
  </property>
</Properties>
</file>