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1F4A9BC4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3C3937" w:rsidRPr="003C3937">
        <w:rPr>
          <w:b/>
          <w:color w:val="000000" w:themeColor="text1"/>
        </w:rPr>
        <w:t>APSKAITOS PRIETAISŲ DUOMENŲ SURINKIMO IR PRIEŽIŪROS PASLAUGŲ VALDYMO INFORMACINĖ SISTEM</w:t>
      </w:r>
      <w:r w:rsidR="003C3937">
        <w:rPr>
          <w:b/>
          <w:color w:val="000000" w:themeColor="text1"/>
        </w:rPr>
        <w:t>OS</w:t>
      </w:r>
      <w:r w:rsidR="00B96140" w:rsidRPr="00B96140">
        <w:rPr>
          <w:rFonts w:cs="Times New Roman"/>
          <w:b/>
          <w:bCs/>
          <w:lang w:val="lt-LT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24F0DC11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3C3937">
        <w:rPr>
          <w:lang w:val="lt-LT" w:eastAsia="lt-LT"/>
        </w:rPr>
        <w:t>A</w:t>
      </w:r>
      <w:r w:rsidR="003C3937" w:rsidRPr="003C3937">
        <w:rPr>
          <w:lang w:val="lt-LT" w:eastAsia="lt-LT"/>
        </w:rPr>
        <w:t>pskaitos prietaisų duomenų surinkimo ir priežiūros paslaugų valdymo informacin</w:t>
      </w:r>
      <w:r w:rsidR="003C3937">
        <w:rPr>
          <w:lang w:val="lt-LT" w:eastAsia="lt-LT"/>
        </w:rPr>
        <w:t>ė</w:t>
      </w:r>
      <w:r w:rsidR="003C3937" w:rsidRPr="003C3937">
        <w:rPr>
          <w:lang w:val="lt-LT" w:eastAsia="lt-LT"/>
        </w:rPr>
        <w:t xml:space="preserve"> sistem</w:t>
      </w:r>
      <w:r w:rsidR="003C3937">
        <w:rPr>
          <w:lang w:val="lt-LT" w:eastAsia="lt-LT"/>
        </w:rPr>
        <w:t>a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33B81494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3C3937">
        <w:rPr>
          <w:lang w:val="lt-LT" w:eastAsia="lt-LT"/>
        </w:rPr>
        <w:t>A</w:t>
      </w:r>
      <w:r w:rsidR="003C3937" w:rsidRPr="003C3937">
        <w:rPr>
          <w:lang w:val="lt-LT" w:eastAsia="lt-LT"/>
        </w:rPr>
        <w:t>pskaitos prietaisų duomenų surinkimo ir priežiūros paslaugų valdymo informacin</w:t>
      </w:r>
      <w:r w:rsidR="003C3937">
        <w:rPr>
          <w:lang w:val="lt-LT" w:eastAsia="lt-LT"/>
        </w:rPr>
        <w:t>ės</w:t>
      </w:r>
      <w:r w:rsidR="003C3937" w:rsidRPr="003C3937">
        <w:rPr>
          <w:lang w:val="lt-LT" w:eastAsia="lt-LT"/>
        </w:rPr>
        <w:t xml:space="preserve"> sistem</w:t>
      </w:r>
      <w:r w:rsidR="003C3937">
        <w:rPr>
          <w:lang w:val="lt-LT" w:eastAsia="lt-LT"/>
        </w:rPr>
        <w:t>os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64F7DECB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siūlymus ir rekomendacijas dėl 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37EF9D7C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e, turi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2C2EB9" w:rsidRPr="00763A5E" w14:paraId="0C1EF349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673FDBA9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="006A6111">
              <w:rPr>
                <w:rFonts w:cs="Calibri"/>
                <w:color w:val="000000"/>
                <w:lang w:val="lt-LT"/>
              </w:rPr>
              <w:t xml:space="preserve">/ </w:t>
            </w:r>
            <w:r w:rsidR="0053194A">
              <w:rPr>
                <w:rFonts w:cs="Calibri"/>
                <w:color w:val="000000"/>
                <w:lang w:val="lt-LT"/>
              </w:rPr>
              <w:t>Paslaugą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0DE73096" w:rsidR="00794C0E" w:rsidRPr="00763A5E" w:rsidRDefault="00724B76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</w:t>
            </w:r>
            <w:r w:rsidR="00CC0176">
              <w:rPr>
                <w:rFonts w:cs="Times New Roman"/>
                <w:color w:val="auto"/>
                <w:lang w:val="lt-LT"/>
              </w:rPr>
              <w:t>kvalifikacijos reikalavimus siūlytumėte</w:t>
            </w:r>
            <w:r w:rsidR="001220BE">
              <w:rPr>
                <w:rFonts w:cs="Times New Roman"/>
                <w:color w:val="auto"/>
                <w:lang w:val="lt-LT"/>
              </w:rPr>
              <w:t xml:space="preserve"> nustatyti pirkimo sąlygose?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4890" w14:textId="77777777" w:rsidR="00951B9C" w:rsidRDefault="00951B9C" w:rsidP="00B00C83">
      <w:r>
        <w:separator/>
      </w:r>
    </w:p>
  </w:endnote>
  <w:endnote w:type="continuationSeparator" w:id="0">
    <w:p w14:paraId="1E6F1326" w14:textId="77777777" w:rsidR="00951B9C" w:rsidRDefault="00951B9C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09EA" w14:textId="77777777" w:rsidR="00951B9C" w:rsidRDefault="00951B9C" w:rsidP="00B00C83">
      <w:r>
        <w:separator/>
      </w:r>
    </w:p>
  </w:footnote>
  <w:footnote w:type="continuationSeparator" w:id="0">
    <w:p w14:paraId="70E77935" w14:textId="77777777" w:rsidR="00951B9C" w:rsidRDefault="00951B9C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07DE9"/>
    <w:rsid w:val="000839C8"/>
    <w:rsid w:val="000E1B11"/>
    <w:rsid w:val="001220BE"/>
    <w:rsid w:val="00146A45"/>
    <w:rsid w:val="00165844"/>
    <w:rsid w:val="00165D88"/>
    <w:rsid w:val="00173F69"/>
    <w:rsid w:val="0017462E"/>
    <w:rsid w:val="001C7EC2"/>
    <w:rsid w:val="001C7FEB"/>
    <w:rsid w:val="002C2EB9"/>
    <w:rsid w:val="002E432C"/>
    <w:rsid w:val="003004C0"/>
    <w:rsid w:val="00313107"/>
    <w:rsid w:val="003C3937"/>
    <w:rsid w:val="003C64C2"/>
    <w:rsid w:val="00421447"/>
    <w:rsid w:val="00430950"/>
    <w:rsid w:val="00493F91"/>
    <w:rsid w:val="00494770"/>
    <w:rsid w:val="004D18BC"/>
    <w:rsid w:val="0053194A"/>
    <w:rsid w:val="00556626"/>
    <w:rsid w:val="0055770B"/>
    <w:rsid w:val="00591BD1"/>
    <w:rsid w:val="005F0AD1"/>
    <w:rsid w:val="00611120"/>
    <w:rsid w:val="00637F48"/>
    <w:rsid w:val="006A6111"/>
    <w:rsid w:val="006F5187"/>
    <w:rsid w:val="00724B76"/>
    <w:rsid w:val="00727913"/>
    <w:rsid w:val="00731888"/>
    <w:rsid w:val="00763A5E"/>
    <w:rsid w:val="00794C0E"/>
    <w:rsid w:val="007B3242"/>
    <w:rsid w:val="007C56AF"/>
    <w:rsid w:val="007D0A04"/>
    <w:rsid w:val="008134F5"/>
    <w:rsid w:val="0084725F"/>
    <w:rsid w:val="00855261"/>
    <w:rsid w:val="0087015C"/>
    <w:rsid w:val="00876922"/>
    <w:rsid w:val="008939C9"/>
    <w:rsid w:val="008F554A"/>
    <w:rsid w:val="00951B9C"/>
    <w:rsid w:val="00957396"/>
    <w:rsid w:val="00990E5A"/>
    <w:rsid w:val="009C7FD3"/>
    <w:rsid w:val="009E3133"/>
    <w:rsid w:val="00A07152"/>
    <w:rsid w:val="00AD7052"/>
    <w:rsid w:val="00AF5B2A"/>
    <w:rsid w:val="00B00C83"/>
    <w:rsid w:val="00B64729"/>
    <w:rsid w:val="00B67489"/>
    <w:rsid w:val="00B96140"/>
    <w:rsid w:val="00BC5B08"/>
    <w:rsid w:val="00C46042"/>
    <w:rsid w:val="00C679F3"/>
    <w:rsid w:val="00C7737D"/>
    <w:rsid w:val="00CC0176"/>
    <w:rsid w:val="00CE67E6"/>
    <w:rsid w:val="00D108E4"/>
    <w:rsid w:val="00D13047"/>
    <w:rsid w:val="00D45884"/>
    <w:rsid w:val="00D85DCF"/>
    <w:rsid w:val="00D97649"/>
    <w:rsid w:val="00D97F33"/>
    <w:rsid w:val="00DA7AFA"/>
    <w:rsid w:val="00DC1887"/>
    <w:rsid w:val="00E41CA6"/>
    <w:rsid w:val="00E84D58"/>
    <w:rsid w:val="00E93F72"/>
    <w:rsid w:val="00EE4890"/>
    <w:rsid w:val="00F17015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Skaidra Tunaitienė</cp:lastModifiedBy>
  <cp:revision>10</cp:revision>
  <dcterms:created xsi:type="dcterms:W3CDTF">2025-07-17T05:28:00Z</dcterms:created>
  <dcterms:modified xsi:type="dcterms:W3CDTF">2025-07-17T05:35:00Z</dcterms:modified>
</cp:coreProperties>
</file>