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C6DF" w14:textId="33370CA2" w:rsidR="006910DD" w:rsidRPr="00F90521" w:rsidRDefault="00637EC2" w:rsidP="00F9568F">
      <w:pPr>
        <w:pStyle w:val="Heading"/>
        <w:jc w:val="center"/>
        <w:rPr>
          <w:rFonts w:cs="Times New Roman"/>
          <w:sz w:val="24"/>
          <w:szCs w:val="24"/>
        </w:rPr>
      </w:pPr>
      <w:r w:rsidRPr="00F90521">
        <w:rPr>
          <w:rFonts w:ascii="Times New Roman" w:hAnsi="Times New Roman" w:cs="Times New Roman"/>
          <w:sz w:val="24"/>
          <w:szCs w:val="24"/>
        </w:rPr>
        <w:t xml:space="preserve">MOLĖTŲ RAJONO SAVIVALDYBĖS ADMINISTRACIJA </w:t>
      </w:r>
    </w:p>
    <w:p w14:paraId="12B36ACE" w14:textId="308865DA" w:rsidR="006910DD" w:rsidRPr="00F90521" w:rsidRDefault="00637EC2" w:rsidP="00F9568F">
      <w:pPr>
        <w:pStyle w:val="Heading"/>
        <w:jc w:val="center"/>
        <w:rPr>
          <w:rFonts w:ascii="Times New Roman" w:hAnsi="Times New Roman" w:cs="Times New Roman"/>
          <w:b/>
          <w:bCs/>
          <w:sz w:val="24"/>
          <w:szCs w:val="24"/>
        </w:rPr>
      </w:pPr>
      <w:r w:rsidRPr="00F90521">
        <w:rPr>
          <w:rFonts w:ascii="Times New Roman" w:hAnsi="Times New Roman" w:cs="Times New Roman"/>
          <w:b/>
          <w:bCs/>
          <w:sz w:val="24"/>
          <w:szCs w:val="24"/>
        </w:rPr>
        <w:t xml:space="preserve">ATSAKYMAI </w:t>
      </w:r>
      <w:r w:rsidR="00F9568F" w:rsidRPr="00F90521">
        <w:rPr>
          <w:rFonts w:ascii="Times New Roman" w:hAnsi="Times New Roman" w:cs="Times New Roman"/>
          <w:b/>
          <w:bCs/>
          <w:sz w:val="24"/>
          <w:szCs w:val="24"/>
        </w:rPr>
        <w:t>Į TIEKĖJŲ KLAUSIMUS</w:t>
      </w:r>
    </w:p>
    <w:p w14:paraId="6F8217BE" w14:textId="2F5838A5" w:rsidR="006910DD" w:rsidRPr="00F90521" w:rsidRDefault="00637EC2" w:rsidP="00D243A9">
      <w:pPr>
        <w:pStyle w:val="Body2"/>
        <w:jc w:val="center"/>
        <w:rPr>
          <w:rFonts w:cs="Times New Roman"/>
          <w:sz w:val="24"/>
          <w:szCs w:val="24"/>
          <w:lang w:val="lt-LT"/>
        </w:rPr>
      </w:pPr>
      <w:r w:rsidRPr="00F90521">
        <w:rPr>
          <w:rFonts w:cs="Times New Roman"/>
          <w:sz w:val="24"/>
          <w:szCs w:val="24"/>
          <w:lang w:val="lt-LT"/>
        </w:rPr>
        <w:t xml:space="preserve">Pirkimo CVP IS numeris: </w:t>
      </w:r>
      <w:r w:rsidR="008A4F7D" w:rsidRPr="00F90521">
        <w:rPr>
          <w:rFonts w:cs="Times New Roman"/>
          <w:sz w:val="24"/>
          <w:szCs w:val="24"/>
          <w:lang w:val="lt-LT"/>
        </w:rPr>
        <w:t>3</w:t>
      </w:r>
      <w:r w:rsidR="005B1E8C">
        <w:rPr>
          <w:rFonts w:cs="Times New Roman"/>
          <w:sz w:val="24"/>
          <w:szCs w:val="24"/>
          <w:lang w:val="lt-LT"/>
        </w:rPr>
        <w:t>237830</w:t>
      </w:r>
    </w:p>
    <w:p w14:paraId="14CA138D" w14:textId="5C5EDC50" w:rsidR="006910DD" w:rsidRPr="00F90521" w:rsidRDefault="007D4EC3">
      <w:r>
        <w:rPr>
          <w:noProof/>
        </w:rPr>
        <mc:AlternateContent>
          <mc:Choice Requires="wpi">
            <w:drawing>
              <wp:anchor distT="0" distB="0" distL="114300" distR="114300" simplePos="0" relativeHeight="251666432" behindDoc="0" locked="0" layoutInCell="1" allowOverlap="1" wp14:anchorId="3E36C7D9" wp14:editId="214BE4CB">
                <wp:simplePos x="0" y="0"/>
                <wp:positionH relativeFrom="column">
                  <wp:posOffset>7747515</wp:posOffset>
                </wp:positionH>
                <wp:positionV relativeFrom="paragraph">
                  <wp:posOffset>9461320</wp:posOffset>
                </wp:positionV>
                <wp:extent cx="360" cy="360"/>
                <wp:effectExtent l="38100" t="38100" r="38100" b="38100"/>
                <wp:wrapNone/>
                <wp:docPr id="2114534861" name="Rankraštį 6"/>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3BFA4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609.55pt;margin-top:744.5pt;width:1.05pt;height:1.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nr7J78cBAABqBAAAEAAAAAAAAAAAAAAAAADTAwAA&#10;ZHJzL2luay9pbmsxLnhtbFBLAQItABQABgAIAAAAIQCZTTrh4AAAAA8BAAAPAAAAAAAAAAAAAAAA&#10;AMgFAABkcnMvZG93bnJldi54bWxQSwECLQAUAAYACAAAACEAeRi8nb8AAAAhAQAAGQAAAAAAAAAA&#10;AAAAAADVBgAAZHJzL19yZWxzL2Uyb0RvYy54bWwucmVsc1BLBQYAAAAABgAGAHgBAADLBwAAAAA=&#10;">
                <v:imagedata r:id="rId7" o:title=""/>
              </v:shape>
            </w:pict>
          </mc:Fallback>
        </mc:AlternateContent>
      </w:r>
      <w:r>
        <w:rPr>
          <w:noProof/>
        </w:rPr>
        <mc:AlternateContent>
          <mc:Choice Requires="wpi">
            <w:drawing>
              <wp:anchor distT="0" distB="0" distL="114300" distR="114300" simplePos="0" relativeHeight="251665408" behindDoc="0" locked="0" layoutInCell="1" allowOverlap="1" wp14:anchorId="10C82892" wp14:editId="47EBEB02">
                <wp:simplePos x="0" y="0"/>
                <wp:positionH relativeFrom="column">
                  <wp:posOffset>-2863125</wp:posOffset>
                </wp:positionH>
                <wp:positionV relativeFrom="paragraph">
                  <wp:posOffset>8118160</wp:posOffset>
                </wp:positionV>
                <wp:extent cx="1800" cy="360"/>
                <wp:effectExtent l="38100" t="38100" r="36830" b="38100"/>
                <wp:wrapNone/>
                <wp:docPr id="1169164311" name="Rankraštį 5"/>
                <wp:cNvGraphicFramePr/>
                <a:graphic xmlns:a="http://schemas.openxmlformats.org/drawingml/2006/main">
                  <a:graphicData uri="http://schemas.microsoft.com/office/word/2010/wordprocessingInk">
                    <w14:contentPart bwMode="auto" r:id="rId8">
                      <w14:nvContentPartPr>
                        <w14:cNvContentPartPr/>
                      </w14:nvContentPartPr>
                      <w14:xfrm>
                        <a:off x="0" y="0"/>
                        <a:ext cx="1800" cy="360"/>
                      </w14:xfrm>
                    </w14:contentPart>
                  </a:graphicData>
                </a:graphic>
              </wp:anchor>
            </w:drawing>
          </mc:Choice>
          <mc:Fallback>
            <w:pict>
              <v:shape w14:anchorId="43D09063" id="Rankraštį 5" o:spid="_x0000_s1026" type="#_x0000_t75" style="position:absolute;margin-left:-225.95pt;margin-top:638.75pt;width:1.1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">
                <v:imagedata r:id="rId7" o:title=""/>
              </v:shape>
            </w:pict>
          </mc:Fallback>
        </mc:AlternateContent>
      </w:r>
      <w:r>
        <w:rPr>
          <w:noProof/>
        </w:rPr>
        <mc:AlternateContent>
          <mc:Choice Requires="wpi">
            <w:drawing>
              <wp:anchor distT="0" distB="0" distL="114300" distR="114300" simplePos="0" relativeHeight="251663360" behindDoc="0" locked="0" layoutInCell="1" allowOverlap="1" wp14:anchorId="1FABDE29" wp14:editId="48AD0569">
                <wp:simplePos x="0" y="0"/>
                <wp:positionH relativeFrom="column">
                  <wp:posOffset>-2158245</wp:posOffset>
                </wp:positionH>
                <wp:positionV relativeFrom="paragraph">
                  <wp:posOffset>7822960</wp:posOffset>
                </wp:positionV>
                <wp:extent cx="360" cy="360"/>
                <wp:effectExtent l="38100" t="38100" r="38100" b="38100"/>
                <wp:wrapNone/>
                <wp:docPr id="1387644009" name="Rankraštį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042D0FD1" id="Rankraštį 3" o:spid="_x0000_s1026" type="#_x0000_t75" style="position:absolute;margin-left:-170.45pt;margin-top:615.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">
                <v:imagedata r:id="rId7" o:title=""/>
              </v:shape>
            </w:pict>
          </mc:Fallback>
        </mc:AlternateContent>
      </w:r>
      <w:r>
        <w:rPr>
          <w:noProof/>
        </w:rPr>
        <mc:AlternateContent>
          <mc:Choice Requires="wpi">
            <w:drawing>
              <wp:anchor distT="0" distB="0" distL="114300" distR="114300" simplePos="0" relativeHeight="251662336" behindDoc="0" locked="0" layoutInCell="1" allowOverlap="1" wp14:anchorId="1F80DC36" wp14:editId="6BB18A3D">
                <wp:simplePos x="0" y="0"/>
                <wp:positionH relativeFrom="column">
                  <wp:posOffset>9424035</wp:posOffset>
                </wp:positionH>
                <wp:positionV relativeFrom="paragraph">
                  <wp:posOffset>9508840</wp:posOffset>
                </wp:positionV>
                <wp:extent cx="360" cy="360"/>
                <wp:effectExtent l="38100" t="38100" r="38100" b="38100"/>
                <wp:wrapNone/>
                <wp:docPr id="899357113" name="Rankraštį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1A08BA87" id="Rankraštį 2" o:spid="_x0000_s1026" type="#_x0000_t75" style="position:absolute;margin-left:741.55pt;margin-top:748.2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">
                <v:imagedata r:id="rId7" o:title=""/>
              </v:shape>
            </w:pict>
          </mc:Fallback>
        </mc:AlternateConten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4573"/>
      </w:tblGrid>
      <w:tr w:rsidR="000B7062" w:rsidRPr="00F90521" w14:paraId="2CC1A661" w14:textId="77777777" w:rsidTr="00734721">
        <w:trPr>
          <w:trHeight w:val="475"/>
        </w:trPr>
        <w:tc>
          <w:tcPr>
            <w:tcW w:w="704" w:type="dxa"/>
            <w:vAlign w:val="center"/>
          </w:tcPr>
          <w:p w14:paraId="0001DC20" w14:textId="576904DB" w:rsidR="000B7062" w:rsidRPr="00F90521" w:rsidRDefault="000B7062" w:rsidP="000B7062">
            <w:pPr>
              <w:jc w:val="center"/>
            </w:pPr>
            <w:bookmarkStart w:id="0" w:name="_Hlk201298947"/>
            <w:r w:rsidRPr="00F90521">
              <w:t>EIL. NR.</w:t>
            </w:r>
          </w:p>
        </w:tc>
        <w:tc>
          <w:tcPr>
            <w:tcW w:w="4678" w:type="dxa"/>
            <w:vAlign w:val="center"/>
          </w:tcPr>
          <w:p w14:paraId="1C2CDC08" w14:textId="176A2D3C" w:rsidR="000B7062" w:rsidRPr="00F90521" w:rsidRDefault="001C0A17" w:rsidP="000B7062">
            <w:pPr>
              <w:jc w:val="center"/>
            </w:pPr>
            <w:r>
              <w:t xml:space="preserve">TIEKĖJŲ </w:t>
            </w:r>
            <w:r w:rsidR="000B7062" w:rsidRPr="00F90521">
              <w:t>KLAUSIMA</w:t>
            </w:r>
            <w:r>
              <w:t>I</w:t>
            </w:r>
          </w:p>
        </w:tc>
        <w:tc>
          <w:tcPr>
            <w:tcW w:w="4573" w:type="dxa"/>
            <w:vAlign w:val="center"/>
          </w:tcPr>
          <w:p w14:paraId="275CC36B" w14:textId="484A9CD3" w:rsidR="000B7062" w:rsidRPr="00F90521" w:rsidRDefault="000B7062" w:rsidP="000B7062">
            <w:pPr>
              <w:jc w:val="center"/>
            </w:pPr>
            <w:r w:rsidRPr="00F90521">
              <w:t>ATSAKYMA</w:t>
            </w:r>
            <w:r w:rsidR="001C0A17">
              <w:t>Į Į UŽDUOTUS KLAUSIMUS</w:t>
            </w:r>
          </w:p>
        </w:tc>
      </w:tr>
      <w:tr w:rsidR="000B7062" w:rsidRPr="00F90521" w14:paraId="5B6BDE2D" w14:textId="77777777" w:rsidTr="00734721">
        <w:trPr>
          <w:trHeight w:val="457"/>
        </w:trPr>
        <w:tc>
          <w:tcPr>
            <w:tcW w:w="704" w:type="dxa"/>
          </w:tcPr>
          <w:p w14:paraId="76D6D394" w14:textId="5400B37C" w:rsidR="000B7062" w:rsidRPr="00F90521" w:rsidRDefault="000B7062" w:rsidP="000B7062">
            <w:r w:rsidRPr="00F90521">
              <w:t>1.</w:t>
            </w:r>
          </w:p>
        </w:tc>
        <w:tc>
          <w:tcPr>
            <w:tcW w:w="4678" w:type="dxa"/>
          </w:tcPr>
          <w:p w14:paraId="2A7FDA11" w14:textId="57C47065" w:rsidR="000B7062" w:rsidRPr="001C0A17" w:rsidRDefault="005B1E8C" w:rsidP="00734721">
            <w:pPr>
              <w:jc w:val="both"/>
              <w:rPr>
                <w:rFonts w:ascii="Times New Roman" w:hAnsi="Times New Roman" w:cs="Times New Roman"/>
              </w:rPr>
            </w:pPr>
            <w:r w:rsidRPr="001C0A17">
              <w:rPr>
                <w:rFonts w:ascii="Times New Roman" w:eastAsia="Times New Roman" w:hAnsi="Times New Roman" w:cs="Times New Roman"/>
                <w:color w:val="00241A"/>
                <w:lang w:eastAsia="lt-LT"/>
              </w:rPr>
              <w:t>Dėl vertės skaičiavimo:</w:t>
            </w:r>
            <w:r w:rsidRPr="001C0A17">
              <w:rPr>
                <w:rFonts w:ascii="Times New Roman" w:eastAsia="Times New Roman" w:hAnsi="Times New Roman" w:cs="Times New Roman"/>
                <w:color w:val="00241A"/>
                <w:lang w:eastAsia="lt-LT"/>
              </w:rPr>
              <w:br/>
              <w:t>Kvalifikaciniuose reikalavimuose nurodoma, kad specialistas per paskutinius 5 metus turi būti parengęs ekspozicijos projektą (-</w:t>
            </w:r>
            <w:proofErr w:type="spellStart"/>
            <w:r w:rsidRPr="001C0A17">
              <w:rPr>
                <w:rFonts w:ascii="Times New Roman" w:eastAsia="Times New Roman" w:hAnsi="Times New Roman" w:cs="Times New Roman"/>
                <w:color w:val="00241A"/>
                <w:lang w:eastAsia="lt-LT"/>
              </w:rPr>
              <w:t>us</w:t>
            </w:r>
            <w:proofErr w:type="spellEnd"/>
            <w:r w:rsidRPr="001C0A17">
              <w:rPr>
                <w:rFonts w:ascii="Times New Roman" w:eastAsia="Times New Roman" w:hAnsi="Times New Roman" w:cs="Times New Roman"/>
                <w:color w:val="00241A"/>
                <w:lang w:eastAsia="lt-LT"/>
              </w:rPr>
              <w:t>), kurių įgyvendinimo vertė ne mažesnė kaip 300 000 EUR be PVM.</w:t>
            </w:r>
            <w:r w:rsidRPr="001C0A17">
              <w:rPr>
                <w:rFonts w:ascii="Times New Roman" w:eastAsia="Times New Roman" w:hAnsi="Times New Roman" w:cs="Times New Roman"/>
                <w:color w:val="00241A"/>
                <w:lang w:eastAsia="lt-LT"/>
              </w:rPr>
              <w:br/>
              <w:t>a) Ar ši vertė apima tik projektavimo paslaugų kainą, ar viso ekspozicijos įgyvendinimo (t. y. projektavimo + gamybos / įrengimo) vertę?</w:t>
            </w:r>
            <w:r w:rsidRPr="001C0A17">
              <w:rPr>
                <w:rFonts w:ascii="Times New Roman" w:eastAsia="Times New Roman" w:hAnsi="Times New Roman" w:cs="Times New Roman"/>
                <w:color w:val="00241A"/>
                <w:lang w:eastAsia="lt-LT"/>
              </w:rPr>
              <w:br/>
            </w:r>
            <w:r w:rsidRPr="001C0A17">
              <w:rPr>
                <w:rFonts w:ascii="Times New Roman" w:eastAsia="Times New Roman" w:hAnsi="Times New Roman" w:cs="Times New Roman"/>
                <w:color w:val="00241A"/>
                <w:lang w:eastAsia="lt-LT"/>
              </w:rPr>
              <w:br/>
              <w:t>b) Jeigu vertinama viso įgyvendinimo vertė (įskaitant įrengimą), kokie dokumentai (sutartys, sąmatos, ataskaitos, aktai, kt.) laikomi pakankamais įrodyti vertės dydį?</w:t>
            </w:r>
            <w:r w:rsidRPr="001C0A17">
              <w:rPr>
                <w:rFonts w:ascii="Times New Roman" w:eastAsia="Times New Roman" w:hAnsi="Times New Roman" w:cs="Times New Roman"/>
                <w:color w:val="00241A"/>
                <w:lang w:eastAsia="lt-LT"/>
              </w:rPr>
              <w:br/>
            </w:r>
            <w:r w:rsidRPr="001C0A17">
              <w:rPr>
                <w:rFonts w:ascii="Times New Roman" w:eastAsia="Times New Roman" w:hAnsi="Times New Roman" w:cs="Times New Roman"/>
                <w:color w:val="00241A"/>
                <w:lang w:eastAsia="lt-LT"/>
              </w:rPr>
              <w:br/>
              <w:t xml:space="preserve">c) Jei vertinama tik projektavimo biudžeto dalis, ar šis skaičius turi būti nurodytas sutartyje, ar gali būti pagrįstas, pavyzdžiui, sąskaitomis, </w:t>
            </w:r>
            <w:proofErr w:type="spellStart"/>
            <w:r w:rsidRPr="001C0A17">
              <w:rPr>
                <w:rFonts w:ascii="Times New Roman" w:eastAsia="Times New Roman" w:hAnsi="Times New Roman" w:cs="Times New Roman"/>
                <w:color w:val="00241A"/>
                <w:lang w:eastAsia="lt-LT"/>
              </w:rPr>
              <w:t>aktavimo</w:t>
            </w:r>
            <w:proofErr w:type="spellEnd"/>
            <w:r w:rsidRPr="001C0A17">
              <w:rPr>
                <w:rFonts w:ascii="Times New Roman" w:eastAsia="Times New Roman" w:hAnsi="Times New Roman" w:cs="Times New Roman"/>
                <w:color w:val="00241A"/>
                <w:lang w:eastAsia="lt-LT"/>
              </w:rPr>
              <w:t xml:space="preserve"> dokumentais, projekto vadovo deklaracija?</w:t>
            </w:r>
            <w:r w:rsidRPr="001C0A17">
              <w:rPr>
                <w:rFonts w:ascii="Times New Roman" w:eastAsia="Times New Roman" w:hAnsi="Times New Roman" w:cs="Times New Roman"/>
                <w:color w:val="00241A"/>
                <w:lang w:eastAsia="lt-LT"/>
              </w:rPr>
              <w:br/>
            </w:r>
          </w:p>
        </w:tc>
        <w:tc>
          <w:tcPr>
            <w:tcW w:w="4573" w:type="dxa"/>
          </w:tcPr>
          <w:p w14:paraId="4984219A" w14:textId="77777777" w:rsidR="000B7062" w:rsidRPr="00245DCA" w:rsidRDefault="004E4BCC" w:rsidP="004E4BCC">
            <w:pPr>
              <w:jc w:val="both"/>
            </w:pPr>
            <w:r w:rsidRPr="00245DCA">
              <w:t xml:space="preserve">a) Ši vertė apima ekspozicijos įgyvendinimo vertę, neįskaitant ekspozicijos projektavimo paslaugų kainos. </w:t>
            </w:r>
          </w:p>
          <w:p w14:paraId="333B7344" w14:textId="77777777" w:rsidR="004E4BCC" w:rsidRPr="00245DCA" w:rsidRDefault="004E4BCC" w:rsidP="004E4BCC">
            <w:pPr>
              <w:jc w:val="both"/>
            </w:pPr>
          </w:p>
          <w:p w14:paraId="488E90A3" w14:textId="77777777" w:rsidR="004E4BCC" w:rsidRPr="00245DCA" w:rsidRDefault="004E4BCC" w:rsidP="004E4BCC">
            <w:pPr>
              <w:jc w:val="both"/>
            </w:pPr>
            <w:r w:rsidRPr="00245DCA">
              <w:t>b) Pakanka perkančiajai organizacijai nurodyti įgyvendinto ekspozicijos projekto vertę</w:t>
            </w:r>
            <w:r w:rsidR="003C482A" w:rsidRPr="00245DCA">
              <w:t xml:space="preserve">, kaip nurodyta prie šį kvalifikacinį reikalavimą pagrindžiančių dokumentų (Konkurso sąlygų 3 priedas). </w:t>
            </w:r>
          </w:p>
          <w:p w14:paraId="2B6802F8" w14:textId="77777777" w:rsidR="003C482A" w:rsidRPr="00245DCA" w:rsidRDefault="003C482A" w:rsidP="004E4BCC">
            <w:pPr>
              <w:jc w:val="both"/>
            </w:pPr>
          </w:p>
          <w:p w14:paraId="3ADA1531" w14:textId="6AF589CD" w:rsidR="003C482A" w:rsidRPr="00245DCA" w:rsidRDefault="00AA35F8" w:rsidP="004E4BCC">
            <w:pPr>
              <w:jc w:val="both"/>
            </w:pPr>
            <w:r w:rsidRPr="00245DCA">
              <w:rPr>
                <w:noProof/>
              </w:rPr>
              <mc:AlternateContent>
                <mc:Choice Requires="wpi">
                  <w:drawing>
                    <wp:anchor distT="0" distB="0" distL="114300" distR="114300" simplePos="0" relativeHeight="251660288" behindDoc="0" locked="0" layoutInCell="1" allowOverlap="1" wp14:anchorId="68B465D8" wp14:editId="45E04CE0">
                      <wp:simplePos x="0" y="0"/>
                      <wp:positionH relativeFrom="column">
                        <wp:posOffset>819545</wp:posOffset>
                      </wp:positionH>
                      <wp:positionV relativeFrom="paragraph">
                        <wp:posOffset>1541010</wp:posOffset>
                      </wp:positionV>
                      <wp:extent cx="360" cy="360"/>
                      <wp:effectExtent l="38100" t="38100" r="38100" b="38100"/>
                      <wp:wrapNone/>
                      <wp:docPr id="967738881" name="Rankraštį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7F12AE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3" o:spid="_x0000_s1026" type="#_x0000_t75" style="position:absolute;margin-left:64.05pt;margin-top:120.8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">
                      <v:imagedata r:id="rId12" o:title=""/>
                    </v:shape>
                  </w:pict>
                </mc:Fallback>
              </mc:AlternateContent>
            </w:r>
            <w:r w:rsidR="003C482A" w:rsidRPr="00245DCA">
              <w:t xml:space="preserve">c) Bus vertinama tik ekspozicijos įgyvendinimo vertė. </w:t>
            </w:r>
          </w:p>
        </w:tc>
      </w:tr>
      <w:tr w:rsidR="000B7062" w:rsidRPr="00F90521" w14:paraId="6AB7B6CD" w14:textId="77777777" w:rsidTr="00734721">
        <w:trPr>
          <w:trHeight w:val="457"/>
        </w:trPr>
        <w:tc>
          <w:tcPr>
            <w:tcW w:w="704" w:type="dxa"/>
          </w:tcPr>
          <w:p w14:paraId="0A518697" w14:textId="25BB4CFA" w:rsidR="000B7062" w:rsidRPr="00F90521" w:rsidRDefault="000B7062" w:rsidP="000B7062">
            <w:r w:rsidRPr="00F90521">
              <w:t>2.</w:t>
            </w:r>
          </w:p>
        </w:tc>
        <w:tc>
          <w:tcPr>
            <w:tcW w:w="4678" w:type="dxa"/>
          </w:tcPr>
          <w:p w14:paraId="74A51237" w14:textId="26603A57" w:rsidR="000B7062" w:rsidRPr="001C0A17" w:rsidRDefault="005B1E8C" w:rsidP="00734721">
            <w:pPr>
              <w:jc w:val="both"/>
              <w:rPr>
                <w:rFonts w:ascii="Times New Roman" w:hAnsi="Times New Roman" w:cs="Times New Roman"/>
              </w:rPr>
            </w:pPr>
            <w:r w:rsidRPr="001C0A17">
              <w:rPr>
                <w:rFonts w:ascii="Times New Roman" w:eastAsia="Times New Roman" w:hAnsi="Times New Roman" w:cs="Times New Roman"/>
                <w:color w:val="00241A"/>
                <w:lang w:eastAsia="lt-LT"/>
              </w:rPr>
              <w:t>Dėl ekspozicijų apibrėžimo:</w:t>
            </w:r>
            <w:r w:rsidRPr="001C0A17">
              <w:rPr>
                <w:rFonts w:ascii="Times New Roman" w:eastAsia="Times New Roman" w:hAnsi="Times New Roman" w:cs="Times New Roman"/>
                <w:color w:val="00241A"/>
                <w:lang w:eastAsia="lt-LT"/>
              </w:rPr>
              <w:br/>
              <w:t>Reikalavime vartojamas terminas „ekspozicijos projektas“, tačiau prašytume patikslinti:</w:t>
            </w:r>
            <w:r w:rsidRPr="001C0A17">
              <w:rPr>
                <w:rFonts w:ascii="Times New Roman" w:eastAsia="Times New Roman" w:hAnsi="Times New Roman" w:cs="Times New Roman"/>
                <w:color w:val="00241A"/>
                <w:lang w:eastAsia="lt-LT"/>
              </w:rPr>
              <w:br/>
              <w:t>a) Ar į ekspozicijos projektų sąvoką įeina ir parodų architektūros projektai (pvz. laikinos instaliacijos, paviljonai, dizaino bienalės ar festivaliai ir kt.)?</w:t>
            </w:r>
            <w:r w:rsidRPr="001C0A17">
              <w:rPr>
                <w:rFonts w:ascii="Times New Roman" w:eastAsia="Times New Roman" w:hAnsi="Times New Roman" w:cs="Times New Roman"/>
                <w:color w:val="00241A"/>
                <w:lang w:eastAsia="lt-LT"/>
              </w:rPr>
              <w:br/>
            </w:r>
            <w:r w:rsidRPr="001C0A17">
              <w:rPr>
                <w:rFonts w:ascii="Times New Roman" w:eastAsia="Times New Roman" w:hAnsi="Times New Roman" w:cs="Times New Roman"/>
                <w:color w:val="00241A"/>
                <w:lang w:eastAsia="lt-LT"/>
              </w:rPr>
              <w:br/>
              <w:t>b) Ar ekspozicija turi būti ilgalaikė/nuolatinė, ar gali būti vertinamos ir laikinos/kilnojamosios ekspozicijos?</w:t>
            </w:r>
            <w:r w:rsidRPr="001C0A17">
              <w:rPr>
                <w:rFonts w:ascii="Times New Roman" w:eastAsia="Times New Roman" w:hAnsi="Times New Roman" w:cs="Times New Roman"/>
                <w:color w:val="00241A"/>
                <w:lang w:eastAsia="lt-LT"/>
              </w:rPr>
              <w:br/>
            </w:r>
            <w:r w:rsidRPr="001C0A17">
              <w:rPr>
                <w:rFonts w:ascii="Times New Roman" w:eastAsia="Times New Roman" w:hAnsi="Times New Roman" w:cs="Times New Roman"/>
                <w:color w:val="00241A"/>
                <w:lang w:eastAsia="lt-LT"/>
              </w:rPr>
              <w:br/>
              <w:t>c) Ar reikalinga, kad projektas būtų įgyvendintas muziejuje / mokslo centre / viešoje erdvėje, ar taip pat gali būti vertinami privačių užsakovų projektai?</w:t>
            </w:r>
            <w:r w:rsidRPr="001C0A17">
              <w:rPr>
                <w:rFonts w:ascii="Times New Roman" w:eastAsia="Times New Roman" w:hAnsi="Times New Roman" w:cs="Times New Roman"/>
                <w:color w:val="00241A"/>
                <w:lang w:eastAsia="lt-LT"/>
              </w:rPr>
              <w:br/>
            </w:r>
            <w:r w:rsidRPr="001C0A17">
              <w:rPr>
                <w:rFonts w:ascii="Times New Roman" w:eastAsia="Times New Roman" w:hAnsi="Times New Roman" w:cs="Times New Roman"/>
                <w:color w:val="00241A"/>
                <w:lang w:eastAsia="lt-LT"/>
              </w:rPr>
              <w:br/>
            </w:r>
          </w:p>
        </w:tc>
        <w:tc>
          <w:tcPr>
            <w:tcW w:w="4573" w:type="dxa"/>
          </w:tcPr>
          <w:p w14:paraId="14118EFF" w14:textId="5F8E590C" w:rsidR="00160589" w:rsidRPr="00245DCA" w:rsidRDefault="003C482A" w:rsidP="00522B7E">
            <w:pPr>
              <w:jc w:val="both"/>
            </w:pPr>
            <w:r w:rsidRPr="00245DCA">
              <w:t xml:space="preserve">a) </w:t>
            </w:r>
            <w:r w:rsidR="00245DCA" w:rsidRPr="00245DCA">
              <w:t xml:space="preserve">Taip, į ekspozicijos projektų sąvoka įeina ir parodų architektūros projektai. </w:t>
            </w:r>
            <w:r w:rsidRPr="00245DCA">
              <w:t xml:space="preserve"> </w:t>
            </w:r>
          </w:p>
          <w:p w14:paraId="37322FF4" w14:textId="77777777" w:rsidR="003C482A" w:rsidRPr="00245DCA" w:rsidRDefault="003C482A" w:rsidP="00522B7E">
            <w:pPr>
              <w:jc w:val="both"/>
            </w:pPr>
          </w:p>
          <w:p w14:paraId="06AE0C21" w14:textId="44C0C606" w:rsidR="00522B7E" w:rsidRPr="00245DCA" w:rsidRDefault="00522B7E" w:rsidP="00522B7E">
            <w:pPr>
              <w:jc w:val="both"/>
              <w:rPr>
                <w:rFonts w:eastAsia="Times New Roman"/>
              </w:rPr>
            </w:pPr>
            <w:r w:rsidRPr="00245DCA">
              <w:t xml:space="preserve">b) </w:t>
            </w:r>
            <w:r w:rsidRPr="00245DCA">
              <w:rPr>
                <w:rFonts w:eastAsia="Times New Roman"/>
              </w:rPr>
              <w:t>Ekspozicija gali būti laikinoji, kilnojamoji, ilgalaikė arba nuolatinė.</w:t>
            </w:r>
          </w:p>
          <w:p w14:paraId="7F247DDC" w14:textId="77777777" w:rsidR="00522B7E" w:rsidRPr="00245DCA" w:rsidRDefault="00522B7E" w:rsidP="00522B7E">
            <w:pPr>
              <w:jc w:val="both"/>
              <w:rPr>
                <w:rFonts w:eastAsia="Times New Roman"/>
              </w:rPr>
            </w:pPr>
          </w:p>
          <w:p w14:paraId="520E569E" w14:textId="35CD5A78" w:rsidR="00522B7E" w:rsidRPr="00245DCA" w:rsidRDefault="00522B7E" w:rsidP="00522B7E">
            <w:pPr>
              <w:jc w:val="both"/>
              <w:rPr>
                <w:rFonts w:eastAsia="Times New Roman"/>
              </w:rPr>
            </w:pPr>
            <w:r w:rsidRPr="00245DCA">
              <w:rPr>
                <w:rFonts w:eastAsia="Times New Roman"/>
              </w:rPr>
              <w:t xml:space="preserve">c) Gali būti ir privačių užsakovų projektai. </w:t>
            </w:r>
          </w:p>
          <w:p w14:paraId="46F408CB" w14:textId="5E13FACB" w:rsidR="003C482A" w:rsidRPr="00245DCA" w:rsidRDefault="003C482A" w:rsidP="00522B7E">
            <w:pPr>
              <w:jc w:val="both"/>
            </w:pPr>
          </w:p>
          <w:p w14:paraId="7530F965" w14:textId="77777777" w:rsidR="00522B7E" w:rsidRPr="00245DCA" w:rsidRDefault="00522B7E" w:rsidP="00522B7E">
            <w:pPr>
              <w:jc w:val="both"/>
            </w:pPr>
          </w:p>
          <w:p w14:paraId="0FA88CD0" w14:textId="77777777" w:rsidR="00522B7E" w:rsidRPr="00245DCA" w:rsidRDefault="00522B7E" w:rsidP="003C482A"/>
          <w:p w14:paraId="2BB34157" w14:textId="77777777" w:rsidR="00522B7E" w:rsidRPr="00245DCA" w:rsidRDefault="00522B7E" w:rsidP="003C482A"/>
          <w:p w14:paraId="7012312C" w14:textId="77777777" w:rsidR="00522B7E" w:rsidRPr="00245DCA" w:rsidRDefault="00522B7E" w:rsidP="003C482A"/>
          <w:p w14:paraId="51945E16" w14:textId="77777777" w:rsidR="00522B7E" w:rsidRPr="00245DCA" w:rsidRDefault="00522B7E" w:rsidP="003C482A"/>
          <w:p w14:paraId="0E469DBC" w14:textId="77777777" w:rsidR="00522B7E" w:rsidRPr="00245DCA" w:rsidRDefault="00522B7E" w:rsidP="003C482A"/>
          <w:p w14:paraId="54375B55" w14:textId="1E154469" w:rsidR="003C482A" w:rsidRPr="00245DCA" w:rsidRDefault="003C482A" w:rsidP="003C482A"/>
        </w:tc>
      </w:tr>
      <w:tr w:rsidR="00B052E8" w:rsidRPr="00F90521" w14:paraId="25C1CABF" w14:textId="77777777" w:rsidTr="00734721">
        <w:trPr>
          <w:trHeight w:val="457"/>
        </w:trPr>
        <w:tc>
          <w:tcPr>
            <w:tcW w:w="704" w:type="dxa"/>
          </w:tcPr>
          <w:p w14:paraId="280B2628" w14:textId="2313F57D" w:rsidR="00B052E8" w:rsidRPr="00F90521" w:rsidRDefault="00B052E8" w:rsidP="00B052E8">
            <w:r w:rsidRPr="00F90521">
              <w:t>3.</w:t>
            </w:r>
          </w:p>
        </w:tc>
        <w:tc>
          <w:tcPr>
            <w:tcW w:w="4678" w:type="dxa"/>
          </w:tcPr>
          <w:p w14:paraId="4EC38806" w14:textId="4FBD8697" w:rsidR="00B052E8" w:rsidRPr="00CA18A6" w:rsidRDefault="00B052E8" w:rsidP="00B052E8">
            <w:pPr>
              <w:jc w:val="both"/>
              <w:rPr>
                <w:rFonts w:ascii="Times New Roman" w:eastAsia="Times New Roman" w:hAnsi="Times New Roman" w:cs="Times New Roman"/>
                <w:color w:val="00241A"/>
                <w:lang w:eastAsia="lt-LT"/>
              </w:rPr>
            </w:pPr>
            <w:r w:rsidRPr="00CA18A6">
              <w:rPr>
                <w:rFonts w:ascii="Times New Roman" w:eastAsia="Times New Roman" w:hAnsi="Times New Roman" w:cs="Times New Roman"/>
                <w:color w:val="00241A"/>
                <w:lang w:eastAsia="lt-LT"/>
              </w:rPr>
              <w:t>Dėl specialistų patirties vertinimo:</w:t>
            </w:r>
            <w:r w:rsidRPr="00CA18A6">
              <w:rPr>
                <w:rFonts w:ascii="Times New Roman" w:eastAsia="Times New Roman" w:hAnsi="Times New Roman" w:cs="Times New Roman"/>
                <w:color w:val="00241A"/>
                <w:lang w:eastAsia="lt-LT"/>
              </w:rPr>
              <w:br/>
            </w:r>
            <w:r w:rsidRPr="00CA18A6">
              <w:rPr>
                <w:rFonts w:ascii="Times New Roman" w:eastAsia="Times New Roman" w:hAnsi="Times New Roman" w:cs="Times New Roman"/>
                <w:color w:val="00241A"/>
                <w:lang w:eastAsia="lt-LT"/>
              </w:rPr>
              <w:br/>
              <w:t>a) Ar vertinant kvalifikaciją bus laikoma, kad atitinka ir tie specialistai, kurie dirbo kaip architektai, bet nebuvo aiškiai įvardinti kaip „ekspozicijų projektuotojai“, tačiau jų projektai aiškiai susiję su ekspozicijų turiniu ir sprendiniais?</w:t>
            </w:r>
            <w:r w:rsidRPr="00CA18A6">
              <w:rPr>
                <w:rFonts w:ascii="Times New Roman" w:eastAsia="Times New Roman" w:hAnsi="Times New Roman" w:cs="Times New Roman"/>
                <w:color w:val="00241A"/>
                <w:lang w:eastAsia="lt-LT"/>
              </w:rPr>
              <w:br/>
            </w:r>
            <w:r w:rsidRPr="00CA18A6">
              <w:rPr>
                <w:rFonts w:ascii="Times New Roman" w:eastAsia="Times New Roman" w:hAnsi="Times New Roman" w:cs="Times New Roman"/>
                <w:color w:val="00241A"/>
                <w:lang w:eastAsia="lt-LT"/>
              </w:rPr>
              <w:lastRenderedPageBreak/>
              <w:br/>
            </w:r>
          </w:p>
        </w:tc>
        <w:tc>
          <w:tcPr>
            <w:tcW w:w="4573" w:type="dxa"/>
          </w:tcPr>
          <w:p w14:paraId="3E463090" w14:textId="34E121F4" w:rsidR="00B052E8" w:rsidRPr="00245DCA" w:rsidRDefault="00B052E8" w:rsidP="00B052E8">
            <w:pPr>
              <w:jc w:val="both"/>
            </w:pPr>
            <w:r w:rsidRPr="00522B7E">
              <w:rPr>
                <w:rFonts w:ascii="Times New Roman" w:hAnsi="Times New Roman" w:cs="Times New Roman"/>
              </w:rPr>
              <w:lastRenderedPageBreak/>
              <w:t xml:space="preserve">a) Taip, </w:t>
            </w:r>
            <w:r w:rsidRPr="00CA18A6">
              <w:rPr>
                <w:rFonts w:ascii="Times New Roman" w:eastAsia="Times New Roman" w:hAnsi="Times New Roman" w:cs="Times New Roman"/>
                <w:color w:val="00241A"/>
                <w:lang w:eastAsia="lt-LT"/>
              </w:rPr>
              <w:t>vertinant kvalifikaciją bus laikoma, kad atitinka ir tie specialistai, kurie dirbo kaip architektai, bet nebuvo įvardinti kaip „ekspozicijų projektuotojai“, tačiau jų projektai susiję su ekspozicijų turiniu ir sprendiniais</w:t>
            </w:r>
            <w:r>
              <w:rPr>
                <w:rFonts w:ascii="Times New Roman" w:eastAsia="Times New Roman" w:hAnsi="Times New Roman" w:cs="Times New Roman"/>
                <w:color w:val="00241A"/>
                <w:lang w:eastAsia="lt-LT"/>
              </w:rPr>
              <w:t>.</w:t>
            </w:r>
          </w:p>
        </w:tc>
      </w:tr>
      <w:tr w:rsidR="00B052E8" w:rsidRPr="00F90521" w14:paraId="285CD16A" w14:textId="77777777" w:rsidTr="007C5C2D">
        <w:trPr>
          <w:trHeight w:val="7175"/>
        </w:trPr>
        <w:tc>
          <w:tcPr>
            <w:tcW w:w="704" w:type="dxa"/>
          </w:tcPr>
          <w:p w14:paraId="6A9A3CA9" w14:textId="65F28412" w:rsidR="00B052E8" w:rsidRPr="00F90521" w:rsidRDefault="00B052E8" w:rsidP="00B052E8">
            <w:r w:rsidRPr="00F90521">
              <w:t>4.</w:t>
            </w:r>
          </w:p>
        </w:tc>
        <w:tc>
          <w:tcPr>
            <w:tcW w:w="4678" w:type="dxa"/>
          </w:tcPr>
          <w:p w14:paraId="3A160E10" w14:textId="0EF1449D" w:rsidR="00B052E8" w:rsidRPr="005B1E8C" w:rsidRDefault="00B052E8" w:rsidP="00B052E8">
            <w:pPr>
              <w:jc w:val="both"/>
              <w:rPr>
                <w:rFonts w:ascii="Times New Roman" w:hAnsi="Times New Roman" w:cs="Times New Roman"/>
              </w:rPr>
            </w:pPr>
            <w:r w:rsidRPr="00CA18A6">
              <w:rPr>
                <w:rFonts w:ascii="Times New Roman" w:eastAsia="Times New Roman" w:hAnsi="Times New Roman" w:cs="Times New Roman"/>
                <w:color w:val="00241A"/>
                <w:lang w:eastAsia="lt-LT"/>
              </w:rPr>
              <w:t>Konkurso sąlygose nurodoma, kad pirkimo objektas apima statinio informacinio modelio (BIM) techninį darbo projektą.</w:t>
            </w:r>
            <w:r w:rsidRPr="00CA18A6">
              <w:rPr>
                <w:rFonts w:ascii="Times New Roman" w:eastAsia="Times New Roman" w:hAnsi="Times New Roman" w:cs="Times New Roman"/>
                <w:color w:val="00241A"/>
                <w:lang w:eastAsia="lt-LT"/>
              </w:rPr>
              <w:br/>
            </w:r>
            <w:r w:rsidRPr="00A646E4">
              <w:rPr>
                <w:rFonts w:ascii="Times New Roman" w:eastAsia="Times New Roman" w:hAnsi="Times New Roman" w:cs="Times New Roman"/>
                <w:lang w:eastAsia="lt-LT"/>
              </w:rPr>
              <w:t>Vis dėlto pirkimo dokumentuose nėra pateikti jokie konkretūs BIM projektavimo reikalavimai – tokie kaip informacijos lygiai (LOD), modelio turinys, naudojami formatai, koordinavimo taisyklės, bendroji duomenų aplinka ar kita su BIM taikymu susijusi informacija.</w:t>
            </w:r>
            <w:r w:rsidRPr="00A646E4">
              <w:rPr>
                <w:rFonts w:ascii="Times New Roman" w:eastAsia="Times New Roman" w:hAnsi="Times New Roman" w:cs="Times New Roman"/>
                <w:lang w:eastAsia="lt-LT"/>
              </w:rPr>
              <w:br/>
            </w:r>
            <w:r w:rsidRPr="00A646E4">
              <w:rPr>
                <w:rFonts w:ascii="Times New Roman" w:eastAsia="Times New Roman" w:hAnsi="Times New Roman" w:cs="Times New Roman"/>
                <w:lang w:eastAsia="lt-LT"/>
              </w:rPr>
              <w:br/>
              <w:t>Taip pat prašome patikslinti</w:t>
            </w:r>
            <w:r w:rsidRPr="00CA18A6">
              <w:rPr>
                <w:rFonts w:ascii="Times New Roman" w:eastAsia="Times New Roman" w:hAnsi="Times New Roman" w:cs="Times New Roman"/>
                <w:color w:val="00241A"/>
                <w:lang w:eastAsia="lt-LT"/>
              </w:rPr>
              <w:t>, ar BIM projektavimo reikalavimai bus rengiami vadovaujantis nacionaliniais (pvz. Aplinkos ministerijos) ar perkančiosios organizacijos specifiniais dokumentais (pvz. užsakovo informacijos reikalavimais, BIM gairėmis ir pan.), kad būtų galima objektyviai įvertinti numatomų paslaugų apimtį ir sudaryti konkurencingą, pagrįstą pasiūlymą.</w:t>
            </w:r>
            <w:r w:rsidRPr="00CA18A6">
              <w:rPr>
                <w:rFonts w:ascii="Times New Roman" w:eastAsia="Times New Roman" w:hAnsi="Times New Roman" w:cs="Times New Roman"/>
                <w:color w:val="00241A"/>
                <w:lang w:eastAsia="lt-LT"/>
              </w:rPr>
              <w:br/>
            </w:r>
            <w:r w:rsidRPr="00CA18A6">
              <w:rPr>
                <w:rFonts w:ascii="Times New Roman" w:eastAsia="Times New Roman" w:hAnsi="Times New Roman" w:cs="Times New Roman"/>
                <w:color w:val="00241A"/>
                <w:lang w:eastAsia="lt-LT"/>
              </w:rPr>
              <w:br/>
              <w:t>Kadangi šie reikalavimai tiesiogiai daro įtaką projektavimo darbo apimtims, pasirenkamai komandos sudėčiai, sąnaudoms ir pasiūlymo kainai, prašome pateikti šiuos Užsakovo BIM reikalavimus (EIR).</w:t>
            </w:r>
          </w:p>
        </w:tc>
        <w:tc>
          <w:tcPr>
            <w:tcW w:w="4573" w:type="dxa"/>
          </w:tcPr>
          <w:p w14:paraId="24ECB808" w14:textId="6CE5901B" w:rsidR="00B052E8" w:rsidRPr="00522B7E" w:rsidRDefault="00B052E8" w:rsidP="00B052E8">
            <w:pPr>
              <w:jc w:val="both"/>
              <w:rPr>
                <w:rFonts w:ascii="Times New Roman" w:hAnsi="Times New Roman" w:cs="Times New Roman"/>
              </w:rPr>
            </w:pPr>
            <w:r>
              <w:rPr>
                <w:rFonts w:ascii="Times New Roman" w:hAnsi="Times New Roman" w:cs="Times New Roman"/>
              </w:rPr>
              <w:t>Atsižvelgiant į tai, kad ši</w:t>
            </w:r>
            <w:r w:rsidR="001C0A17">
              <w:rPr>
                <w:rFonts w:ascii="Times New Roman" w:hAnsi="Times New Roman" w:cs="Times New Roman"/>
              </w:rPr>
              <w:t>ems</w:t>
            </w:r>
            <w:r>
              <w:rPr>
                <w:rFonts w:ascii="Times New Roman" w:hAnsi="Times New Roman" w:cs="Times New Roman"/>
              </w:rPr>
              <w:t xml:space="preserve"> klausim</w:t>
            </w:r>
            <w:r w:rsidR="001C0A17">
              <w:rPr>
                <w:rFonts w:ascii="Times New Roman" w:hAnsi="Times New Roman" w:cs="Times New Roman"/>
              </w:rPr>
              <w:t xml:space="preserve">ams </w:t>
            </w:r>
            <w:r>
              <w:rPr>
                <w:rFonts w:ascii="Times New Roman" w:hAnsi="Times New Roman" w:cs="Times New Roman"/>
              </w:rPr>
              <w:t xml:space="preserve">atsakyti </w:t>
            </w:r>
            <w:r w:rsidR="001C0A17">
              <w:rPr>
                <w:rFonts w:ascii="Times New Roman" w:hAnsi="Times New Roman" w:cs="Times New Roman"/>
              </w:rPr>
              <w:t xml:space="preserve">reikalinga papildoma informacija, </w:t>
            </w:r>
            <w:r>
              <w:rPr>
                <w:rFonts w:ascii="Times New Roman" w:hAnsi="Times New Roman" w:cs="Times New Roman"/>
              </w:rPr>
              <w:t xml:space="preserve"> perkančioji organizacija atsakymus </w:t>
            </w:r>
            <w:r w:rsidR="001C0A17">
              <w:rPr>
                <w:rFonts w:ascii="Times New Roman" w:hAnsi="Times New Roman" w:cs="Times New Roman"/>
              </w:rPr>
              <w:t xml:space="preserve">į šiuos klausimus </w:t>
            </w:r>
            <w:r>
              <w:rPr>
                <w:rFonts w:ascii="Times New Roman" w:hAnsi="Times New Roman" w:cs="Times New Roman"/>
              </w:rPr>
              <w:t xml:space="preserve">pateiks </w:t>
            </w:r>
            <w:r w:rsidR="001C0A17">
              <w:rPr>
                <w:rFonts w:ascii="Times New Roman" w:hAnsi="Times New Roman" w:cs="Times New Roman"/>
              </w:rPr>
              <w:t xml:space="preserve">ne vėliau kaip iki </w:t>
            </w:r>
            <w:proofErr w:type="spellStart"/>
            <w:r w:rsidR="001C0A17">
              <w:rPr>
                <w:rFonts w:ascii="Times New Roman" w:hAnsi="Times New Roman" w:cs="Times New Roman"/>
              </w:rPr>
              <w:t>š.m</w:t>
            </w:r>
            <w:proofErr w:type="spellEnd"/>
            <w:r w:rsidR="001C0A17">
              <w:rPr>
                <w:rFonts w:ascii="Times New Roman" w:hAnsi="Times New Roman" w:cs="Times New Roman"/>
              </w:rPr>
              <w:t xml:space="preserve">. liepos 25 d. </w:t>
            </w:r>
          </w:p>
        </w:tc>
      </w:tr>
    </w:tbl>
    <w:bookmarkEnd w:id="0"/>
    <w:p w14:paraId="09DC11CC" w14:textId="39902AFB" w:rsidR="008A4F7D" w:rsidRPr="008A4F7D" w:rsidRDefault="007D4EC3" w:rsidP="008A4F7D">
      <w:r>
        <w:rPr>
          <w:noProof/>
        </w:rPr>
        <mc:AlternateContent>
          <mc:Choice Requires="wpi">
            <w:drawing>
              <wp:anchor distT="0" distB="0" distL="114300" distR="114300" simplePos="0" relativeHeight="251664384" behindDoc="0" locked="0" layoutInCell="1" allowOverlap="1" wp14:anchorId="6ACDA34B" wp14:editId="4948AD75">
                <wp:simplePos x="0" y="0"/>
                <wp:positionH relativeFrom="column">
                  <wp:posOffset>9547875</wp:posOffset>
                </wp:positionH>
                <wp:positionV relativeFrom="paragraph">
                  <wp:posOffset>-3647635</wp:posOffset>
                </wp:positionV>
                <wp:extent cx="360" cy="360"/>
                <wp:effectExtent l="38100" t="38100" r="38100" b="38100"/>
                <wp:wrapNone/>
                <wp:docPr id="1772702301" name="Rankraštį 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7D98A3B3" id="Rankraštį 4" o:spid="_x0000_s1026" type="#_x0000_t75" style="position:absolute;margin-left:751.3pt;margin-top:-287.7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Ttox98cBAABqBAAAEAAAAAAAAAAAAAAAAADTAwAA&#10;ZHJzL2luay9pbmsxLnhtbFBLAQItABQABgAIAAAAIQDSARd34AAAAA8BAAAPAAAAAAAAAAAAAAAA&#10;AMgFAABkcnMvZG93bnJldi54bWxQSwECLQAUAAYACAAAACEAeRi8nb8AAAAhAQAAGQAAAAAAAAAA&#10;AAAAAADVBgAAZHJzL19yZWxzL2Uyb0RvYy54bWwucmVsc1BLBQYAAAAABgAGAHgBAADLBwAAAAA=&#10;">
                <v:imagedata r:id="rId12" o:title=""/>
              </v:shape>
            </w:pict>
          </mc:Fallback>
        </mc:AlternateContent>
      </w:r>
      <w:r w:rsidR="00AA35F8">
        <w:rPr>
          <w:noProof/>
        </w:rPr>
        <mc:AlternateContent>
          <mc:Choice Requires="wpi">
            <w:drawing>
              <wp:anchor distT="0" distB="0" distL="114300" distR="114300" simplePos="0" relativeHeight="251659264" behindDoc="0" locked="0" layoutInCell="1" allowOverlap="1" wp14:anchorId="419464D3" wp14:editId="108BE236">
                <wp:simplePos x="0" y="0"/>
                <wp:positionH relativeFrom="column">
                  <wp:posOffset>9176070</wp:posOffset>
                </wp:positionH>
                <wp:positionV relativeFrom="paragraph">
                  <wp:posOffset>-3214825</wp:posOffset>
                </wp:positionV>
                <wp:extent cx="66600" cy="34200"/>
                <wp:effectExtent l="38100" t="38100" r="48260" b="42545"/>
                <wp:wrapNone/>
                <wp:docPr id="1163182832" name="Rankraštį 2"/>
                <wp:cNvGraphicFramePr/>
                <a:graphic xmlns:a="http://schemas.openxmlformats.org/drawingml/2006/main">
                  <a:graphicData uri="http://schemas.microsoft.com/office/word/2010/wordprocessingInk">
                    <w14:contentPart bwMode="auto" r:id="rId14">
                      <w14:nvContentPartPr>
                        <w14:cNvContentPartPr/>
                      </w14:nvContentPartPr>
                      <w14:xfrm>
                        <a:off x="0" y="0"/>
                        <a:ext cx="66600" cy="34200"/>
                      </w14:xfrm>
                    </w14:contentPart>
                  </a:graphicData>
                </a:graphic>
              </wp:anchor>
            </w:drawing>
          </mc:Choice>
          <mc:Fallback>
            <w:pict>
              <v:shape w14:anchorId="7BD8ABE2" id="Rankraštį 2" o:spid="_x0000_s1026" type="#_x0000_t75" style="position:absolute;margin-left:722.05pt;margin-top:-253.65pt;width:6.25pt;height:3.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">
                <v:imagedata r:id="rId17" o:title=""/>
              </v:shape>
            </w:pict>
          </mc:Fallback>
        </mc:AlternateContent>
      </w:r>
    </w:p>
    <w:p w14:paraId="7BDF497C" w14:textId="0BE033FC" w:rsidR="006910DD" w:rsidRDefault="006910DD" w:rsidP="00063F55"/>
    <w:sectPr w:rsidR="006910DD" w:rsidSect="00063F55">
      <w:pgSz w:w="11906" w:h="16838"/>
      <w:pgMar w:top="567" w:right="1134" w:bottom="567"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altName w:val="Yu Gothic"/>
    <w:panose1 w:val="020B0604020202020204"/>
    <w:charset w:val="00"/>
    <w:family w:val="roman"/>
    <w:pitch w:val="variable"/>
    <w:sig w:usb0="00000003" w:usb1="00000000" w:usb2="00000000" w:usb3="00000000" w:csb0="00000001" w:csb1="00000000"/>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6F95"/>
    <w:multiLevelType w:val="hybridMultilevel"/>
    <w:tmpl w:val="D85829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38381E"/>
    <w:multiLevelType w:val="hybridMultilevel"/>
    <w:tmpl w:val="62B2BF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8D0401B"/>
    <w:multiLevelType w:val="hybridMultilevel"/>
    <w:tmpl w:val="78281F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764104">
    <w:abstractNumId w:val="0"/>
  </w:num>
  <w:num w:numId="2" w16cid:durableId="1872649079">
    <w:abstractNumId w:val="1"/>
  </w:num>
  <w:num w:numId="3" w16cid:durableId="954138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DD"/>
    <w:rsid w:val="00063F55"/>
    <w:rsid w:val="000649CA"/>
    <w:rsid w:val="000B7062"/>
    <w:rsid w:val="000E4D3D"/>
    <w:rsid w:val="00160589"/>
    <w:rsid w:val="00187397"/>
    <w:rsid w:val="00191B03"/>
    <w:rsid w:val="001A738A"/>
    <w:rsid w:val="001C0A17"/>
    <w:rsid w:val="00240EA2"/>
    <w:rsid w:val="00245DCA"/>
    <w:rsid w:val="00264DF0"/>
    <w:rsid w:val="00294D03"/>
    <w:rsid w:val="002F712A"/>
    <w:rsid w:val="0030758C"/>
    <w:rsid w:val="003730EA"/>
    <w:rsid w:val="003A086C"/>
    <w:rsid w:val="003C482A"/>
    <w:rsid w:val="00492BBF"/>
    <w:rsid w:val="004B2CAF"/>
    <w:rsid w:val="004C5991"/>
    <w:rsid w:val="004E3C7C"/>
    <w:rsid w:val="004E4BCC"/>
    <w:rsid w:val="00512ABB"/>
    <w:rsid w:val="00522B7E"/>
    <w:rsid w:val="00595F3D"/>
    <w:rsid w:val="005B1E8C"/>
    <w:rsid w:val="005B411B"/>
    <w:rsid w:val="005E5341"/>
    <w:rsid w:val="00637EC2"/>
    <w:rsid w:val="00651D89"/>
    <w:rsid w:val="006910DD"/>
    <w:rsid w:val="006E098D"/>
    <w:rsid w:val="00717FCA"/>
    <w:rsid w:val="00734721"/>
    <w:rsid w:val="00734EB8"/>
    <w:rsid w:val="007D08E8"/>
    <w:rsid w:val="007D4EC3"/>
    <w:rsid w:val="00821754"/>
    <w:rsid w:val="008356D5"/>
    <w:rsid w:val="00845F4D"/>
    <w:rsid w:val="008A4F7D"/>
    <w:rsid w:val="008D02E0"/>
    <w:rsid w:val="008D5AD1"/>
    <w:rsid w:val="008F160E"/>
    <w:rsid w:val="00973D50"/>
    <w:rsid w:val="00991E77"/>
    <w:rsid w:val="009C2D2C"/>
    <w:rsid w:val="009C65BD"/>
    <w:rsid w:val="00A646E4"/>
    <w:rsid w:val="00AA35F8"/>
    <w:rsid w:val="00B045A7"/>
    <w:rsid w:val="00B052E8"/>
    <w:rsid w:val="00B122B4"/>
    <w:rsid w:val="00B22C8C"/>
    <w:rsid w:val="00B47EB1"/>
    <w:rsid w:val="00B83CD1"/>
    <w:rsid w:val="00BB31A5"/>
    <w:rsid w:val="00BB5C81"/>
    <w:rsid w:val="00C223E0"/>
    <w:rsid w:val="00C24F57"/>
    <w:rsid w:val="00C36E99"/>
    <w:rsid w:val="00C4362B"/>
    <w:rsid w:val="00CA00D5"/>
    <w:rsid w:val="00D243A9"/>
    <w:rsid w:val="00DF1994"/>
    <w:rsid w:val="00E37654"/>
    <w:rsid w:val="00E5744F"/>
    <w:rsid w:val="00E701D7"/>
    <w:rsid w:val="00EC4DC1"/>
    <w:rsid w:val="00EF2538"/>
    <w:rsid w:val="00F305FF"/>
    <w:rsid w:val="00F5529E"/>
    <w:rsid w:val="00F7249C"/>
    <w:rsid w:val="00F84225"/>
    <w:rsid w:val="00F90521"/>
    <w:rsid w:val="00F956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7C30"/>
  <w15:docId w15:val="{452103F5-B4B3-4546-8273-E0461079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PingFang SC"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Body2">
    <w:name w:val="Body 2"/>
    <w:qFormat/>
    <w:pPr>
      <w:spacing w:after="40"/>
      <w:jc w:val="both"/>
    </w:pPr>
    <w:rPr>
      <w:rFonts w:ascii="Times New Roman" w:eastAsia="Arial Unicode MS" w:hAnsi="Times New Roman"/>
      <w:color w:val="000000"/>
      <w:kern w:val="0"/>
      <w:sz w:val="22"/>
      <w:szCs w:val="22"/>
      <w:lang w:val="en-US" w:eastAsia="en-GB" w:bidi="ar-SA"/>
      <w14:textOutline w14:w="0" w14:cap="flat" w14:cmpd="sng" w14:algn="ctr">
        <w14:noFill/>
        <w14:prstDash w14:val="solid"/>
        <w14:bevel/>
      </w14:textOutline>
    </w:rPr>
  </w:style>
  <w:style w:type="paragraph" w:styleId="Sraopastraipa">
    <w:name w:val="List Paragraph"/>
    <w:basedOn w:val="prastasis"/>
    <w:uiPriority w:val="34"/>
    <w:qFormat/>
    <w:rsid w:val="004E4BCC"/>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customXml" Target="ink/ink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image" Target="media/image2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customXml" Target="ink/ink5.xml"/><Relationship Id="rId5" Type="http://schemas.openxmlformats.org/officeDocument/2006/relationships/webSettings" Target="webSettings.xml"/><Relationship Id="rId10" Type="http://schemas.openxmlformats.org/officeDocument/2006/relationships/customXml" Target="ink/ink4.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3.xml"/><Relationship Id="rId14" Type="http://schemas.openxmlformats.org/officeDocument/2006/relationships/customXml" Target="ink/ink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9:44.874"/>
    </inkml:context>
    <inkml:brush xml:id="br0">
      <inkml:brushProperty name="width" value="0.035" units="cm"/>
      <inkml:brushProperty name="height" value="0.03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8:30.411"/>
    </inkml:context>
    <inkml:brush xml:id="br0">
      <inkml:brushProperty name="width" value="0.035" units="cm"/>
      <inkml:brushProperty name="height" value="0.035" units="cm"/>
    </inkml:brush>
  </inkml:definitions>
  <inkml:trace contextRef="#ctx0" brushRef="#br0">0 1 24575,'4'0'0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6T11:08:17.934"/>
    </inkml:context>
    <inkml:brush xml:id="br0">
      <inkml:brushProperty name="width" value="0.035" units="cm"/>
      <inkml:brushProperty name="height" value="0.035" units="cm"/>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6T11:08:15.775"/>
    </inkml:context>
    <inkml:brush xml:id="br0">
      <inkml:brushProperty name="width" value="0.035" units="cm"/>
      <inkml:brushProperty name="height" value="0.035" units="cm"/>
      <inkml:brushProperty name="ignorePressure" value="1"/>
    </inkml:brush>
  </inkml:definitions>
  <inkml:trace contextRef="#ctx0" brushRef="#br0">0 1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5T12:29:10.570"/>
    </inkml:context>
    <inkml:brush xml:id="br0">
      <inkml:brushProperty name="width" value="0.035" units="cm"/>
      <inkml:brushProperty name="height" value="0.035" units="cm"/>
    </inkml:brush>
  </inkml:definitions>
  <inkml:trace contextRef="#ctx0" brushRef="#br0">1 1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8:20.307"/>
    </inkml:context>
    <inkml:brush xml:id="br0">
      <inkml:brushProperty name="width" value="0.035" units="cm"/>
      <inkml:brushProperty name="height" value="0.035" units="cm"/>
    </inkml:brush>
  </inkml:definitions>
  <inkml:trace contextRef="#ctx0" brushRef="#br0">0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5T12:29:06.653"/>
    </inkml:context>
    <inkml:brush xml:id="br0">
      <inkml:brushProperty name="width" value="0.035" units="cm"/>
      <inkml:brushProperty name="height" value="0.035" units="cm"/>
    </inkml:brush>
  </inkml:definitions>
  <inkml:trace contextRef="#ctx0" brushRef="#br0">1 95 24575,'9'0'0,"3"-5"0,4-1 0,8-8 0,9-7 0,13-5 0,-2 3-8191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A540-EA1C-44A5-AE82-104604FA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2340</Words>
  <Characters>1334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Narušienė</dc:creator>
  <dc:description/>
  <cp:lastModifiedBy>Deimantė Narušienė</cp:lastModifiedBy>
  <cp:revision>9</cp:revision>
  <cp:lastPrinted>2025-06-20T11:15:00Z</cp:lastPrinted>
  <dcterms:created xsi:type="dcterms:W3CDTF">2025-07-15T12:07:00Z</dcterms:created>
  <dcterms:modified xsi:type="dcterms:W3CDTF">2025-07-17T07:39:00Z</dcterms:modified>
  <dc:language>lt-LT</dc:language>
</cp:coreProperties>
</file>