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454" w:type="dxa"/>
        <w:tblLook w:val="04A0" w:firstRow="1" w:lastRow="0" w:firstColumn="1" w:lastColumn="0" w:noHBand="0" w:noVBand="1"/>
      </w:tblPr>
      <w:tblGrid>
        <w:gridCol w:w="6374"/>
        <w:gridCol w:w="8080"/>
      </w:tblGrid>
      <w:tr w:rsidR="00D634E1" w14:paraId="43296DF5" w14:textId="77777777" w:rsidTr="0049757E">
        <w:trPr>
          <w:trHeight w:val="694"/>
        </w:trPr>
        <w:tc>
          <w:tcPr>
            <w:tcW w:w="14454" w:type="dxa"/>
            <w:gridSpan w:val="2"/>
          </w:tcPr>
          <w:p w14:paraId="0CEB8A68" w14:textId="445F8842" w:rsidR="00D634E1" w:rsidRPr="00750B56" w:rsidRDefault="00D634E1" w:rsidP="00D634E1">
            <w:pPr>
              <w:jc w:val="center"/>
              <w:rPr>
                <w:rFonts w:ascii="Times New Roman" w:hAnsi="Times New Roman" w:cs="Times New Roman"/>
                <w:b/>
                <w:bCs/>
              </w:rPr>
            </w:pPr>
            <w:r>
              <w:rPr>
                <w:rFonts w:ascii="Times New Roman" w:hAnsi="Times New Roman" w:cs="Times New Roman"/>
                <w:b/>
                <w:bCs/>
              </w:rPr>
              <w:t>Molekulinių ir kitų išvežamų tyrimų pirkimo rinkos konsultacija</w:t>
            </w:r>
          </w:p>
        </w:tc>
      </w:tr>
      <w:tr w:rsidR="00750B56" w14:paraId="1A9B6D3F" w14:textId="77777777" w:rsidTr="00750B56">
        <w:trPr>
          <w:trHeight w:val="694"/>
        </w:trPr>
        <w:tc>
          <w:tcPr>
            <w:tcW w:w="6374" w:type="dxa"/>
          </w:tcPr>
          <w:p w14:paraId="35A50AC5" w14:textId="4539F830" w:rsidR="00750B56" w:rsidRPr="00750B56" w:rsidRDefault="00750B56" w:rsidP="001869A4">
            <w:pPr>
              <w:rPr>
                <w:rFonts w:ascii="Times New Roman" w:hAnsi="Times New Roman" w:cs="Times New Roman"/>
                <w:b/>
                <w:bCs/>
              </w:rPr>
            </w:pPr>
            <w:r w:rsidRPr="00750B56">
              <w:rPr>
                <w:rFonts w:ascii="Times New Roman" w:hAnsi="Times New Roman" w:cs="Times New Roman"/>
                <w:b/>
                <w:bCs/>
              </w:rPr>
              <w:t>Rinkos dalyvių siūlymai</w:t>
            </w:r>
          </w:p>
        </w:tc>
        <w:tc>
          <w:tcPr>
            <w:tcW w:w="8080" w:type="dxa"/>
          </w:tcPr>
          <w:p w14:paraId="179AF545" w14:textId="4B339C12" w:rsidR="00750B56" w:rsidRPr="00750B56" w:rsidRDefault="00750B56" w:rsidP="001869A4">
            <w:pPr>
              <w:rPr>
                <w:rFonts w:ascii="Times New Roman" w:hAnsi="Times New Roman" w:cs="Times New Roman"/>
                <w:b/>
                <w:bCs/>
              </w:rPr>
            </w:pPr>
            <w:r w:rsidRPr="00750B56">
              <w:rPr>
                <w:rFonts w:ascii="Times New Roman" w:hAnsi="Times New Roman" w:cs="Times New Roman"/>
                <w:b/>
                <w:bCs/>
              </w:rPr>
              <w:t>Perkančiosios organizacijos atsakymai</w:t>
            </w:r>
          </w:p>
        </w:tc>
      </w:tr>
      <w:tr w:rsidR="00750B56" w14:paraId="3A14FB95" w14:textId="77777777" w:rsidTr="00750B56">
        <w:tc>
          <w:tcPr>
            <w:tcW w:w="6374" w:type="dxa"/>
          </w:tcPr>
          <w:p w14:paraId="18DE4B72" w14:textId="5D948060" w:rsidR="00750B56" w:rsidRPr="00750B56" w:rsidRDefault="00750B56" w:rsidP="00666784">
            <w:pPr>
              <w:rPr>
                <w:rFonts w:ascii="Times New Roman" w:hAnsi="Times New Roman" w:cs="Times New Roman"/>
              </w:rPr>
            </w:pPr>
            <w:r w:rsidRPr="00750B56">
              <w:rPr>
                <w:rFonts w:ascii="Times New Roman" w:hAnsi="Times New Roman" w:cs="Times New Roman"/>
              </w:rPr>
              <w:t>Dėl rinkos dalyvių siūlymų tyrimų atlikimo terminų ilginimui.</w:t>
            </w:r>
          </w:p>
        </w:tc>
        <w:tc>
          <w:tcPr>
            <w:tcW w:w="8080" w:type="dxa"/>
          </w:tcPr>
          <w:p w14:paraId="23011262" w14:textId="30CA78A6" w:rsidR="00750B56" w:rsidRPr="00750B56" w:rsidRDefault="00750B56" w:rsidP="0087602C">
            <w:pPr>
              <w:pStyle w:val="prastasiniatinklio"/>
              <w:jc w:val="both"/>
            </w:pPr>
            <w:r w:rsidRPr="00750B56">
              <w:t xml:space="preserve">Atsižvelgdami į gautus </w:t>
            </w:r>
            <w:r w:rsidR="009A271A">
              <w:t>rinkos dalyvių</w:t>
            </w:r>
            <w:r w:rsidRPr="00750B56">
              <w:t xml:space="preserve"> siūlymus</w:t>
            </w:r>
            <w:r w:rsidR="009A271A">
              <w:t>,</w:t>
            </w:r>
            <w:r w:rsidRPr="00750B56">
              <w:t xml:space="preserve"> bei </w:t>
            </w:r>
            <w:r w:rsidR="009A271A">
              <w:t>Perkančiosios organizacijos</w:t>
            </w:r>
            <w:r w:rsidRPr="00750B56">
              <w:t xml:space="preserve">  poreikius, informuojame, kad tam tikrose pozicijose numatome atlikti techninės specifikacijos korekcijas – patikslinsime reikalavimus dėl tyrimų atlikimo terminų tik tose apimtyse, kur tai objektyviai įmanoma, atsižvelgiant į </w:t>
            </w:r>
            <w:r w:rsidR="009A271A">
              <w:t>Perkančiosios organizacijos</w:t>
            </w:r>
            <w:r w:rsidRPr="00750B56">
              <w:t xml:space="preserve"> gydytojų darbo organizavimą</w:t>
            </w:r>
            <w:r w:rsidR="00D300B9">
              <w:t>,</w:t>
            </w:r>
            <w:r w:rsidRPr="00750B56">
              <w:t xml:space="preserve"> bei pacientų aptarnavimo tvarką. Perkančiajai organizacijai būtinas tyrimų atlikimo terminas, užtikrinantis sklandų medicininių paslaugų teikimą pacientams, jų sveikatos būklės operatyvų vertinimą</w:t>
            </w:r>
            <w:r w:rsidR="009A271A">
              <w:t>,</w:t>
            </w:r>
            <w:r w:rsidRPr="00750B56">
              <w:t xml:space="preserve"> bei gydymo sprendimų </w:t>
            </w:r>
            <w:r w:rsidR="009A271A">
              <w:t>savalaikį priėmimą.</w:t>
            </w:r>
            <w:r w:rsidRPr="00750B56">
              <w:t xml:space="preserve"> </w:t>
            </w:r>
            <w:r w:rsidR="009A271A">
              <w:t>S</w:t>
            </w:r>
            <w:r w:rsidRPr="00750B56">
              <w:t xml:space="preserve">uprantame </w:t>
            </w:r>
            <w:r w:rsidR="009A271A">
              <w:t>rinkos dalyvių</w:t>
            </w:r>
            <w:r w:rsidRPr="00750B56">
              <w:t xml:space="preserve"> siekį optimizuoti kaštus ir darbo procesus, </w:t>
            </w:r>
            <w:r w:rsidR="009A271A">
              <w:t xml:space="preserve">tačiau </w:t>
            </w:r>
            <w:r w:rsidRPr="00750B56">
              <w:t>pažymime, kad mūsų turima darbo organizavimo praktika pagrįstai reikalauja t</w:t>
            </w:r>
            <w:r w:rsidR="009A271A">
              <w:t>echninėje specifikacijoje nurodytų</w:t>
            </w:r>
            <w:r w:rsidRPr="00750B56">
              <w:t xml:space="preserve"> </w:t>
            </w:r>
            <w:r w:rsidR="009A271A">
              <w:t xml:space="preserve">tyrimų </w:t>
            </w:r>
            <w:r w:rsidRPr="00750B56">
              <w:t>atlikimo terminų</w:t>
            </w:r>
            <w:r w:rsidR="009A271A">
              <w:t>.</w:t>
            </w:r>
            <w:r w:rsidRPr="00750B56">
              <w:t xml:space="preserve"> Atsižvelg</w:t>
            </w:r>
            <w:r w:rsidR="009A271A">
              <w:t xml:space="preserve">iant į tai, kas išdėstyta, </w:t>
            </w:r>
            <w:r w:rsidRPr="00750B56">
              <w:t xml:space="preserve">keisime tik tų tyrimų atlikimo terminus, kurie, peržiūrėjus visus </w:t>
            </w:r>
            <w:r w:rsidR="009A271A">
              <w:t xml:space="preserve">svarius </w:t>
            </w:r>
            <w:r w:rsidRPr="00750B56">
              <w:t>a</w:t>
            </w:r>
            <w:r w:rsidR="009A271A">
              <w:t>rgumentus</w:t>
            </w:r>
            <w:r w:rsidRPr="00750B56">
              <w:t xml:space="preserve"> (tiekėjų pasiūlymus, vidaus procedūras, gydytojų poreikius), gali būti adaptuoti nepažeidžiant </w:t>
            </w:r>
            <w:r w:rsidR="009A271A">
              <w:t xml:space="preserve">Perkančiosios organizacijos gydymo </w:t>
            </w:r>
            <w:r w:rsidRPr="00750B56">
              <w:t>įstaigos veiklos efektyvumo</w:t>
            </w:r>
            <w:r w:rsidR="009A271A">
              <w:t>,</w:t>
            </w:r>
            <w:r w:rsidRPr="00750B56">
              <w:t xml:space="preserve"> bei pacientų interesų. Visais kitais atvejais konkretūs</w:t>
            </w:r>
            <w:r w:rsidR="00D300B9">
              <w:t xml:space="preserve"> terminai, nurodyti techninėje specifikacijoje, keičiami nebus.</w:t>
            </w:r>
            <w:r w:rsidRPr="00750B56">
              <w:t xml:space="preserve"> </w:t>
            </w:r>
          </w:p>
        </w:tc>
      </w:tr>
      <w:tr w:rsidR="00750B56" w14:paraId="45D1096B" w14:textId="77777777" w:rsidTr="00750B56">
        <w:tc>
          <w:tcPr>
            <w:tcW w:w="6374" w:type="dxa"/>
          </w:tcPr>
          <w:p w14:paraId="4E46B3E0" w14:textId="05C9C2CF" w:rsidR="00750B56" w:rsidRPr="00750B56" w:rsidRDefault="00750B56" w:rsidP="00666784">
            <w:pPr>
              <w:rPr>
                <w:rFonts w:ascii="Times New Roman" w:hAnsi="Times New Roman" w:cs="Times New Roman"/>
                <w:highlight w:val="yellow"/>
              </w:rPr>
            </w:pPr>
            <w:r w:rsidRPr="00750B56">
              <w:rPr>
                <w:rFonts w:ascii="Times New Roman" w:hAnsi="Times New Roman" w:cs="Times New Roman"/>
              </w:rPr>
              <w:t>Dėl 16 ir 18  ŽPV  genotipų nustatymas, aukštos rizikos (31, 33, 35, 39, 45, 51, 52, 56, 58, 59, 66, 68) genotipų atrankos tyrimo</w:t>
            </w:r>
          </w:p>
        </w:tc>
        <w:tc>
          <w:tcPr>
            <w:tcW w:w="8080" w:type="dxa"/>
          </w:tcPr>
          <w:p w14:paraId="096F7357" w14:textId="007B3450" w:rsidR="00750B56" w:rsidRPr="00750B56" w:rsidRDefault="00750B56" w:rsidP="00750B56">
            <w:pPr>
              <w:pStyle w:val="prastasiniatinklio"/>
            </w:pPr>
            <w:r w:rsidRPr="009A271A">
              <w:t>Bus išbraukta iš pirkimo.</w:t>
            </w:r>
          </w:p>
        </w:tc>
      </w:tr>
      <w:tr w:rsidR="00750B56" w14:paraId="74C78BAF" w14:textId="77777777" w:rsidTr="00D300B9">
        <w:tc>
          <w:tcPr>
            <w:tcW w:w="6374" w:type="dxa"/>
            <w:tcBorders>
              <w:bottom w:val="single" w:sz="4" w:space="0" w:color="auto"/>
            </w:tcBorders>
          </w:tcPr>
          <w:p w14:paraId="47CFC614" w14:textId="29925D2B" w:rsidR="00750B56" w:rsidRPr="00750B56" w:rsidRDefault="00750B56" w:rsidP="00666784">
            <w:pPr>
              <w:rPr>
                <w:rFonts w:ascii="Times New Roman" w:eastAsia="Times New Roman" w:hAnsi="Times New Roman" w:cs="Times New Roman"/>
                <w:i/>
                <w:iCs/>
                <w:lang w:eastAsia="lt-LT"/>
              </w:rPr>
            </w:pPr>
            <w:r w:rsidRPr="00750B56">
              <w:rPr>
                <w:rFonts w:ascii="Times New Roman" w:eastAsia="Times New Roman" w:hAnsi="Times New Roman" w:cs="Times New Roman"/>
                <w:lang w:eastAsia="lt-LT"/>
              </w:rPr>
              <w:t>Skystų terpių citopatologinis gimdos kaklelio tepinėlio tyrimas (ThinPrep PAP), atliekamas gydytojo</w:t>
            </w:r>
          </w:p>
          <w:p w14:paraId="4A425506" w14:textId="77777777" w:rsidR="00750B56" w:rsidRPr="00750B56" w:rsidRDefault="00750B56" w:rsidP="00666784">
            <w:pPr>
              <w:rPr>
                <w:rFonts w:ascii="Times New Roman" w:eastAsia="Times New Roman" w:hAnsi="Times New Roman" w:cs="Times New Roman"/>
                <w:i/>
                <w:iCs/>
                <w:lang w:eastAsia="lt-LT"/>
              </w:rPr>
            </w:pPr>
          </w:p>
          <w:p w14:paraId="2DBAD376" w14:textId="77777777" w:rsidR="00750B56" w:rsidRPr="00750B56" w:rsidRDefault="00750B56" w:rsidP="00666784">
            <w:pPr>
              <w:rPr>
                <w:rFonts w:ascii="Times New Roman" w:eastAsia="Times New Roman" w:hAnsi="Times New Roman" w:cs="Times New Roman"/>
                <w:i/>
                <w:iCs/>
                <w:lang w:eastAsia="lt-LT"/>
              </w:rPr>
            </w:pPr>
          </w:p>
          <w:p w14:paraId="3D3FA2F2" w14:textId="77777777" w:rsidR="00750B56" w:rsidRPr="00750B56" w:rsidRDefault="00750B56" w:rsidP="00666784">
            <w:pPr>
              <w:rPr>
                <w:rFonts w:ascii="Times New Roman" w:eastAsia="Times New Roman" w:hAnsi="Times New Roman" w:cs="Times New Roman"/>
                <w:i/>
                <w:iCs/>
                <w:lang w:eastAsia="lt-LT"/>
              </w:rPr>
            </w:pPr>
          </w:p>
          <w:p w14:paraId="31B64B3C" w14:textId="734F1E05" w:rsidR="00750B56" w:rsidRPr="00750B56" w:rsidRDefault="00750B56" w:rsidP="00666784">
            <w:pPr>
              <w:rPr>
                <w:rFonts w:ascii="Times New Roman" w:hAnsi="Times New Roman" w:cs="Times New Roman"/>
                <w:highlight w:val="yellow"/>
              </w:rPr>
            </w:pPr>
            <w:r w:rsidRPr="00750B56">
              <w:rPr>
                <w:rFonts w:ascii="Times New Roman" w:eastAsia="Times New Roman" w:hAnsi="Times New Roman" w:cs="Times New Roman"/>
                <w:i/>
                <w:iCs/>
                <w:lang w:eastAsia="lt-LT"/>
              </w:rPr>
              <w:t>Siūlome neįvardinti gamintojo pavadinimo, nes tai riboja konkurenciją</w:t>
            </w:r>
          </w:p>
        </w:tc>
        <w:tc>
          <w:tcPr>
            <w:tcW w:w="8080" w:type="dxa"/>
          </w:tcPr>
          <w:p w14:paraId="3970FCB6" w14:textId="4D712440" w:rsidR="00750B56" w:rsidRPr="00750B56" w:rsidRDefault="00750B56" w:rsidP="00666784">
            <w:pPr>
              <w:rPr>
                <w:rFonts w:ascii="Times New Roman" w:hAnsi="Times New Roman" w:cs="Times New Roman"/>
              </w:rPr>
            </w:pPr>
            <w:r w:rsidRPr="00750B56">
              <w:rPr>
                <w:rFonts w:ascii="Times New Roman" w:hAnsi="Times New Roman" w:cs="Times New Roman"/>
              </w:rPr>
              <w:t>Šis tyrimas bus išbrauktas iš pirkimo</w:t>
            </w:r>
            <w:r w:rsidR="009A271A">
              <w:rPr>
                <w:rFonts w:ascii="Times New Roman" w:hAnsi="Times New Roman" w:cs="Times New Roman"/>
              </w:rPr>
              <w:t>.</w:t>
            </w:r>
          </w:p>
        </w:tc>
      </w:tr>
      <w:tr w:rsidR="009A271A" w14:paraId="50188111" w14:textId="77777777" w:rsidTr="00D300B9">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68690C92" w14:textId="77777777" w:rsidR="009A271A" w:rsidRPr="00750B56" w:rsidRDefault="009A271A" w:rsidP="009A271A">
            <w:pPr>
              <w:rPr>
                <w:rFonts w:ascii="Times New Roman" w:eastAsia="Times New Roman" w:hAnsi="Times New Roman" w:cs="Times New Roman"/>
                <w:lang w:eastAsia="lt-LT"/>
              </w:rPr>
            </w:pPr>
            <w:r w:rsidRPr="00750B56">
              <w:rPr>
                <w:rFonts w:ascii="Times New Roman" w:eastAsia="Times New Roman" w:hAnsi="Times New Roman" w:cs="Times New Roman"/>
                <w:lang w:eastAsia="lt-LT"/>
              </w:rPr>
              <w:t>Antinuklearinių antikūnų tyrimas (patvirtinamasis)</w:t>
            </w:r>
          </w:p>
          <w:p w14:paraId="21142890" w14:textId="77777777" w:rsidR="009A271A" w:rsidRPr="00750B56" w:rsidRDefault="009A271A" w:rsidP="009A271A">
            <w:pPr>
              <w:rPr>
                <w:rFonts w:ascii="Times New Roman" w:eastAsia="Times New Roman" w:hAnsi="Times New Roman" w:cs="Times New Roman"/>
                <w:i/>
                <w:iCs/>
                <w:lang w:eastAsia="lt-LT"/>
              </w:rPr>
            </w:pPr>
          </w:p>
          <w:p w14:paraId="0AB55993" w14:textId="1D64E8E4" w:rsidR="009A271A" w:rsidRPr="00750B56" w:rsidRDefault="009A271A" w:rsidP="009A271A">
            <w:pPr>
              <w:rPr>
                <w:rFonts w:ascii="Times New Roman" w:eastAsia="Times New Roman" w:hAnsi="Times New Roman" w:cs="Times New Roman"/>
                <w:lang w:eastAsia="lt-LT"/>
              </w:rPr>
            </w:pPr>
            <w:r w:rsidRPr="00750B56">
              <w:rPr>
                <w:rFonts w:ascii="Times New Roman" w:eastAsia="Times New Roman" w:hAnsi="Times New Roman" w:cs="Times New Roman"/>
                <w:i/>
                <w:iCs/>
                <w:lang w:eastAsia="lt-LT"/>
              </w:rPr>
              <w:lastRenderedPageBreak/>
              <w:t>Tikslinti pavadinimą. Bendrasis pavadinimas yra "Antikūnai prieš išskiriamus iš branduolio antigenus", nurodyti kuriuos antigenus turi apimti tyrimas</w:t>
            </w:r>
          </w:p>
        </w:tc>
        <w:tc>
          <w:tcPr>
            <w:tcW w:w="8080" w:type="dxa"/>
          </w:tcPr>
          <w:p w14:paraId="6A3A0D2E" w14:textId="526AF26E" w:rsidR="009A271A" w:rsidRPr="00750B56" w:rsidRDefault="009A271A" w:rsidP="00D300B9">
            <w:pPr>
              <w:jc w:val="both"/>
              <w:rPr>
                <w:rFonts w:ascii="Times New Roman" w:hAnsi="Times New Roman" w:cs="Times New Roman"/>
              </w:rPr>
            </w:pPr>
            <w:r w:rsidRPr="00750B56">
              <w:rPr>
                <w:rFonts w:ascii="Times New Roman" w:hAnsi="Times New Roman" w:cs="Times New Roman"/>
              </w:rPr>
              <w:lastRenderedPageBreak/>
              <w:t xml:space="preserve">Perkančioji organizacija ketina pataisyti tyrimo pavadinimą į </w:t>
            </w:r>
            <w:r w:rsidR="00D300B9">
              <w:rPr>
                <w:rFonts w:ascii="Times New Roman" w:hAnsi="Times New Roman" w:cs="Times New Roman"/>
              </w:rPr>
              <w:t>„</w:t>
            </w:r>
            <w:r w:rsidRPr="00750B56">
              <w:rPr>
                <w:rFonts w:ascii="Times New Roman" w:hAnsi="Times New Roman" w:cs="Times New Roman"/>
              </w:rPr>
              <w:t>Antikūnai prieš branduolio antigenus (ANA), patvirtinamasis tyrimas</w:t>
            </w:r>
            <w:r w:rsidR="00D300B9">
              <w:rPr>
                <w:rFonts w:ascii="Times New Roman" w:hAnsi="Times New Roman" w:cs="Times New Roman"/>
              </w:rPr>
              <w:t>“</w:t>
            </w:r>
            <w:r w:rsidRPr="00750B56">
              <w:rPr>
                <w:rFonts w:ascii="Times New Roman" w:hAnsi="Times New Roman" w:cs="Times New Roman"/>
              </w:rPr>
              <w:t xml:space="preserve">. Siekdama neriboti </w:t>
            </w:r>
            <w:r w:rsidRPr="00750B56">
              <w:rPr>
                <w:rFonts w:ascii="Times New Roman" w:hAnsi="Times New Roman" w:cs="Times New Roman"/>
              </w:rPr>
              <w:lastRenderedPageBreak/>
              <w:t xml:space="preserve">konkurencijos, </w:t>
            </w:r>
            <w:r w:rsidR="00D300B9">
              <w:rPr>
                <w:rFonts w:ascii="Times New Roman" w:hAnsi="Times New Roman" w:cs="Times New Roman"/>
              </w:rPr>
              <w:t>P</w:t>
            </w:r>
            <w:r w:rsidRPr="00750B56">
              <w:rPr>
                <w:rFonts w:ascii="Times New Roman" w:hAnsi="Times New Roman" w:cs="Times New Roman"/>
              </w:rPr>
              <w:t>erkančioji organizacija nenurodys konkrečių antigenų, nes skirtingos laboratorijos naudoja metodus su skirtingais antigenais.</w:t>
            </w:r>
          </w:p>
        </w:tc>
      </w:tr>
      <w:tr w:rsidR="009A271A" w14:paraId="1B870E1C" w14:textId="77777777" w:rsidTr="00D300B9">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0B230CA1" w14:textId="77777777" w:rsidR="009A271A" w:rsidRPr="00D300B9" w:rsidRDefault="00D300B9" w:rsidP="00D300B9">
            <w:pPr>
              <w:jc w:val="both"/>
              <w:rPr>
                <w:rFonts w:ascii="Times New Roman" w:eastAsia="Times New Roman" w:hAnsi="Times New Roman" w:cs="Times New Roman"/>
                <w:lang w:eastAsia="lt-LT"/>
              </w:rPr>
            </w:pPr>
            <w:r w:rsidRPr="00D300B9">
              <w:rPr>
                <w:rFonts w:ascii="Times New Roman" w:eastAsia="Times New Roman" w:hAnsi="Times New Roman" w:cs="Times New Roman"/>
                <w:lang w:eastAsia="lt-LT"/>
              </w:rPr>
              <w:lastRenderedPageBreak/>
              <w:t xml:space="preserve">Lytiškai plintančių sukėlėjų (C. trachomatis, Ureaplasma, M. genitalium) nustatymas. </w:t>
            </w:r>
          </w:p>
          <w:p w14:paraId="2DD5FF80" w14:textId="5AA842D8" w:rsidR="00D300B9" w:rsidRPr="00750B56" w:rsidRDefault="00D300B9" w:rsidP="00D300B9">
            <w:pPr>
              <w:jc w:val="both"/>
              <w:rPr>
                <w:rFonts w:ascii="Times New Roman" w:hAnsi="Times New Roman" w:cs="Times New Roman"/>
              </w:rPr>
            </w:pPr>
            <w:r w:rsidRPr="00D300B9">
              <w:rPr>
                <w:rFonts w:ascii="Times New Roman" w:eastAsia="Times New Roman" w:hAnsi="Times New Roman" w:cs="Times New Roman"/>
                <w:i/>
                <w:iCs/>
                <w:lang w:eastAsia="lt-LT"/>
              </w:rPr>
              <w:t>Siūlome keisti į Lytiškai plintančių sukėlėjų (Chlamydia trachomatis/ Ureaplasma/ M.genitalium /M.hominis)</w:t>
            </w:r>
          </w:p>
        </w:tc>
        <w:tc>
          <w:tcPr>
            <w:tcW w:w="8080" w:type="dxa"/>
          </w:tcPr>
          <w:p w14:paraId="05B790AB" w14:textId="752D904B" w:rsidR="009A271A" w:rsidRPr="00750B56" w:rsidRDefault="00D300B9" w:rsidP="00D300B9">
            <w:pPr>
              <w:jc w:val="both"/>
              <w:rPr>
                <w:rFonts w:ascii="Times New Roman" w:hAnsi="Times New Roman" w:cs="Times New Roman"/>
              </w:rPr>
            </w:pPr>
            <w:r>
              <w:rPr>
                <w:rFonts w:ascii="Times New Roman" w:hAnsi="Times New Roman" w:cs="Times New Roman"/>
              </w:rPr>
              <w:t>Perkančiosios organizacijos</w:t>
            </w:r>
            <w:r w:rsidR="009A271A" w:rsidRPr="00750B56">
              <w:rPr>
                <w:rFonts w:ascii="Times New Roman" w:hAnsi="Times New Roman" w:cs="Times New Roman"/>
              </w:rPr>
              <w:t xml:space="preserve"> klinikinis poreikis yra tirti </w:t>
            </w:r>
            <w:r>
              <w:rPr>
                <w:rFonts w:ascii="Times New Roman" w:hAnsi="Times New Roman" w:cs="Times New Roman"/>
              </w:rPr>
              <w:t>nurodytus</w:t>
            </w:r>
            <w:r w:rsidR="009A271A" w:rsidRPr="00750B56">
              <w:rPr>
                <w:rFonts w:ascii="Times New Roman" w:hAnsi="Times New Roman" w:cs="Times New Roman"/>
              </w:rPr>
              <w:t xml:space="preserve"> sukėlėjus. Tiekėjui leidžiama pasiūlyti daugiau sukėlėjų turinčius tyrimus, į tiekėjo pasiūlymą neatsižvelgsime</w:t>
            </w:r>
            <w:r>
              <w:rPr>
                <w:rFonts w:ascii="Times New Roman" w:hAnsi="Times New Roman" w:cs="Times New Roman"/>
              </w:rPr>
              <w:t>.</w:t>
            </w:r>
          </w:p>
        </w:tc>
      </w:tr>
      <w:tr w:rsidR="009A271A" w14:paraId="0094A106" w14:textId="77777777" w:rsidTr="00D300B9">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6D652A7C" w14:textId="0329871E" w:rsidR="009A271A" w:rsidRPr="00750B56" w:rsidRDefault="009A271A" w:rsidP="009A271A">
            <w:pPr>
              <w:rPr>
                <w:rFonts w:ascii="Times New Roman" w:eastAsia="Times New Roman" w:hAnsi="Times New Roman" w:cs="Times New Roman"/>
                <w:i/>
                <w:iCs/>
                <w:lang w:eastAsia="lt-LT"/>
              </w:rPr>
            </w:pPr>
            <w:r w:rsidRPr="00750B56">
              <w:rPr>
                <w:rFonts w:ascii="Times New Roman" w:eastAsia="Times New Roman" w:hAnsi="Times New Roman" w:cs="Times New Roman"/>
                <w:lang w:eastAsia="lt-LT"/>
              </w:rPr>
              <w:t>10-ies lytiškai plintančių sukėlėjų (Chl. trachomatis, Neisseria gonorrheae, Mycopl. hominis, Mycopl. genitalium, Ureapl. urealyticum, Ureapl. parvum, Trichomonas vaginalis, Gardnerella vaginalis, Candida albicans, Herpes simplex 1/2) nustatymas PGR</w:t>
            </w:r>
          </w:p>
          <w:p w14:paraId="0F938A35" w14:textId="77777777" w:rsidR="009A271A" w:rsidRPr="00750B56" w:rsidRDefault="009A271A" w:rsidP="009A271A">
            <w:pPr>
              <w:rPr>
                <w:rFonts w:ascii="Times New Roman" w:eastAsia="Times New Roman" w:hAnsi="Times New Roman" w:cs="Times New Roman"/>
                <w:i/>
                <w:iCs/>
                <w:lang w:eastAsia="lt-LT"/>
              </w:rPr>
            </w:pPr>
          </w:p>
          <w:p w14:paraId="566CD7BF" w14:textId="5D1BD3A7" w:rsidR="009A271A" w:rsidRPr="00750B56" w:rsidRDefault="009A271A" w:rsidP="009A271A">
            <w:pPr>
              <w:rPr>
                <w:rFonts w:ascii="Times New Roman" w:hAnsi="Times New Roman" w:cs="Times New Roman"/>
              </w:rPr>
            </w:pPr>
            <w:r w:rsidRPr="00750B56">
              <w:rPr>
                <w:rFonts w:ascii="Times New Roman" w:eastAsia="Times New Roman" w:hAnsi="Times New Roman" w:cs="Times New Roman"/>
                <w:i/>
                <w:iCs/>
                <w:lang w:eastAsia="lt-LT"/>
              </w:rPr>
              <w:t>Siūlome keisti į 10-ies lytiškai plintančių sukėlėjų (Chl. trachomatis, Neisseria gonorrheae, Mycopl. hominis, Mycopl. genitalium, Ureapl. urealyticum, Ureapl. parvum, Trichomonas vaginalis, Gardnerella vaginalis, Candida albicans, Atopobium vaginae)</w:t>
            </w:r>
          </w:p>
        </w:tc>
        <w:tc>
          <w:tcPr>
            <w:tcW w:w="8080" w:type="dxa"/>
          </w:tcPr>
          <w:p w14:paraId="0ABD07E4" w14:textId="56E2F39C" w:rsidR="009A271A" w:rsidRPr="00750B56" w:rsidRDefault="00D300B9" w:rsidP="009A271A">
            <w:pPr>
              <w:rPr>
                <w:rFonts w:ascii="Times New Roman" w:hAnsi="Times New Roman" w:cs="Times New Roman"/>
              </w:rPr>
            </w:pPr>
            <w:r>
              <w:rPr>
                <w:rFonts w:ascii="Times New Roman" w:hAnsi="Times New Roman" w:cs="Times New Roman"/>
              </w:rPr>
              <w:t>Perkančiosios organizacijos</w:t>
            </w:r>
            <w:r w:rsidR="009A271A" w:rsidRPr="00750B56">
              <w:rPr>
                <w:rFonts w:ascii="Times New Roman" w:hAnsi="Times New Roman" w:cs="Times New Roman"/>
              </w:rPr>
              <w:t xml:space="preserve"> klinikinis poreikis yra tirti </w:t>
            </w:r>
            <w:r>
              <w:rPr>
                <w:rFonts w:ascii="Times New Roman" w:hAnsi="Times New Roman" w:cs="Times New Roman"/>
              </w:rPr>
              <w:t>nurodytus</w:t>
            </w:r>
            <w:r w:rsidR="009A271A" w:rsidRPr="00750B56">
              <w:rPr>
                <w:rFonts w:ascii="Times New Roman" w:hAnsi="Times New Roman" w:cs="Times New Roman"/>
              </w:rPr>
              <w:t xml:space="preserve"> sukėlėjus, į Tiekėjo pasiūlymą neatsižvelgsime.</w:t>
            </w:r>
          </w:p>
          <w:p w14:paraId="289D8CF6" w14:textId="77777777" w:rsidR="009A271A" w:rsidRPr="00750B56" w:rsidRDefault="009A271A" w:rsidP="009A271A">
            <w:pPr>
              <w:rPr>
                <w:rFonts w:ascii="Times New Roman" w:hAnsi="Times New Roman" w:cs="Times New Roman"/>
              </w:rPr>
            </w:pPr>
          </w:p>
        </w:tc>
      </w:tr>
      <w:tr w:rsidR="009A271A" w14:paraId="4C0BB0B8" w14:textId="77777777" w:rsidTr="00D300B9">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1AABCE8D" w14:textId="41FE93EC" w:rsidR="009A271A" w:rsidRPr="00750B56" w:rsidRDefault="009A271A" w:rsidP="009A271A">
            <w:pPr>
              <w:rPr>
                <w:rFonts w:ascii="Times New Roman" w:eastAsia="Times New Roman" w:hAnsi="Times New Roman" w:cs="Times New Roman"/>
                <w:i/>
                <w:iCs/>
                <w:lang w:eastAsia="lt-LT"/>
              </w:rPr>
            </w:pPr>
            <w:r w:rsidRPr="00750B56">
              <w:rPr>
                <w:rFonts w:ascii="Times New Roman" w:eastAsia="Times New Roman" w:hAnsi="Times New Roman" w:cs="Times New Roman"/>
                <w:lang w:eastAsia="lt-LT"/>
              </w:rPr>
              <w:t>AntiBeta2 glikoproteino 1 tyrimas</w:t>
            </w:r>
          </w:p>
          <w:p w14:paraId="79933C47" w14:textId="77777777" w:rsidR="009A271A" w:rsidRPr="00750B56" w:rsidRDefault="009A271A" w:rsidP="009A271A">
            <w:pPr>
              <w:rPr>
                <w:rFonts w:ascii="Times New Roman" w:eastAsia="Times New Roman" w:hAnsi="Times New Roman" w:cs="Times New Roman"/>
                <w:i/>
                <w:iCs/>
                <w:lang w:eastAsia="lt-LT"/>
              </w:rPr>
            </w:pPr>
          </w:p>
          <w:p w14:paraId="17FAC602" w14:textId="4C1FC346" w:rsidR="009A271A" w:rsidRPr="00750B56" w:rsidRDefault="009A271A" w:rsidP="009A271A">
            <w:pPr>
              <w:rPr>
                <w:rFonts w:ascii="Times New Roman" w:hAnsi="Times New Roman" w:cs="Times New Roman"/>
              </w:rPr>
            </w:pPr>
            <w:r w:rsidRPr="00750B56">
              <w:rPr>
                <w:rFonts w:ascii="Times New Roman" w:eastAsia="Times New Roman" w:hAnsi="Times New Roman" w:cs="Times New Roman"/>
                <w:i/>
                <w:iCs/>
                <w:lang w:eastAsia="lt-LT"/>
              </w:rPr>
              <w:t xml:space="preserve">Tikslinti pavadinimą: Antikūnai prieš beta2 glikoproteiną 1 (IgGAM) </w:t>
            </w:r>
          </w:p>
        </w:tc>
        <w:tc>
          <w:tcPr>
            <w:tcW w:w="8080" w:type="dxa"/>
          </w:tcPr>
          <w:p w14:paraId="0A8AEEE1" w14:textId="594A2110" w:rsidR="009A271A" w:rsidRPr="00750B56" w:rsidRDefault="009A271A" w:rsidP="009A271A">
            <w:pPr>
              <w:rPr>
                <w:rFonts w:ascii="Times New Roman" w:hAnsi="Times New Roman" w:cs="Times New Roman"/>
              </w:rPr>
            </w:pPr>
            <w:r w:rsidRPr="00750B56">
              <w:rPr>
                <w:rFonts w:ascii="Times New Roman" w:hAnsi="Times New Roman" w:cs="Times New Roman"/>
              </w:rPr>
              <w:t>Šis tyrimas bus išbrauktas iš pirkimo</w:t>
            </w:r>
          </w:p>
        </w:tc>
      </w:tr>
      <w:tr w:rsidR="009A271A" w14:paraId="3FBE874F" w14:textId="77777777" w:rsidTr="00750B56">
        <w:tc>
          <w:tcPr>
            <w:tcW w:w="6374" w:type="dxa"/>
          </w:tcPr>
          <w:p w14:paraId="4DD9054D" w14:textId="4DDF025F" w:rsidR="009A271A" w:rsidRPr="00750B56" w:rsidRDefault="009A271A" w:rsidP="00D300B9">
            <w:pPr>
              <w:jc w:val="both"/>
              <w:rPr>
                <w:rFonts w:ascii="Times New Roman" w:hAnsi="Times New Roman" w:cs="Times New Roman"/>
              </w:rPr>
            </w:pPr>
            <w:r w:rsidRPr="00750B56">
              <w:rPr>
                <w:rFonts w:ascii="Times New Roman" w:eastAsia="Times New Roman" w:hAnsi="Times New Roman" w:cs="Times New Roman"/>
                <w:lang w:eastAsia="lt-LT"/>
              </w:rPr>
              <w:t xml:space="preserve">Bendrųjų reikalavimų punktą 4 keisti ilginant informacinių sistemų terminą iki </w:t>
            </w:r>
            <w:r w:rsidRPr="00750B56">
              <w:rPr>
                <w:rFonts w:ascii="Times New Roman" w:eastAsia="Times New Roman" w:hAnsi="Times New Roman" w:cs="Times New Roman"/>
                <w:b/>
                <w:bCs/>
                <w:lang w:eastAsia="lt-LT"/>
              </w:rPr>
              <w:t>2 mėn.:</w:t>
            </w:r>
            <w:r w:rsidRPr="00750B56">
              <w:rPr>
                <w:rFonts w:ascii="Times New Roman" w:eastAsia="Times New Roman" w:hAnsi="Times New Roman" w:cs="Times New Roman"/>
                <w:lang w:eastAsia="lt-LT"/>
              </w:rPr>
              <w:br/>
            </w:r>
            <w:r w:rsidRPr="00750B56">
              <w:rPr>
                <w:rFonts w:ascii="Times New Roman" w:eastAsia="Times New Roman" w:hAnsi="Times New Roman" w:cs="Times New Roman"/>
                <w:i/>
                <w:iCs/>
                <w:lang w:eastAsia="lt-LT"/>
              </w:rPr>
              <w:t>Sudarius sutartį numatomas 2 mėn. terminas informacinės sistemos integracijai į perkančiosios organizacijos naudojamą LIS (laboratorijos informacinę sistemą MED.I.S.). Taip pat numatomas 1 mėn. bandomasis laikotarpis, per kurį bus išbandoma tiekėjo informacinė sistema ir tyrimų pateikimas, bei atsakymų gavimas per ją. Jeigu darbas su sistema ar integracija nepavyksta, vyksta nesklandžiai, nekokybiškai dėl tiekėjo kaltės, perkančioji organizacija turi teisę nutraukti sutartį dėl tiekėjo kaltės.</w:t>
            </w:r>
          </w:p>
        </w:tc>
        <w:tc>
          <w:tcPr>
            <w:tcW w:w="8080" w:type="dxa"/>
          </w:tcPr>
          <w:p w14:paraId="45FF3D88" w14:textId="57E6DD17" w:rsidR="009A271A" w:rsidRPr="00D300B9" w:rsidRDefault="009A271A" w:rsidP="00D300B9">
            <w:pPr>
              <w:jc w:val="both"/>
              <w:rPr>
                <w:rFonts w:ascii="Times New Roman" w:hAnsi="Times New Roman" w:cs="Times New Roman"/>
              </w:rPr>
            </w:pPr>
            <w:r w:rsidRPr="00D300B9">
              <w:rPr>
                <w:rFonts w:ascii="Times New Roman" w:hAnsi="Times New Roman" w:cs="Times New Roman"/>
              </w:rPr>
              <w:t xml:space="preserve">Dėl 2 mėn. termino informacinės sistemos integracijai į </w:t>
            </w:r>
            <w:r w:rsidR="00D300B9">
              <w:rPr>
                <w:rFonts w:ascii="Times New Roman" w:hAnsi="Times New Roman" w:cs="Times New Roman"/>
              </w:rPr>
              <w:t>P</w:t>
            </w:r>
            <w:r w:rsidRPr="00D300B9">
              <w:rPr>
                <w:rFonts w:ascii="Times New Roman" w:hAnsi="Times New Roman" w:cs="Times New Roman"/>
              </w:rPr>
              <w:t xml:space="preserve">erkančiosios organizacijos naudojamą LIS (laboratorijos informacinę sistemą MED.I.S.) – siekdami užtikrinti sklandų laboratorinių paslaugų teikimą, </w:t>
            </w:r>
            <w:r w:rsidR="00D300B9">
              <w:rPr>
                <w:rFonts w:ascii="Times New Roman" w:hAnsi="Times New Roman" w:cs="Times New Roman"/>
              </w:rPr>
              <w:t>įvertinome</w:t>
            </w:r>
            <w:r w:rsidRPr="00D300B9">
              <w:rPr>
                <w:rFonts w:ascii="Times New Roman" w:hAnsi="Times New Roman" w:cs="Times New Roman"/>
              </w:rPr>
              <w:t xml:space="preserve">, kad 1 mėn. laikas integracijai ir 1 mėn. bandomasis laikotarpis yra pakankamas integracijos darbams atlikti, </w:t>
            </w:r>
            <w:r w:rsidR="00D300B9">
              <w:rPr>
                <w:rFonts w:ascii="Times New Roman" w:hAnsi="Times New Roman" w:cs="Times New Roman"/>
              </w:rPr>
              <w:t>į tiekėjo pastabą neatsižvelgsime.</w:t>
            </w:r>
          </w:p>
          <w:p w14:paraId="19AD4CB7" w14:textId="77777777" w:rsidR="009A271A" w:rsidRPr="00750B56" w:rsidRDefault="009A271A" w:rsidP="009A271A">
            <w:pPr>
              <w:rPr>
                <w:rFonts w:ascii="Times New Roman" w:hAnsi="Times New Roman" w:cs="Times New Roman"/>
              </w:rPr>
            </w:pPr>
          </w:p>
        </w:tc>
      </w:tr>
      <w:tr w:rsidR="009A271A" w14:paraId="3DE41E32" w14:textId="77777777" w:rsidTr="00750B56">
        <w:tc>
          <w:tcPr>
            <w:tcW w:w="6374" w:type="dxa"/>
          </w:tcPr>
          <w:p w14:paraId="112649E7" w14:textId="43AD2835" w:rsidR="009A271A" w:rsidRPr="00750B56" w:rsidRDefault="009A271A" w:rsidP="00D300B9">
            <w:pPr>
              <w:jc w:val="both"/>
              <w:rPr>
                <w:rFonts w:ascii="Times New Roman" w:hAnsi="Times New Roman" w:cs="Times New Roman"/>
              </w:rPr>
            </w:pPr>
            <w:r w:rsidRPr="00750B56">
              <w:rPr>
                <w:rFonts w:ascii="Times New Roman" w:hAnsi="Times New Roman" w:cs="Times New Roman"/>
              </w:rPr>
              <w:lastRenderedPageBreak/>
              <w:t>Tyrimų sąrašo 7 pozicija LAI (laisvojo androgenų indekso) skaičiavimas atliekamas remiantis SHBG (lytinį hormonus surišančio globulino) ir bendrojo testosterono reikšmėmis. SHBG yra numatytas pirkime, tačiau testosteronas – ne. Siekiant užtikrinti galimybę pilnai atlikti LAI tyrimą, siūlome įtraukti ir bendrojo testosterono tyrimą. Tai leistų ne tik atlikti pilnavertę analizę, bet ir sumažintų bendras išlaidas, lyginant su tyrimų atlikimu atskirai.</w:t>
            </w:r>
          </w:p>
        </w:tc>
        <w:tc>
          <w:tcPr>
            <w:tcW w:w="8080" w:type="dxa"/>
          </w:tcPr>
          <w:p w14:paraId="04EDE0AA" w14:textId="4FBD67A5" w:rsidR="009A271A" w:rsidRPr="00750B56" w:rsidRDefault="009A271A" w:rsidP="003D3E64">
            <w:pPr>
              <w:jc w:val="both"/>
              <w:rPr>
                <w:rFonts w:ascii="Times New Roman" w:hAnsi="Times New Roman" w:cs="Times New Roman"/>
              </w:rPr>
            </w:pPr>
            <w:r w:rsidRPr="00750B56">
              <w:rPr>
                <w:rFonts w:ascii="Times New Roman" w:hAnsi="Times New Roman" w:cs="Times New Roman"/>
              </w:rPr>
              <w:t xml:space="preserve">Perkančioji organizacija </w:t>
            </w:r>
            <w:r w:rsidR="00D300B9">
              <w:rPr>
                <w:rFonts w:ascii="Times New Roman" w:hAnsi="Times New Roman" w:cs="Times New Roman"/>
              </w:rPr>
              <w:t>šioje pozicijoje numatė</w:t>
            </w:r>
            <w:r w:rsidRPr="00750B56">
              <w:rPr>
                <w:rFonts w:ascii="Times New Roman" w:hAnsi="Times New Roman" w:cs="Times New Roman"/>
              </w:rPr>
              <w:t xml:space="preserve">, kad į LAI tyrimo kainą </w:t>
            </w:r>
            <w:r w:rsidR="00D300B9">
              <w:rPr>
                <w:rFonts w:ascii="Times New Roman" w:hAnsi="Times New Roman" w:cs="Times New Roman"/>
              </w:rPr>
              <w:t>turi būti</w:t>
            </w:r>
            <w:r w:rsidRPr="00750B56">
              <w:rPr>
                <w:rFonts w:ascii="Times New Roman" w:hAnsi="Times New Roman" w:cs="Times New Roman"/>
              </w:rPr>
              <w:t xml:space="preserve"> įskaičiuoti abu tyrimai SHBG ir testosteronas. </w:t>
            </w:r>
            <w:r w:rsidR="003D3E64">
              <w:rPr>
                <w:rFonts w:ascii="Times New Roman" w:hAnsi="Times New Roman" w:cs="Times New Roman"/>
              </w:rPr>
              <w:t xml:space="preserve">Techninėje specifikacijoje </w:t>
            </w:r>
            <w:r w:rsidRPr="00750B56">
              <w:rPr>
                <w:rFonts w:ascii="Times New Roman" w:hAnsi="Times New Roman" w:cs="Times New Roman"/>
              </w:rPr>
              <w:t>SHGB tyrimų poreikis</w:t>
            </w:r>
            <w:r w:rsidR="003D3E64">
              <w:rPr>
                <w:rFonts w:ascii="Times New Roman" w:hAnsi="Times New Roman" w:cs="Times New Roman"/>
              </w:rPr>
              <w:t xml:space="preserve"> yra</w:t>
            </w:r>
            <w:r w:rsidRPr="00750B56">
              <w:rPr>
                <w:rFonts w:ascii="Times New Roman" w:hAnsi="Times New Roman" w:cs="Times New Roman"/>
              </w:rPr>
              <w:t xml:space="preserve"> numatytas atvejams, kai tyrimas užsakomas atskirai, nepriklausomai nuo LAI.</w:t>
            </w:r>
          </w:p>
        </w:tc>
      </w:tr>
      <w:tr w:rsidR="009A271A" w14:paraId="0257CC40" w14:textId="77777777" w:rsidTr="00750B56">
        <w:tc>
          <w:tcPr>
            <w:tcW w:w="6374" w:type="dxa"/>
          </w:tcPr>
          <w:p w14:paraId="335D6AB1" w14:textId="112A0794" w:rsidR="009A271A" w:rsidRPr="00750B56" w:rsidRDefault="009A271A" w:rsidP="003D3E64">
            <w:pPr>
              <w:jc w:val="both"/>
              <w:rPr>
                <w:rFonts w:ascii="Times New Roman" w:hAnsi="Times New Roman" w:cs="Times New Roman"/>
              </w:rPr>
            </w:pPr>
            <w:r w:rsidRPr="00750B56">
              <w:rPr>
                <w:rFonts w:ascii="Times New Roman" w:hAnsi="Times New Roman" w:cs="Times New Roman"/>
              </w:rPr>
              <w:t>Tyrimo sąrašo 10 pozicijoje žmogaus chorioninio gonadotropino (HCG) ir HCG beta subvieneto koncentracijų nustatymas yra sujungtas į vieną tyrimą. Siūlome šiuos tyrimus atskirti, nes praktikoje jie dažnai atliekami atskirai, priklausomai nuo klinikinės indikacijos. Atliekant tyrimus atskirai, galima užtikrinti lankstesnį tyrimų taikymą pagal poreikį. Toks sprendimas taip pat galėtų padėti optimizuoti išlaidas, kadangi nebūtų būtina atlikti abiejų tyrimų vienu metu, kai to nereikalauja situacija.</w:t>
            </w:r>
          </w:p>
        </w:tc>
        <w:tc>
          <w:tcPr>
            <w:tcW w:w="8080" w:type="dxa"/>
          </w:tcPr>
          <w:p w14:paraId="6C0896AF" w14:textId="6A80833F" w:rsidR="009A271A" w:rsidRPr="003D3E64" w:rsidRDefault="009A271A" w:rsidP="003D3E64">
            <w:pPr>
              <w:jc w:val="both"/>
              <w:rPr>
                <w:rFonts w:ascii="Times New Roman" w:hAnsi="Times New Roman" w:cs="Times New Roman"/>
              </w:rPr>
            </w:pPr>
            <w:r w:rsidRPr="003D3E64">
              <w:rPr>
                <w:rFonts w:ascii="Times New Roman" w:hAnsi="Times New Roman" w:cs="Times New Roman"/>
              </w:rPr>
              <w:t xml:space="preserve">Dėl žmogaus chorioninio gonadotropino (HCG) ir HCG beta subvieneto koncentracijų nustatymo – </w:t>
            </w:r>
            <w:r w:rsidR="003D3E64">
              <w:rPr>
                <w:rFonts w:ascii="Times New Roman" w:hAnsi="Times New Roman" w:cs="Times New Roman"/>
              </w:rPr>
              <w:t>P</w:t>
            </w:r>
            <w:r w:rsidRPr="003D3E64">
              <w:rPr>
                <w:rFonts w:ascii="Times New Roman" w:hAnsi="Times New Roman" w:cs="Times New Roman"/>
              </w:rPr>
              <w:t xml:space="preserve">erkančioji organizacija </w:t>
            </w:r>
            <w:r w:rsidR="003D3E64">
              <w:rPr>
                <w:rFonts w:ascii="Times New Roman" w:hAnsi="Times New Roman" w:cs="Times New Roman"/>
              </w:rPr>
              <w:t>planuoja</w:t>
            </w:r>
            <w:r w:rsidRPr="003D3E64">
              <w:rPr>
                <w:rFonts w:ascii="Times New Roman" w:hAnsi="Times New Roman" w:cs="Times New Roman"/>
              </w:rPr>
              <w:t xml:space="preserve"> pataisyti tyrimo pavadinimą į </w:t>
            </w:r>
            <w:r w:rsidR="003D3E64">
              <w:rPr>
                <w:rFonts w:ascii="Times New Roman" w:hAnsi="Times New Roman" w:cs="Times New Roman"/>
              </w:rPr>
              <w:t>„</w:t>
            </w:r>
            <w:r w:rsidRPr="003D3E64">
              <w:rPr>
                <w:rFonts w:ascii="Times New Roman" w:hAnsi="Times New Roman" w:cs="Times New Roman"/>
              </w:rPr>
              <w:t>Chorioninis gonadotropinas (HCG), bendrasis</w:t>
            </w:r>
            <w:r w:rsidR="003D3E64">
              <w:rPr>
                <w:rFonts w:ascii="Times New Roman" w:hAnsi="Times New Roman" w:cs="Times New Roman"/>
              </w:rPr>
              <w:t>“</w:t>
            </w:r>
            <w:r w:rsidRPr="003D3E64">
              <w:rPr>
                <w:rFonts w:ascii="Times New Roman" w:hAnsi="Times New Roman" w:cs="Times New Roman"/>
              </w:rPr>
              <w:t>.</w:t>
            </w:r>
          </w:p>
          <w:p w14:paraId="21D2DD46" w14:textId="77777777" w:rsidR="009A271A" w:rsidRPr="00750B56" w:rsidRDefault="009A271A" w:rsidP="009A271A">
            <w:pPr>
              <w:rPr>
                <w:rFonts w:ascii="Times New Roman" w:hAnsi="Times New Roman" w:cs="Times New Roman"/>
              </w:rPr>
            </w:pPr>
          </w:p>
        </w:tc>
      </w:tr>
      <w:tr w:rsidR="009A271A" w14:paraId="653799A9" w14:textId="77777777" w:rsidTr="00750B56">
        <w:tc>
          <w:tcPr>
            <w:tcW w:w="6374" w:type="dxa"/>
          </w:tcPr>
          <w:p w14:paraId="022ADA7F" w14:textId="25B60C87" w:rsidR="009A271A" w:rsidRPr="00750B56" w:rsidRDefault="009A271A" w:rsidP="009A271A">
            <w:pPr>
              <w:rPr>
                <w:rFonts w:ascii="Times New Roman" w:hAnsi="Times New Roman" w:cs="Times New Roman"/>
              </w:rPr>
            </w:pPr>
            <w:r w:rsidRPr="00750B56">
              <w:rPr>
                <w:rFonts w:ascii="Times New Roman" w:hAnsi="Times New Roman" w:cs="Times New Roman"/>
              </w:rPr>
              <w:t>Tyrimo sąrašo 18 pozicijoje bendras hepatito A viruso antikūnų (Anti-HAV) tyrimas nėra atliekamas, nes daugeliu atvejų nėra tikslinga vertinti bendrą antikūnų kiekį. Klinikinėje praktikoje dažniausiai reikalinga diferencijuoti ūminę ar persirgtą infekciją, todėl būtinas tikslus antikūnų klasės nustatymas. Siūlome įtraukti hepatito A viruso IgG ir IgM klasės antikūnų (Anti-HAV IgG ir Anti-HAV IgM) tyrimus. Tai leistų atlikti tikslesnę diagnostiką ir užtikrintų tyrimo klinikinę naudą.</w:t>
            </w:r>
          </w:p>
        </w:tc>
        <w:tc>
          <w:tcPr>
            <w:tcW w:w="8080" w:type="dxa"/>
          </w:tcPr>
          <w:p w14:paraId="530C6E0B" w14:textId="3D9CE38C" w:rsidR="009A271A" w:rsidRPr="003D3E64" w:rsidRDefault="009A271A" w:rsidP="003D3E64">
            <w:pPr>
              <w:rPr>
                <w:rFonts w:ascii="Times New Roman" w:hAnsi="Times New Roman" w:cs="Times New Roman"/>
              </w:rPr>
            </w:pPr>
            <w:r w:rsidRPr="003D3E64">
              <w:rPr>
                <w:rFonts w:ascii="Times New Roman" w:hAnsi="Times New Roman" w:cs="Times New Roman"/>
              </w:rPr>
              <w:t xml:space="preserve">Dėl bendro hepatito A viruso antikūnų (Anti-HAV) tyrimo - tarp rinkos dalyvių yra laboratorijų, kurios atlieka šį tyrimą, todėl Anti-HAV IgG tyrimo įtraukti neketiname. Bendras hepatito A viruso antikūnų (Anti-HAV) tyrimas atitinka </w:t>
            </w:r>
            <w:r w:rsidR="003D3E64">
              <w:rPr>
                <w:rFonts w:ascii="Times New Roman" w:hAnsi="Times New Roman" w:cs="Times New Roman"/>
              </w:rPr>
              <w:t>Perkančiosios organizacijos</w:t>
            </w:r>
            <w:r w:rsidRPr="003D3E64">
              <w:rPr>
                <w:rFonts w:ascii="Times New Roman" w:hAnsi="Times New Roman" w:cs="Times New Roman"/>
              </w:rPr>
              <w:t xml:space="preserve"> klinikinius poreikius.</w:t>
            </w:r>
          </w:p>
          <w:p w14:paraId="410CEBE4" w14:textId="77777777" w:rsidR="009A271A" w:rsidRPr="00750B56" w:rsidRDefault="009A271A" w:rsidP="009A271A">
            <w:pPr>
              <w:rPr>
                <w:rFonts w:ascii="Times New Roman" w:hAnsi="Times New Roman" w:cs="Times New Roman"/>
              </w:rPr>
            </w:pPr>
          </w:p>
        </w:tc>
      </w:tr>
      <w:tr w:rsidR="009A271A" w14:paraId="47C7763B" w14:textId="77777777" w:rsidTr="00750B56">
        <w:tc>
          <w:tcPr>
            <w:tcW w:w="6374" w:type="dxa"/>
          </w:tcPr>
          <w:p w14:paraId="65DD66C0" w14:textId="56D4E962" w:rsidR="009A271A" w:rsidRPr="00750B56" w:rsidRDefault="009A271A" w:rsidP="009A271A">
            <w:pPr>
              <w:rPr>
                <w:rFonts w:ascii="Times New Roman" w:hAnsi="Times New Roman" w:cs="Times New Roman"/>
              </w:rPr>
            </w:pPr>
            <w:r w:rsidRPr="00750B56">
              <w:rPr>
                <w:rFonts w:ascii="Times New Roman" w:hAnsi="Times New Roman" w:cs="Times New Roman"/>
              </w:rPr>
              <w:t xml:space="preserve">Į pirkimą yra įtraukti pavienių lytiškai plintančių infekcijų sukėlėjų (62 pozicija), tokių kaip Chlamydia trachomatis, Ureaplasma spp. ir Mycoplasma genitalium, nustatymai. Tuo pačiu metu pirkime taip pat numatytas keturių lytiškai plintančių sukėlėjų – Chlamydia trachomatis, Neisseria gonorrhoeae, Mycoplasma genitalium, Trichomonas vaginalis – nustatymas viename PGR tyrime. Klinikinėje praktikoje dažnai tikslingiau atlikti kelių sukėlėjų vienalaikį nustatymą, nes tai leidžia užtikrinti greitesnę ir tikslesnę diagnostiką bei sumažinti </w:t>
            </w:r>
            <w:r w:rsidRPr="00750B56">
              <w:rPr>
                <w:rFonts w:ascii="Times New Roman" w:hAnsi="Times New Roman" w:cs="Times New Roman"/>
              </w:rPr>
              <w:lastRenderedPageBreak/>
              <w:t>poreikį pakartotiniams tyrimams. Be to, taikant kombinuotą tyrimą su vienu reagento rinkiniu, galima racionaliau naudoti laboratorinius išteklius – tiek darbo laiką, tiek medžiagas.</w:t>
            </w:r>
          </w:p>
        </w:tc>
        <w:tc>
          <w:tcPr>
            <w:tcW w:w="8080" w:type="dxa"/>
          </w:tcPr>
          <w:p w14:paraId="22D8ECE6" w14:textId="6C12A22D" w:rsidR="009A271A" w:rsidRPr="003D3E64" w:rsidRDefault="009A271A" w:rsidP="003D3E64">
            <w:pPr>
              <w:rPr>
                <w:rFonts w:ascii="Times New Roman" w:hAnsi="Times New Roman" w:cs="Times New Roman"/>
              </w:rPr>
            </w:pPr>
            <w:r w:rsidRPr="003D3E64">
              <w:rPr>
                <w:rFonts w:ascii="Times New Roman" w:hAnsi="Times New Roman" w:cs="Times New Roman"/>
              </w:rPr>
              <w:lastRenderedPageBreak/>
              <w:t xml:space="preserve">Dėl pavienių lytiškai plintančių infekcijų sukėlėjų </w:t>
            </w:r>
            <w:r w:rsidR="003D3E64">
              <w:rPr>
                <w:rFonts w:ascii="Times New Roman" w:hAnsi="Times New Roman" w:cs="Times New Roman"/>
              </w:rPr>
              <w:t>–</w:t>
            </w:r>
            <w:r w:rsidRPr="003D3E64">
              <w:rPr>
                <w:rFonts w:ascii="Times New Roman" w:hAnsi="Times New Roman" w:cs="Times New Roman"/>
              </w:rPr>
              <w:t xml:space="preserve"> </w:t>
            </w:r>
            <w:r w:rsidR="003D3E64">
              <w:rPr>
                <w:rFonts w:ascii="Times New Roman" w:hAnsi="Times New Roman" w:cs="Times New Roman"/>
              </w:rPr>
              <w:t>Perkančiosios organizacijos</w:t>
            </w:r>
            <w:r w:rsidRPr="003D3E64">
              <w:rPr>
                <w:rFonts w:ascii="Times New Roman" w:hAnsi="Times New Roman" w:cs="Times New Roman"/>
              </w:rPr>
              <w:t xml:space="preserve"> klinikinis poreikis yra tirti pavienius sukėlėjus dėl gydymo sekimo.</w:t>
            </w:r>
          </w:p>
          <w:p w14:paraId="79BBCF4E" w14:textId="77777777" w:rsidR="009A271A" w:rsidRPr="00750B56" w:rsidRDefault="009A271A" w:rsidP="009A271A">
            <w:pPr>
              <w:rPr>
                <w:rFonts w:ascii="Times New Roman" w:hAnsi="Times New Roman" w:cs="Times New Roman"/>
              </w:rPr>
            </w:pPr>
          </w:p>
        </w:tc>
      </w:tr>
      <w:tr w:rsidR="009A271A" w14:paraId="3CD7750B" w14:textId="77777777" w:rsidTr="00750B56">
        <w:tc>
          <w:tcPr>
            <w:tcW w:w="6374" w:type="dxa"/>
          </w:tcPr>
          <w:p w14:paraId="63642DC3" w14:textId="77777777" w:rsidR="009A271A" w:rsidRPr="00750B56" w:rsidRDefault="009A271A" w:rsidP="009A271A">
            <w:pPr>
              <w:rPr>
                <w:rFonts w:ascii="Times New Roman" w:hAnsi="Times New Roman" w:cs="Times New Roman"/>
              </w:rPr>
            </w:pPr>
            <w:r w:rsidRPr="00750B56">
              <w:rPr>
                <w:rFonts w:ascii="Times New Roman" w:hAnsi="Times New Roman" w:cs="Times New Roman"/>
              </w:rPr>
              <w:t xml:space="preserve">Dėl Bendrųjų reikalavimų 3.1 punkto - Reikėtų patikslinimo, kokiomis valandomis ir kokiu dažnumu Tiekėjas turėtų surinkti mėginius?  </w:t>
            </w:r>
          </w:p>
          <w:p w14:paraId="6BBBF750" w14:textId="77777777" w:rsidR="009A271A" w:rsidRPr="00750B56" w:rsidRDefault="009A271A" w:rsidP="009A271A">
            <w:pPr>
              <w:rPr>
                <w:rFonts w:ascii="Times New Roman" w:hAnsi="Times New Roman" w:cs="Times New Roman"/>
              </w:rPr>
            </w:pPr>
          </w:p>
        </w:tc>
        <w:tc>
          <w:tcPr>
            <w:tcW w:w="8080" w:type="dxa"/>
          </w:tcPr>
          <w:p w14:paraId="250BA71C" w14:textId="3E46252C" w:rsidR="009A271A" w:rsidRPr="00750B56" w:rsidRDefault="009A271A" w:rsidP="009A271A">
            <w:pPr>
              <w:rPr>
                <w:rFonts w:ascii="Times New Roman" w:hAnsi="Times New Roman" w:cs="Times New Roman"/>
              </w:rPr>
            </w:pPr>
            <w:r w:rsidRPr="00750B56">
              <w:rPr>
                <w:rFonts w:ascii="Times New Roman" w:hAnsi="Times New Roman" w:cs="Times New Roman"/>
              </w:rPr>
              <w:t xml:space="preserve">Mėginius tyrimams kiekvieną darbo dieną </w:t>
            </w:r>
            <w:r w:rsidR="003D3E64">
              <w:rPr>
                <w:rFonts w:ascii="Times New Roman" w:hAnsi="Times New Roman" w:cs="Times New Roman"/>
              </w:rPr>
              <w:t xml:space="preserve">reikės </w:t>
            </w:r>
            <w:r w:rsidRPr="00750B56">
              <w:rPr>
                <w:rFonts w:ascii="Times New Roman" w:hAnsi="Times New Roman" w:cs="Times New Roman"/>
              </w:rPr>
              <w:t xml:space="preserve">paimti iš </w:t>
            </w:r>
            <w:r w:rsidR="003D3E64">
              <w:rPr>
                <w:rFonts w:ascii="Times New Roman" w:hAnsi="Times New Roman" w:cs="Times New Roman"/>
              </w:rPr>
              <w:t>P</w:t>
            </w:r>
            <w:r w:rsidRPr="00750B56">
              <w:rPr>
                <w:rFonts w:ascii="Times New Roman" w:hAnsi="Times New Roman" w:cs="Times New Roman"/>
              </w:rPr>
              <w:t xml:space="preserve">erkančiosios organizacijos </w:t>
            </w:r>
            <w:r w:rsidRPr="003D3E64">
              <w:rPr>
                <w:rFonts w:ascii="Times New Roman" w:hAnsi="Times New Roman" w:cs="Times New Roman"/>
              </w:rPr>
              <w:t>mažiausiai vieną kartą per dieną 13-15val</w:t>
            </w:r>
            <w:r w:rsidR="003D3E64" w:rsidRPr="003D3E64">
              <w:rPr>
                <w:rFonts w:ascii="Times New Roman" w:hAnsi="Times New Roman" w:cs="Times New Roman"/>
              </w:rPr>
              <w:t>.</w:t>
            </w:r>
          </w:p>
        </w:tc>
      </w:tr>
      <w:tr w:rsidR="009A271A" w14:paraId="348CD156" w14:textId="77777777" w:rsidTr="00750B56">
        <w:tc>
          <w:tcPr>
            <w:tcW w:w="6374" w:type="dxa"/>
          </w:tcPr>
          <w:p w14:paraId="3CFA43AF" w14:textId="77777777" w:rsidR="009A271A" w:rsidRPr="00750B56" w:rsidRDefault="009A271A" w:rsidP="003D3E64">
            <w:pPr>
              <w:jc w:val="both"/>
              <w:rPr>
                <w:rFonts w:ascii="Times New Roman" w:hAnsi="Times New Roman" w:cs="Times New Roman"/>
              </w:rPr>
            </w:pPr>
            <w:r w:rsidRPr="00750B56">
              <w:rPr>
                <w:rFonts w:ascii="Times New Roman" w:hAnsi="Times New Roman" w:cs="Times New Roman"/>
              </w:rPr>
              <w:t xml:space="preserve">Dėl Bendrųjų reikalavimų 4 punkto - Reikėtų patikslinimo, ką reiškia "1 mėn. bandomasis laikotarpis" sistemų integracijai ir kada bus laikoma, kad "integracija nepavyksta, vyksta nesklandžiai, nekokybiškai dėl tiekėjo kaltės" - įvardijant, kas vertina, kokius parametrus ir kokiais dokumentais tai būtų įforminama. </w:t>
            </w:r>
          </w:p>
          <w:p w14:paraId="10875120" w14:textId="77777777" w:rsidR="009A271A" w:rsidRPr="00750B56" w:rsidRDefault="009A271A" w:rsidP="009A271A">
            <w:pPr>
              <w:rPr>
                <w:rFonts w:ascii="Times New Roman" w:hAnsi="Times New Roman" w:cs="Times New Roman"/>
              </w:rPr>
            </w:pPr>
          </w:p>
        </w:tc>
        <w:tc>
          <w:tcPr>
            <w:tcW w:w="8080" w:type="dxa"/>
          </w:tcPr>
          <w:p w14:paraId="323FE954" w14:textId="1C9657A1" w:rsidR="009A271A" w:rsidRPr="00750B56" w:rsidRDefault="003D3E64" w:rsidP="003D3E64">
            <w:pPr>
              <w:jc w:val="both"/>
              <w:rPr>
                <w:rFonts w:ascii="Times New Roman" w:hAnsi="Times New Roman" w:cs="Times New Roman"/>
              </w:rPr>
            </w:pPr>
            <w:r w:rsidRPr="003D3E64">
              <w:rPr>
                <w:rFonts w:ascii="Times New Roman" w:hAnsi="Times New Roman" w:cs="Times New Roman"/>
              </w:rPr>
              <w:t>Numatomas 1 (vieno) mėn. bandomasis laikotarpis, kuris skaičiuojamas pasibaigus integracijos 1 mėn. laikotarpiui numatytam 4.1 punkte (t. y. nuo integracijos akto pasirašymo dienos), per kurį bus išbandoma Tiekėjo informacinė sistema ir tyrimų pateikimas, bei atsakymų gavimas per sistemą. Jeigu darbas su sistema ar integracija nepavyksta, vyksta nesklandžiai, nekokybiškai dėl Tiekėjo kaltės, Perkančioji organizacija turi teisę nutraukti sutartį dėl Tiekėjo kaltės. Integracija laikoma nepavykusia, jei per bandomąjį laikotarpį daugiau kaip 3 kartus užfiksuojami perdavimo trikdžiai, dėl kurių tyrimų rezultatai neperduodami arba perduodami neteisingai ir/arba jei per 10 (dešimt) darbo dienų nepasiekiama stabili integracijos veikla. Laikoma, kad darbas su Tiekėjo informacine sistema nepavyksta, jeigu: tyrimų užsakymai/ atsakymai sistemingai neperduodami ar dingsta; sistema nepalaiko duomenų struktūros, reikalaujamos LIS integracijai; Tiekėjo informacinė sistema veikia nestabiliai, lėtai, sukelia klaidų ar duomenų neatitikimų; nepalaikomas reikiamas duomenų apsikeitimo formatas, tyrimų atsakymai įkeliami į Perkančiosios organizacijos LIS vėliau nei per 3 val. nuo tyrimo atlikimo termino. Bandomojo laikotarpio sėkmingą pabaigą įvertina Perkančiosios organizacijos atsakingas IT specialistas ir atsakingas laboratorijos darbuotojas ir tarp šalių pasirašomas Bandomojo laikotarpio patvirtinimo aktas.</w:t>
            </w:r>
          </w:p>
        </w:tc>
      </w:tr>
    </w:tbl>
    <w:p w14:paraId="4B1995A3" w14:textId="77777777" w:rsidR="001869A4" w:rsidRDefault="001869A4"/>
    <w:sectPr w:rsidR="001869A4" w:rsidSect="001869A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93C"/>
    <w:multiLevelType w:val="hybridMultilevel"/>
    <w:tmpl w:val="7E6A3C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B800E9"/>
    <w:multiLevelType w:val="hybridMultilevel"/>
    <w:tmpl w:val="A1E8E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643BF"/>
    <w:multiLevelType w:val="hybridMultilevel"/>
    <w:tmpl w:val="C0843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447F41"/>
    <w:multiLevelType w:val="hybridMultilevel"/>
    <w:tmpl w:val="7E6A3C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1793542">
    <w:abstractNumId w:val="2"/>
  </w:num>
  <w:num w:numId="2" w16cid:durableId="2128041414">
    <w:abstractNumId w:val="1"/>
  </w:num>
  <w:num w:numId="3" w16cid:durableId="1927684985">
    <w:abstractNumId w:val="3"/>
  </w:num>
  <w:num w:numId="4" w16cid:durableId="64200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A4"/>
    <w:rsid w:val="000621D1"/>
    <w:rsid w:val="00177742"/>
    <w:rsid w:val="001869A4"/>
    <w:rsid w:val="001F5AD7"/>
    <w:rsid w:val="003D3E64"/>
    <w:rsid w:val="00430F25"/>
    <w:rsid w:val="004E6846"/>
    <w:rsid w:val="005F7E3C"/>
    <w:rsid w:val="00666784"/>
    <w:rsid w:val="00750B56"/>
    <w:rsid w:val="007C646E"/>
    <w:rsid w:val="0087602C"/>
    <w:rsid w:val="009A271A"/>
    <w:rsid w:val="00AA71CB"/>
    <w:rsid w:val="00AD0D08"/>
    <w:rsid w:val="00AD6522"/>
    <w:rsid w:val="00CE341B"/>
    <w:rsid w:val="00D300B9"/>
    <w:rsid w:val="00D310D1"/>
    <w:rsid w:val="00D634E1"/>
    <w:rsid w:val="00FA31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3E5E"/>
  <w15:chartTrackingRefBased/>
  <w15:docId w15:val="{AC6CC848-D877-4550-972A-1C55DAC0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86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6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69A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69A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69A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69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69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69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69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69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69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69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69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69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69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69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69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69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6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69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69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69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69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69A4"/>
    <w:rPr>
      <w:i/>
      <w:iCs/>
      <w:color w:val="404040" w:themeColor="text1" w:themeTint="BF"/>
    </w:rPr>
  </w:style>
  <w:style w:type="paragraph" w:styleId="Sraopastraipa">
    <w:name w:val="List Paragraph"/>
    <w:basedOn w:val="prastasis"/>
    <w:uiPriority w:val="34"/>
    <w:qFormat/>
    <w:rsid w:val="001869A4"/>
    <w:pPr>
      <w:ind w:left="720"/>
      <w:contextualSpacing/>
    </w:pPr>
  </w:style>
  <w:style w:type="character" w:styleId="Rykuspabraukimas">
    <w:name w:val="Intense Emphasis"/>
    <w:basedOn w:val="Numatytasispastraiposriftas"/>
    <w:uiPriority w:val="21"/>
    <w:qFormat/>
    <w:rsid w:val="001869A4"/>
    <w:rPr>
      <w:i/>
      <w:iCs/>
      <w:color w:val="2F5496" w:themeColor="accent1" w:themeShade="BF"/>
    </w:rPr>
  </w:style>
  <w:style w:type="paragraph" w:styleId="Iskirtacitata">
    <w:name w:val="Intense Quote"/>
    <w:basedOn w:val="prastasis"/>
    <w:next w:val="prastasis"/>
    <w:link w:val="IskirtacitataDiagrama"/>
    <w:uiPriority w:val="30"/>
    <w:qFormat/>
    <w:rsid w:val="00186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69A4"/>
    <w:rPr>
      <w:i/>
      <w:iCs/>
      <w:color w:val="2F5496" w:themeColor="accent1" w:themeShade="BF"/>
    </w:rPr>
  </w:style>
  <w:style w:type="character" w:styleId="Rykinuoroda">
    <w:name w:val="Intense Reference"/>
    <w:basedOn w:val="Numatytasispastraiposriftas"/>
    <w:uiPriority w:val="32"/>
    <w:qFormat/>
    <w:rsid w:val="001869A4"/>
    <w:rPr>
      <w:b/>
      <w:bCs/>
      <w:smallCaps/>
      <w:color w:val="2F5496" w:themeColor="accent1" w:themeShade="BF"/>
      <w:spacing w:val="5"/>
    </w:rPr>
  </w:style>
  <w:style w:type="table" w:styleId="Lentelstinklelis">
    <w:name w:val="Table Grid"/>
    <w:basedOn w:val="prastojilentel"/>
    <w:uiPriority w:val="39"/>
    <w:rsid w:val="00186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66784"/>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6001</Words>
  <Characters>3422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Germanovič</dc:creator>
  <cp:keywords/>
  <dc:description/>
  <cp:lastModifiedBy>Diana Germanovič</cp:lastModifiedBy>
  <cp:revision>15</cp:revision>
  <dcterms:created xsi:type="dcterms:W3CDTF">2025-07-11T08:17:00Z</dcterms:created>
  <dcterms:modified xsi:type="dcterms:W3CDTF">2025-07-17T13:03:00Z</dcterms:modified>
</cp:coreProperties>
</file>