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Default="00EC5A1C" w:rsidP="00EC5A1C">
      <w:pPr>
        <w:jc w:val="center"/>
        <w:rPr>
          <w:b/>
          <w:caps/>
        </w:rPr>
      </w:pPr>
    </w:p>
    <w:tbl>
      <w:tblPr>
        <w:tblStyle w:val="TableGrid"/>
        <w:tblW w:w="20974" w:type="dxa"/>
        <w:tblLook w:val="04A0" w:firstRow="1" w:lastRow="0" w:firstColumn="1" w:lastColumn="0" w:noHBand="0" w:noVBand="1"/>
      </w:tblPr>
      <w:tblGrid>
        <w:gridCol w:w="3821"/>
        <w:gridCol w:w="5530"/>
        <w:gridCol w:w="3685"/>
        <w:gridCol w:w="3686"/>
        <w:gridCol w:w="4252"/>
      </w:tblGrid>
      <w:tr w:rsidR="006531FA" w:rsidRPr="00E9527B" w14:paraId="42E071CB" w14:textId="77777777" w:rsidTr="006531FA">
        <w:tc>
          <w:tcPr>
            <w:tcW w:w="20974" w:type="dxa"/>
            <w:gridSpan w:val="5"/>
            <w:shd w:val="clear" w:color="auto" w:fill="005063"/>
            <w:vAlign w:val="center"/>
          </w:tcPr>
          <w:p w14:paraId="6E6C114C" w14:textId="77777777" w:rsidR="006531FA" w:rsidRPr="00E9527B" w:rsidRDefault="006531FA" w:rsidP="002E1012">
            <w:pPr>
              <w:tabs>
                <w:tab w:val="left" w:pos="527"/>
              </w:tabs>
              <w:spacing w:before="120" w:after="120"/>
              <w:jc w:val="center"/>
              <w:rPr>
                <w:rFonts w:ascii="Arial" w:hAnsi="Arial" w:cs="Arial"/>
                <w:b/>
                <w:bCs/>
                <w:color w:val="FFFFFF" w:themeColor="background1"/>
                <w:szCs w:val="24"/>
              </w:rPr>
            </w:pPr>
            <w:r w:rsidRPr="00E9527B">
              <w:rPr>
                <w:rFonts w:ascii="Arial" w:hAnsi="Arial" w:cs="Arial"/>
                <w:b/>
                <w:bCs/>
                <w:color w:val="FFFFFF" w:themeColor="background1"/>
                <w:szCs w:val="24"/>
              </w:rPr>
              <w:t>I.</w:t>
            </w:r>
            <w:r w:rsidRPr="00E9527B">
              <w:rPr>
                <w:rFonts w:ascii="Arial" w:hAnsi="Arial" w:cs="Arial"/>
                <w:b/>
                <w:bCs/>
                <w:color w:val="FFFFFF" w:themeColor="background1"/>
                <w:szCs w:val="24"/>
              </w:rPr>
              <w:tab/>
              <w:t>RINKOS KONSULTACIJOS OBJEKTAS IR TIKSLAS</w:t>
            </w:r>
          </w:p>
        </w:tc>
      </w:tr>
      <w:tr w:rsidR="006531FA" w:rsidRPr="00E9527B" w14:paraId="49FF459C" w14:textId="77777777" w:rsidTr="006531FA">
        <w:trPr>
          <w:trHeight w:val="621"/>
        </w:trPr>
        <w:tc>
          <w:tcPr>
            <w:tcW w:w="3821" w:type="dxa"/>
            <w:vAlign w:val="center"/>
          </w:tcPr>
          <w:p w14:paraId="377A42DA" w14:textId="77777777" w:rsidR="006531FA" w:rsidRPr="00E9527B" w:rsidRDefault="006531FA" w:rsidP="002E1012">
            <w:pPr>
              <w:jc w:val="left"/>
              <w:rPr>
                <w:rFonts w:ascii="Arial" w:hAnsi="Arial" w:cs="Arial"/>
                <w:b/>
                <w:bCs/>
                <w:i/>
                <w:iCs/>
                <w:szCs w:val="24"/>
              </w:rPr>
            </w:pPr>
            <w:r w:rsidRPr="00E9527B">
              <w:rPr>
                <w:rFonts w:ascii="Arial" w:hAnsi="Arial" w:cs="Arial"/>
                <w:b/>
                <w:bCs/>
              </w:rPr>
              <w:t>Data</w:t>
            </w:r>
          </w:p>
        </w:tc>
        <w:tc>
          <w:tcPr>
            <w:tcW w:w="17153" w:type="dxa"/>
            <w:gridSpan w:val="4"/>
            <w:vAlign w:val="center"/>
          </w:tcPr>
          <w:p w14:paraId="68637152" w14:textId="41C195B3" w:rsidR="006531FA" w:rsidRPr="00E9527B" w:rsidRDefault="006531FA" w:rsidP="002E1012">
            <w:pPr>
              <w:rPr>
                <w:rFonts w:ascii="Arial" w:hAnsi="Arial" w:cs="Arial"/>
                <w:bCs/>
                <w:szCs w:val="24"/>
              </w:rPr>
            </w:pPr>
            <w:r w:rsidRPr="00E9527B">
              <w:rPr>
                <w:rFonts w:ascii="Arial" w:hAnsi="Arial" w:cs="Arial"/>
                <w:bCs/>
                <w:szCs w:val="24"/>
              </w:rPr>
              <w:t xml:space="preserve">2025 m. </w:t>
            </w:r>
            <w:r w:rsidR="00250DE4">
              <w:rPr>
                <w:rFonts w:ascii="Arial" w:hAnsi="Arial" w:cs="Arial"/>
                <w:bCs/>
                <w:szCs w:val="24"/>
              </w:rPr>
              <w:t>liepos</w:t>
            </w:r>
            <w:r w:rsidRPr="00E9527B">
              <w:rPr>
                <w:rFonts w:ascii="Arial" w:hAnsi="Arial" w:cs="Arial"/>
                <w:bCs/>
                <w:szCs w:val="24"/>
              </w:rPr>
              <w:t xml:space="preserve"> </w:t>
            </w:r>
            <w:r w:rsidR="00250DE4">
              <w:rPr>
                <w:rFonts w:ascii="Arial" w:hAnsi="Arial" w:cs="Arial"/>
                <w:bCs/>
                <w:szCs w:val="24"/>
              </w:rPr>
              <w:t>15</w:t>
            </w:r>
            <w:r w:rsidRPr="00E9527B">
              <w:rPr>
                <w:rFonts w:ascii="Arial" w:hAnsi="Arial" w:cs="Arial"/>
                <w:bCs/>
                <w:szCs w:val="24"/>
              </w:rPr>
              <w:t xml:space="preserve"> d</w:t>
            </w:r>
            <w:r w:rsidR="001A356E">
              <w:rPr>
                <w:rFonts w:ascii="Arial" w:hAnsi="Arial" w:cs="Arial"/>
                <w:bCs/>
                <w:szCs w:val="24"/>
              </w:rPr>
              <w:t>.</w:t>
            </w:r>
          </w:p>
        </w:tc>
      </w:tr>
      <w:tr w:rsidR="006531FA" w:rsidRPr="00E9527B" w14:paraId="6251AF84" w14:textId="77777777" w:rsidTr="006531FA">
        <w:trPr>
          <w:trHeight w:val="621"/>
        </w:trPr>
        <w:tc>
          <w:tcPr>
            <w:tcW w:w="3821" w:type="dxa"/>
            <w:vAlign w:val="center"/>
          </w:tcPr>
          <w:p w14:paraId="611E3DF2" w14:textId="77777777" w:rsidR="006531FA" w:rsidRPr="00E9527B" w:rsidRDefault="006531FA" w:rsidP="002E1012">
            <w:pPr>
              <w:jc w:val="left"/>
              <w:rPr>
                <w:rFonts w:ascii="Arial" w:hAnsi="Arial" w:cs="Arial"/>
                <w:b/>
                <w:bCs/>
              </w:rPr>
            </w:pPr>
            <w:r w:rsidRPr="00E9527B">
              <w:rPr>
                <w:rFonts w:ascii="Arial" w:hAnsi="Arial" w:cs="Arial"/>
                <w:b/>
                <w:bCs/>
              </w:rPr>
              <w:t>Pirkimo objektas</w:t>
            </w:r>
          </w:p>
        </w:tc>
        <w:tc>
          <w:tcPr>
            <w:tcW w:w="17153" w:type="dxa"/>
            <w:gridSpan w:val="4"/>
            <w:vAlign w:val="center"/>
          </w:tcPr>
          <w:p w14:paraId="603B69AB" w14:textId="70EFD2A9" w:rsidR="006531FA" w:rsidRPr="00752304" w:rsidRDefault="006531FA" w:rsidP="00752304">
            <w:pPr>
              <w:pStyle w:val="Header"/>
              <w:rPr>
                <w:b/>
                <w:bCs/>
              </w:rPr>
            </w:pPr>
            <w:r w:rsidRPr="008A205A">
              <w:rPr>
                <w:rFonts w:ascii="Arial" w:hAnsi="Arial" w:cs="Arial"/>
                <w:b/>
                <w:i/>
                <w:iCs/>
                <w:szCs w:val="24"/>
              </w:rPr>
              <w:t>„</w:t>
            </w:r>
            <w:r w:rsidR="009E09CE" w:rsidRPr="009E09CE">
              <w:rPr>
                <w:rFonts w:ascii="Arial Narrow" w:hAnsi="Arial Narrow"/>
                <w:b/>
                <w:bCs/>
                <w:sz w:val="20"/>
              </w:rPr>
              <w:t>Valstybinės reikšmės rajoninio kelio Nr. 3504 Ariogala–Betygala–Šiluva 16,466 km tilto per Mūkę rekonstravimo techninio darbo projekto parengimo, projekto vykdymo priežiūros ir darbų atlikimo</w:t>
            </w:r>
            <w:r w:rsidRPr="008A205A">
              <w:rPr>
                <w:rFonts w:ascii="Arial" w:hAnsi="Arial" w:cs="Arial"/>
                <w:b/>
                <w:i/>
                <w:iCs/>
                <w:szCs w:val="24"/>
              </w:rPr>
              <w:t>“</w:t>
            </w:r>
            <w:r w:rsidRPr="00E9527B">
              <w:rPr>
                <w:rFonts w:ascii="Arial" w:hAnsi="Arial" w:cs="Arial"/>
                <w:bCs/>
                <w:szCs w:val="24"/>
              </w:rPr>
              <w:t xml:space="preserve"> </w:t>
            </w:r>
          </w:p>
        </w:tc>
      </w:tr>
      <w:tr w:rsidR="006531FA" w:rsidRPr="00E9527B" w14:paraId="6B98C35D" w14:textId="77777777" w:rsidTr="00734B66">
        <w:trPr>
          <w:trHeight w:val="865"/>
        </w:trPr>
        <w:tc>
          <w:tcPr>
            <w:tcW w:w="3821" w:type="dxa"/>
            <w:vAlign w:val="center"/>
          </w:tcPr>
          <w:p w14:paraId="72C75875"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tikslas</w:t>
            </w:r>
          </w:p>
        </w:tc>
        <w:tc>
          <w:tcPr>
            <w:tcW w:w="17153" w:type="dxa"/>
            <w:gridSpan w:val="4"/>
            <w:vAlign w:val="center"/>
          </w:tcPr>
          <w:p w14:paraId="649963DB" w14:textId="07521A68" w:rsidR="006531FA" w:rsidRPr="00734B66" w:rsidRDefault="001F534E" w:rsidP="00734B66">
            <w:pPr>
              <w:pStyle w:val="BodyText"/>
              <w:ind w:left="138" w:right="136"/>
              <w:jc w:val="both"/>
            </w:pPr>
            <w:r w:rsidRPr="00810D5E">
              <w:rPr>
                <w:rFonts w:asciiTheme="minorBidi" w:hAnsiTheme="minorBidi" w:cstheme="minorBidi"/>
              </w:rPr>
              <w:t>įvertinti neįvykusio pirkimo priežastis, išgirsti rinkos dalyvių motyvus nedalyvauti pirkime, pasirengti pakartotinam Pirkimui ir iki pirkimo (-ų) pradžios informuoti rinkos dalyvius bei kitus suinteresuotus asmenis apie ketinamą ateityje vykdyti pirkimą ir sudaryti sąlygas rinkos dalyviams ir kitiems suinteresuotiems asmenims pateikti klausimus, pastebėjimus</w:t>
            </w:r>
          </w:p>
        </w:tc>
      </w:tr>
      <w:tr w:rsidR="006531FA" w:rsidRPr="00E9527B" w14:paraId="31B15D01" w14:textId="77777777" w:rsidTr="006531FA">
        <w:tc>
          <w:tcPr>
            <w:tcW w:w="20974" w:type="dxa"/>
            <w:gridSpan w:val="5"/>
            <w:shd w:val="clear" w:color="auto" w:fill="005063"/>
          </w:tcPr>
          <w:p w14:paraId="5E8BBBD2" w14:textId="77777777" w:rsidR="006531FA" w:rsidRPr="00E9527B" w:rsidRDefault="006531FA" w:rsidP="002E1012">
            <w:pPr>
              <w:tabs>
                <w:tab w:val="left" w:pos="527"/>
              </w:tabs>
              <w:spacing w:before="120" w:after="120"/>
              <w:jc w:val="center"/>
              <w:rPr>
                <w:rFonts w:ascii="Arial" w:hAnsi="Arial" w:cs="Arial"/>
                <w:bCs/>
                <w:color w:val="FFFFFF" w:themeColor="background1"/>
                <w:szCs w:val="24"/>
              </w:rPr>
            </w:pPr>
            <w:r w:rsidRPr="00E9527B">
              <w:rPr>
                <w:rFonts w:ascii="Arial" w:hAnsi="Arial" w:cs="Arial"/>
                <w:b/>
                <w:color w:val="FFFFFF" w:themeColor="background1"/>
                <w:szCs w:val="24"/>
              </w:rPr>
              <w:t>II.</w:t>
            </w:r>
            <w:r w:rsidRPr="00E9527B">
              <w:rPr>
                <w:rFonts w:ascii="Arial" w:hAnsi="Arial" w:cs="Arial"/>
                <w:bCs/>
                <w:color w:val="FFFFFF" w:themeColor="background1"/>
                <w:szCs w:val="24"/>
              </w:rPr>
              <w:tab/>
            </w:r>
            <w:r w:rsidRPr="00E9527B">
              <w:rPr>
                <w:rFonts w:ascii="Arial" w:hAnsi="Arial" w:cs="Arial"/>
                <w:b/>
                <w:color w:val="FFFFFF" w:themeColor="background1"/>
                <w:szCs w:val="24"/>
              </w:rPr>
              <w:t>RINKOS KONSULTACIJOS ATLIKIMAS</w:t>
            </w:r>
          </w:p>
        </w:tc>
      </w:tr>
      <w:tr w:rsidR="006531FA" w:rsidRPr="00E9527B" w14:paraId="4E9CD4C0" w14:textId="77777777" w:rsidTr="006531FA">
        <w:trPr>
          <w:trHeight w:val="905"/>
        </w:trPr>
        <w:tc>
          <w:tcPr>
            <w:tcW w:w="3821" w:type="dxa"/>
            <w:vAlign w:val="center"/>
          </w:tcPr>
          <w:p w14:paraId="7C49B08C" w14:textId="77777777" w:rsidR="006531FA" w:rsidRPr="00E9527B" w:rsidRDefault="006531FA" w:rsidP="002E1012">
            <w:pPr>
              <w:jc w:val="left"/>
              <w:rPr>
                <w:rFonts w:ascii="Arial" w:hAnsi="Arial" w:cs="Arial"/>
                <w:b/>
                <w:bCs/>
                <w:i/>
                <w:iCs/>
                <w:szCs w:val="24"/>
              </w:rPr>
            </w:pPr>
            <w:r w:rsidRPr="00E9527B">
              <w:rPr>
                <w:rFonts w:ascii="Arial" w:hAnsi="Arial" w:cs="Arial"/>
                <w:b/>
                <w:bCs/>
              </w:rPr>
              <w:t>Naudotos priemonės</w:t>
            </w:r>
          </w:p>
        </w:tc>
        <w:tc>
          <w:tcPr>
            <w:tcW w:w="17153" w:type="dxa"/>
            <w:gridSpan w:val="4"/>
            <w:vAlign w:val="center"/>
          </w:tcPr>
          <w:p w14:paraId="3206EC1D" w14:textId="77777777" w:rsidR="006531FA" w:rsidRPr="00E9527B" w:rsidRDefault="006531FA" w:rsidP="002E1012">
            <w:pPr>
              <w:rPr>
                <w:rFonts w:ascii="Arial" w:hAnsi="Arial" w:cs="Arial"/>
                <w:bCs/>
                <w:szCs w:val="24"/>
              </w:rPr>
            </w:pPr>
            <w:r w:rsidRPr="00E9527B">
              <w:rPr>
                <w:rFonts w:ascii="Arial" w:hAnsi="Arial" w:cs="Arial"/>
                <w:i/>
              </w:rPr>
              <w:t>Konsultacija vyko Centrinės viešųjų pirkimų informacinės sistemos priemonėmis</w:t>
            </w:r>
          </w:p>
        </w:tc>
      </w:tr>
      <w:tr w:rsidR="006531FA" w:rsidRPr="00E9527B" w14:paraId="137EB2C0" w14:textId="77777777" w:rsidTr="006531FA">
        <w:trPr>
          <w:trHeight w:val="1122"/>
        </w:trPr>
        <w:tc>
          <w:tcPr>
            <w:tcW w:w="3821" w:type="dxa"/>
            <w:vAlign w:val="center"/>
          </w:tcPr>
          <w:p w14:paraId="719A96C6"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paskelbimo ir atsakymų pateikimo datos</w:t>
            </w:r>
          </w:p>
        </w:tc>
        <w:tc>
          <w:tcPr>
            <w:tcW w:w="17153" w:type="dxa"/>
            <w:gridSpan w:val="4"/>
            <w:vAlign w:val="center"/>
          </w:tcPr>
          <w:p w14:paraId="52971FA4" w14:textId="26485D34" w:rsidR="006531FA" w:rsidRPr="00E9527B" w:rsidRDefault="006531FA" w:rsidP="002E1012">
            <w:pPr>
              <w:spacing w:before="120"/>
              <w:rPr>
                <w:rFonts w:ascii="Arial" w:hAnsi="Arial" w:cs="Arial"/>
              </w:rPr>
            </w:pPr>
            <w:r w:rsidRPr="00E9527B">
              <w:rPr>
                <w:rFonts w:ascii="Arial" w:hAnsi="Arial" w:cs="Arial"/>
              </w:rPr>
              <w:t>Paskelbimo CVP IS data:</w:t>
            </w:r>
            <w:r>
              <w:rPr>
                <w:rFonts w:ascii="Arial" w:hAnsi="Arial" w:cs="Arial"/>
              </w:rPr>
              <w:t xml:space="preserve"> 2025-</w:t>
            </w:r>
            <w:r w:rsidR="00B94300">
              <w:rPr>
                <w:rFonts w:ascii="Arial" w:hAnsi="Arial" w:cs="Arial"/>
              </w:rPr>
              <w:t>07-07</w:t>
            </w:r>
            <w:r w:rsidRPr="00E9527B">
              <w:rPr>
                <w:rFonts w:ascii="Arial" w:hAnsi="Arial" w:cs="Arial"/>
              </w:rPr>
              <w:t>;</w:t>
            </w:r>
          </w:p>
          <w:p w14:paraId="0AA5BE35" w14:textId="080BA670" w:rsidR="006531FA" w:rsidRPr="00E9527B" w:rsidRDefault="006531FA" w:rsidP="002E1012">
            <w:pPr>
              <w:rPr>
                <w:rFonts w:ascii="Arial" w:hAnsi="Arial" w:cs="Arial"/>
                <w:bCs/>
                <w:szCs w:val="24"/>
              </w:rPr>
            </w:pPr>
            <w:r w:rsidRPr="00E9527B">
              <w:rPr>
                <w:rFonts w:ascii="Arial" w:hAnsi="Arial" w:cs="Arial"/>
              </w:rPr>
              <w:t>Atsakymų pateikimo terminas:</w:t>
            </w:r>
            <w:r>
              <w:rPr>
                <w:rFonts w:ascii="Arial" w:hAnsi="Arial" w:cs="Arial"/>
              </w:rPr>
              <w:t xml:space="preserve"> 2025-</w:t>
            </w:r>
            <w:r w:rsidR="00B94300">
              <w:rPr>
                <w:rFonts w:ascii="Arial" w:hAnsi="Arial" w:cs="Arial"/>
              </w:rPr>
              <w:t>07-14</w:t>
            </w:r>
            <w:r>
              <w:rPr>
                <w:rFonts w:ascii="Arial" w:hAnsi="Arial" w:cs="Arial"/>
              </w:rPr>
              <w:t xml:space="preserve"> 1</w:t>
            </w:r>
            <w:r w:rsidR="00B94300">
              <w:rPr>
                <w:rFonts w:ascii="Arial" w:hAnsi="Arial" w:cs="Arial"/>
              </w:rPr>
              <w:t>5</w:t>
            </w:r>
            <w:r>
              <w:rPr>
                <w:rFonts w:ascii="Arial" w:hAnsi="Arial" w:cs="Arial"/>
              </w:rPr>
              <w:t xml:space="preserve"> val. 00 min.</w:t>
            </w:r>
          </w:p>
        </w:tc>
      </w:tr>
      <w:tr w:rsidR="006531FA" w:rsidRPr="00E9527B" w14:paraId="26BCF509" w14:textId="77777777" w:rsidTr="006531FA">
        <w:trPr>
          <w:trHeight w:val="982"/>
        </w:trPr>
        <w:tc>
          <w:tcPr>
            <w:tcW w:w="3821" w:type="dxa"/>
            <w:vAlign w:val="center"/>
          </w:tcPr>
          <w:p w14:paraId="7E9C2BC4" w14:textId="77777777" w:rsidR="006531FA" w:rsidRPr="00E9527B" w:rsidRDefault="006531FA" w:rsidP="002E1012">
            <w:pPr>
              <w:jc w:val="left"/>
              <w:rPr>
                <w:rFonts w:ascii="Arial" w:hAnsi="Arial" w:cs="Arial"/>
                <w:b/>
                <w:bCs/>
                <w:i/>
                <w:iCs/>
                <w:szCs w:val="24"/>
              </w:rPr>
            </w:pPr>
            <w:r w:rsidRPr="00E9527B">
              <w:rPr>
                <w:rFonts w:ascii="Arial" w:hAnsi="Arial" w:cs="Arial"/>
                <w:b/>
                <w:bCs/>
              </w:rPr>
              <w:t>Rinkos dalyviams teikti dokumentai bei kita informacija</w:t>
            </w:r>
          </w:p>
        </w:tc>
        <w:tc>
          <w:tcPr>
            <w:tcW w:w="17153" w:type="dxa"/>
            <w:gridSpan w:val="4"/>
            <w:vAlign w:val="center"/>
          </w:tcPr>
          <w:p w14:paraId="135FBCB7" w14:textId="0FBF1744" w:rsidR="00DF2136" w:rsidRPr="00DF2136" w:rsidRDefault="00DF2136" w:rsidP="00DF2136">
            <w:pPr>
              <w:tabs>
                <w:tab w:val="left" w:pos="319"/>
              </w:tabs>
              <w:rPr>
                <w:rFonts w:ascii="Arial" w:hAnsi="Arial" w:cs="Arial"/>
                <w:i/>
              </w:rPr>
            </w:pPr>
            <w:r w:rsidRPr="00DF2136">
              <w:rPr>
                <w:rFonts w:ascii="Arial" w:hAnsi="Arial" w:cs="Arial"/>
                <w:i/>
              </w:rPr>
              <w:t>1.</w:t>
            </w:r>
            <w:r w:rsidRPr="00DF2136">
              <w:rPr>
                <w:rFonts w:ascii="Arial" w:hAnsi="Arial" w:cs="Arial"/>
                <w:i/>
              </w:rPr>
              <w:tab/>
              <w:t>Rinkos konsultacijos klausimynas</w:t>
            </w:r>
            <w:r>
              <w:rPr>
                <w:rFonts w:ascii="Arial" w:hAnsi="Arial" w:cs="Arial"/>
                <w:i/>
              </w:rPr>
              <w:t>.</w:t>
            </w:r>
          </w:p>
          <w:p w14:paraId="5AD78162" w14:textId="52A9388D" w:rsidR="00DF2136" w:rsidRPr="00421F09" w:rsidRDefault="00421F09" w:rsidP="00421F09">
            <w:pPr>
              <w:pStyle w:val="ListParagraph"/>
              <w:widowControl w:val="0"/>
              <w:numPr>
                <w:ilvl w:val="0"/>
                <w:numId w:val="20"/>
              </w:numPr>
              <w:tabs>
                <w:tab w:val="left" w:pos="1218"/>
              </w:tabs>
              <w:autoSpaceDE w:val="0"/>
              <w:autoSpaceDN w:val="0"/>
              <w:spacing w:before="64"/>
              <w:ind w:left="320" w:hanging="320"/>
              <w:rPr>
                <w:rFonts w:ascii="Arial" w:hAnsi="Arial" w:cs="Arial"/>
                <w:i/>
                <w:iCs/>
              </w:rPr>
            </w:pPr>
            <w:r w:rsidRPr="00421F09">
              <w:rPr>
                <w:rFonts w:ascii="Arial" w:hAnsi="Arial" w:cs="Arial"/>
                <w:i/>
                <w:iCs/>
              </w:rPr>
              <w:t>Techninės specifikacijos projektas</w:t>
            </w:r>
            <w:r w:rsidRPr="00421F09">
              <w:rPr>
                <w:rFonts w:ascii="Arial" w:hAnsi="Arial" w:cs="Arial"/>
                <w:i/>
                <w:iCs/>
                <w:spacing w:val="-4"/>
              </w:rPr>
              <w:t>.</w:t>
            </w:r>
          </w:p>
          <w:p w14:paraId="188B82B1" w14:textId="77777777" w:rsidR="00DF2136" w:rsidRPr="00DF2136" w:rsidRDefault="00DF2136" w:rsidP="00DF2136">
            <w:pPr>
              <w:tabs>
                <w:tab w:val="left" w:pos="319"/>
              </w:tabs>
              <w:rPr>
                <w:rFonts w:ascii="Arial" w:hAnsi="Arial" w:cs="Arial"/>
                <w:i/>
              </w:rPr>
            </w:pPr>
            <w:r w:rsidRPr="00DF2136">
              <w:rPr>
                <w:rFonts w:ascii="Arial" w:hAnsi="Arial" w:cs="Arial"/>
                <w:i/>
              </w:rPr>
              <w:t>3.</w:t>
            </w:r>
            <w:r w:rsidRPr="00DF2136">
              <w:rPr>
                <w:rFonts w:ascii="Arial" w:hAnsi="Arial" w:cs="Arial"/>
                <w:i/>
              </w:rPr>
              <w:tab/>
              <w:t>Kvalifikacijos reikalavimai.</w:t>
            </w:r>
          </w:p>
          <w:p w14:paraId="37D94F1E" w14:textId="54202B79" w:rsidR="006531FA" w:rsidRPr="00193678" w:rsidRDefault="00DF2136" w:rsidP="00193678">
            <w:pPr>
              <w:tabs>
                <w:tab w:val="left" w:pos="319"/>
              </w:tabs>
              <w:rPr>
                <w:rFonts w:ascii="Arial" w:hAnsi="Arial" w:cs="Arial"/>
                <w:i/>
              </w:rPr>
            </w:pPr>
            <w:r w:rsidRPr="00DF2136">
              <w:rPr>
                <w:rFonts w:ascii="Arial" w:hAnsi="Arial" w:cs="Arial"/>
                <w:i/>
              </w:rPr>
              <w:t>4.</w:t>
            </w:r>
            <w:r w:rsidRPr="00DF2136">
              <w:rPr>
                <w:rFonts w:ascii="Arial" w:hAnsi="Arial" w:cs="Arial"/>
                <w:i/>
              </w:rPr>
              <w:tab/>
              <w:t>Ekonominio naudingumo kriterijai.</w:t>
            </w:r>
          </w:p>
        </w:tc>
      </w:tr>
      <w:tr w:rsidR="006531FA" w:rsidRPr="00E9527B" w14:paraId="3F98F866" w14:textId="77777777" w:rsidTr="006531FA">
        <w:tc>
          <w:tcPr>
            <w:tcW w:w="20974" w:type="dxa"/>
            <w:gridSpan w:val="5"/>
            <w:shd w:val="clear" w:color="auto" w:fill="005063"/>
            <w:vAlign w:val="center"/>
          </w:tcPr>
          <w:p w14:paraId="3A112A85" w14:textId="77777777" w:rsidR="006531FA" w:rsidRPr="00E9527B" w:rsidRDefault="006531FA" w:rsidP="002E1012">
            <w:pPr>
              <w:tabs>
                <w:tab w:val="left" w:pos="595"/>
              </w:tabs>
              <w:spacing w:before="120" w:after="120"/>
              <w:jc w:val="center"/>
              <w:rPr>
                <w:rFonts w:ascii="Arial" w:hAnsi="Arial" w:cs="Arial"/>
                <w:b/>
                <w:bCs/>
                <w:color w:val="FFFFFF" w:themeColor="background1"/>
                <w:szCs w:val="24"/>
              </w:rPr>
            </w:pPr>
            <w:r w:rsidRPr="00E9527B">
              <w:rPr>
                <w:rFonts w:ascii="Arial" w:hAnsi="Arial" w:cs="Arial"/>
                <w:b/>
                <w:bCs/>
                <w:caps/>
                <w:color w:val="FFFFFF" w:themeColor="background1"/>
              </w:rPr>
              <w:t>III. Rinkos dalyvių pateiktų atsakymų nagrinėjimas</w:t>
            </w:r>
          </w:p>
        </w:tc>
      </w:tr>
      <w:tr w:rsidR="00A32D40" w:rsidRPr="00E9527B" w14:paraId="05B48B25" w14:textId="77777777" w:rsidTr="006531FA">
        <w:tc>
          <w:tcPr>
            <w:tcW w:w="3821" w:type="dxa"/>
            <w:vAlign w:val="center"/>
          </w:tcPr>
          <w:p w14:paraId="6A7E30DA" w14:textId="77777777" w:rsidR="006531FA" w:rsidRPr="00E9527B" w:rsidRDefault="006531FA" w:rsidP="002E1012">
            <w:pPr>
              <w:spacing w:before="120" w:after="60"/>
              <w:jc w:val="center"/>
              <w:rPr>
                <w:rFonts w:ascii="Arial" w:hAnsi="Arial" w:cs="Arial"/>
                <w:b/>
                <w:bCs/>
              </w:rPr>
            </w:pPr>
            <w:r w:rsidRPr="00E9527B">
              <w:rPr>
                <w:rFonts w:ascii="Arial" w:hAnsi="Arial" w:cs="Arial"/>
                <w:b/>
                <w:bCs/>
              </w:rPr>
              <w:t>Klausimai</w:t>
            </w:r>
          </w:p>
          <w:p w14:paraId="06250632" w14:textId="77777777" w:rsidR="006531FA" w:rsidRPr="00E9527B" w:rsidRDefault="006531FA" w:rsidP="002E1012">
            <w:pPr>
              <w:jc w:val="center"/>
              <w:rPr>
                <w:rFonts w:ascii="Arial" w:hAnsi="Arial" w:cs="Arial"/>
                <w:bCs/>
                <w:i/>
                <w:iCs/>
                <w:szCs w:val="24"/>
              </w:rPr>
            </w:pPr>
            <w:r w:rsidRPr="00E9527B">
              <w:rPr>
                <w:rFonts w:ascii="Arial" w:hAnsi="Arial" w:cs="Arial"/>
                <w:i/>
              </w:rPr>
              <w:t>(nurodomi rinkos konsultacijos klausimyne nurodyti klausimai)</w:t>
            </w:r>
          </w:p>
        </w:tc>
        <w:tc>
          <w:tcPr>
            <w:tcW w:w="5530" w:type="dxa"/>
            <w:vAlign w:val="center"/>
          </w:tcPr>
          <w:p w14:paraId="556B6E53" w14:textId="77777777" w:rsidR="006531FA" w:rsidRPr="005C47D2" w:rsidRDefault="006531FA" w:rsidP="002E1012">
            <w:pPr>
              <w:spacing w:before="120" w:after="60"/>
              <w:jc w:val="center"/>
              <w:rPr>
                <w:rFonts w:ascii="Arial" w:hAnsi="Arial" w:cs="Arial"/>
                <w:b/>
                <w:vertAlign w:val="superscript"/>
              </w:rPr>
            </w:pPr>
            <w:r w:rsidRPr="00E9527B">
              <w:rPr>
                <w:rFonts w:ascii="Arial" w:hAnsi="Arial" w:cs="Arial"/>
                <w:b/>
              </w:rPr>
              <w:t>Tiekėjų atsakymai</w:t>
            </w:r>
            <w:r>
              <w:rPr>
                <w:rFonts w:ascii="Arial" w:hAnsi="Arial" w:cs="Arial"/>
                <w:b/>
                <w:vertAlign w:val="superscript"/>
              </w:rPr>
              <w:t>*</w:t>
            </w:r>
          </w:p>
          <w:p w14:paraId="15744EE8" w14:textId="77777777" w:rsidR="006531FA" w:rsidRPr="00E9527B" w:rsidRDefault="006531FA" w:rsidP="002E1012">
            <w:pPr>
              <w:jc w:val="center"/>
              <w:rPr>
                <w:rFonts w:ascii="Arial" w:hAnsi="Arial" w:cs="Arial"/>
                <w:i/>
                <w:iCs/>
                <w:sz w:val="22"/>
                <w:szCs w:val="22"/>
              </w:rPr>
            </w:pPr>
            <w:r w:rsidRPr="00E9527B">
              <w:rPr>
                <w:rFonts w:ascii="Arial" w:hAnsi="Arial" w:cs="Arial"/>
                <w:i/>
              </w:rPr>
              <w:t>(nurodomi rinkos dalyvių pateikti atsakymai)</w:t>
            </w:r>
          </w:p>
        </w:tc>
        <w:tc>
          <w:tcPr>
            <w:tcW w:w="3685" w:type="dxa"/>
            <w:vAlign w:val="center"/>
          </w:tcPr>
          <w:p w14:paraId="2A03CB36"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Sprendimas</w:t>
            </w:r>
          </w:p>
          <w:p w14:paraId="6E97A18B" w14:textId="77777777" w:rsidR="006531FA" w:rsidRPr="00E9527B" w:rsidRDefault="006531FA" w:rsidP="002E1012">
            <w:pPr>
              <w:jc w:val="center"/>
              <w:rPr>
                <w:rFonts w:ascii="Arial" w:hAnsi="Arial" w:cs="Arial"/>
                <w:bCs/>
                <w:szCs w:val="24"/>
              </w:rPr>
            </w:pPr>
            <w:r w:rsidRPr="00E9527B">
              <w:rPr>
                <w:rFonts w:ascii="Arial" w:hAnsi="Arial" w:cs="Arial"/>
                <w:i/>
              </w:rPr>
              <w:t>(nurodomas sprendimas, pvz. atsižvelgta, neatsižvelgta, atsižvelgta iš dalies)</w:t>
            </w:r>
          </w:p>
        </w:tc>
        <w:tc>
          <w:tcPr>
            <w:tcW w:w="3686" w:type="dxa"/>
            <w:vAlign w:val="center"/>
          </w:tcPr>
          <w:p w14:paraId="4A1D43E9"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Sprendimo motyvas</w:t>
            </w:r>
          </w:p>
          <w:p w14:paraId="5FC32992" w14:textId="77777777" w:rsidR="006531FA" w:rsidRPr="00E9527B" w:rsidRDefault="006531FA" w:rsidP="002E1012">
            <w:pPr>
              <w:jc w:val="center"/>
              <w:rPr>
                <w:rFonts w:ascii="Arial" w:hAnsi="Arial" w:cs="Arial"/>
                <w:bCs/>
                <w:szCs w:val="24"/>
              </w:rPr>
            </w:pPr>
            <w:r w:rsidRPr="00E9527B">
              <w:rPr>
                <w:rFonts w:ascii="Arial" w:hAnsi="Arial" w:cs="Arial"/>
                <w:i/>
              </w:rPr>
              <w:t>(nurodomi perkančiosios organizacijos sprendimų motyvai)</w:t>
            </w:r>
          </w:p>
        </w:tc>
        <w:tc>
          <w:tcPr>
            <w:tcW w:w="4252" w:type="dxa"/>
            <w:vAlign w:val="center"/>
          </w:tcPr>
          <w:p w14:paraId="5D1E9D67" w14:textId="77777777" w:rsidR="006531FA" w:rsidRPr="00E9527B" w:rsidRDefault="006531FA" w:rsidP="002E1012">
            <w:pPr>
              <w:spacing w:before="120" w:after="60"/>
              <w:jc w:val="center"/>
              <w:rPr>
                <w:rFonts w:ascii="Arial" w:hAnsi="Arial" w:cs="Arial"/>
                <w:b/>
              </w:rPr>
            </w:pPr>
            <w:r w:rsidRPr="00E9527B">
              <w:rPr>
                <w:rFonts w:ascii="Arial" w:hAnsi="Arial" w:cs="Arial"/>
                <w:b/>
              </w:rPr>
              <w:t>Veiksmai</w:t>
            </w:r>
          </w:p>
          <w:p w14:paraId="7A8970AD" w14:textId="77777777" w:rsidR="006531FA" w:rsidRPr="00E9527B" w:rsidRDefault="006531FA" w:rsidP="002E1012">
            <w:pPr>
              <w:jc w:val="center"/>
              <w:rPr>
                <w:rFonts w:ascii="Arial" w:hAnsi="Arial" w:cs="Arial"/>
                <w:bCs/>
                <w:szCs w:val="24"/>
              </w:rPr>
            </w:pPr>
            <w:r w:rsidRPr="00E9527B">
              <w:rPr>
                <w:rFonts w:ascii="Arial" w:hAnsi="Arial" w:cs="Arial"/>
                <w:i/>
              </w:rPr>
              <w:t>(nurodomi veiksmai, susiję su sprendimų įgyvendinimu, pvz. įvardinama, kad bus tikslinama atitinkama PD nuostata ar pan.)</w:t>
            </w:r>
          </w:p>
        </w:tc>
      </w:tr>
      <w:tr w:rsidR="006531FA" w:rsidRPr="00E9527B" w14:paraId="228C9937" w14:textId="77777777" w:rsidTr="006531FA">
        <w:tc>
          <w:tcPr>
            <w:tcW w:w="20974" w:type="dxa"/>
            <w:gridSpan w:val="5"/>
            <w:vAlign w:val="center"/>
          </w:tcPr>
          <w:p w14:paraId="7A4ACC4D" w14:textId="77777777" w:rsidR="006531FA" w:rsidRPr="00C777F5" w:rsidRDefault="006531FA" w:rsidP="002E1012">
            <w:pPr>
              <w:jc w:val="center"/>
              <w:rPr>
                <w:rFonts w:ascii="Arial" w:hAnsi="Arial" w:cs="Arial"/>
                <w:b/>
                <w:sz w:val="20"/>
              </w:rPr>
            </w:pPr>
            <w:r w:rsidRPr="00C777F5">
              <w:rPr>
                <w:rFonts w:ascii="Arial" w:hAnsi="Arial" w:cs="Arial"/>
                <w:b/>
                <w:sz w:val="20"/>
              </w:rPr>
              <w:t>Dalyvis Nr. 1</w:t>
            </w:r>
          </w:p>
        </w:tc>
      </w:tr>
      <w:tr w:rsidR="00FE1CBC" w:rsidRPr="00E9527B" w14:paraId="67BB7DBB" w14:textId="77777777" w:rsidTr="0099408B">
        <w:tc>
          <w:tcPr>
            <w:tcW w:w="3821" w:type="dxa"/>
            <w:vAlign w:val="center"/>
          </w:tcPr>
          <w:p w14:paraId="06DE948C" w14:textId="6820C91C" w:rsidR="00FE1CBC" w:rsidRPr="00B746D8" w:rsidRDefault="00FE1CBC" w:rsidP="00FE1CBC">
            <w:pPr>
              <w:rPr>
                <w:rFonts w:ascii="Arial" w:hAnsi="Arial" w:cs="Arial"/>
                <w:bCs/>
                <w:i/>
                <w:iCs/>
                <w:sz w:val="20"/>
              </w:rPr>
            </w:pPr>
            <w:r w:rsidRPr="00575A80">
              <w:rPr>
                <w:rFonts w:ascii="Arial Narrow" w:hAnsi="Arial Narrow"/>
                <w:bCs/>
                <w:sz w:val="22"/>
                <w:szCs w:val="22"/>
              </w:rPr>
              <w:t>Ar dalyvautumėte šiame pirkime? Jei ne, kodėl?</w:t>
            </w:r>
          </w:p>
        </w:tc>
        <w:tc>
          <w:tcPr>
            <w:tcW w:w="5530" w:type="dxa"/>
            <w:vAlign w:val="center"/>
          </w:tcPr>
          <w:p w14:paraId="23F56FDD" w14:textId="3C8CFDF2" w:rsidR="00FE1CBC" w:rsidRPr="00B301F6" w:rsidRDefault="00FE1CBC" w:rsidP="00FE1CBC">
            <w:pPr>
              <w:rPr>
                <w:rFonts w:ascii="Arial" w:hAnsi="Arial" w:cs="Arial"/>
                <w:i/>
                <w:iCs/>
                <w:color w:val="EE0000"/>
                <w:sz w:val="22"/>
                <w:szCs w:val="22"/>
              </w:rPr>
            </w:pPr>
            <w:r w:rsidRPr="00B301F6">
              <w:rPr>
                <w:rFonts w:ascii="Arial" w:hAnsi="Arial" w:cs="Arial"/>
                <w:bCs/>
                <w:color w:val="EE0000"/>
                <w:sz w:val="22"/>
                <w:szCs w:val="22"/>
              </w:rPr>
              <w:t>**</w:t>
            </w:r>
          </w:p>
        </w:tc>
        <w:tc>
          <w:tcPr>
            <w:tcW w:w="3685" w:type="dxa"/>
            <w:vAlign w:val="center"/>
          </w:tcPr>
          <w:p w14:paraId="19D1432F" w14:textId="292677C9" w:rsidR="00FE1CBC" w:rsidRPr="00E9527B" w:rsidRDefault="00FE1CBC" w:rsidP="00FE1CBC">
            <w:pPr>
              <w:jc w:val="center"/>
              <w:rPr>
                <w:rFonts w:ascii="Arial" w:hAnsi="Arial" w:cs="Arial"/>
                <w:bCs/>
                <w:szCs w:val="24"/>
              </w:rPr>
            </w:pPr>
            <w:r>
              <w:rPr>
                <w:rFonts w:ascii="Arial" w:hAnsi="Arial" w:cs="Arial"/>
                <w:bCs/>
                <w:i/>
                <w:iCs/>
                <w:szCs w:val="24"/>
              </w:rPr>
              <w:t>Atsižvelgta</w:t>
            </w:r>
          </w:p>
        </w:tc>
        <w:tc>
          <w:tcPr>
            <w:tcW w:w="3686" w:type="dxa"/>
            <w:vAlign w:val="center"/>
          </w:tcPr>
          <w:p w14:paraId="0C0B2A02" w14:textId="43CE3236" w:rsidR="00FE1CBC" w:rsidRPr="005F771B" w:rsidRDefault="00FE1CBC" w:rsidP="005F771B">
            <w:pPr>
              <w:rPr>
                <w:rFonts w:ascii="Arial" w:hAnsi="Arial" w:cs="Arial"/>
                <w:bCs/>
                <w:szCs w:val="24"/>
              </w:rPr>
            </w:pPr>
            <w:r w:rsidRPr="005F771B">
              <w:rPr>
                <w:rFonts w:ascii="Arial" w:hAnsi="Arial" w:cs="Arial"/>
                <w:bCs/>
                <w:szCs w:val="24"/>
              </w:rPr>
              <w:t>Kadangi rinkos tyrime dalyvavęs tiekėjas atsakė „Taip“, poreikio tikslinti iš anksto paskelbtą informaciją nenustatyta.</w:t>
            </w:r>
          </w:p>
        </w:tc>
        <w:tc>
          <w:tcPr>
            <w:tcW w:w="4252" w:type="dxa"/>
            <w:vAlign w:val="center"/>
          </w:tcPr>
          <w:p w14:paraId="23575097" w14:textId="58691370" w:rsidR="00FE1CBC" w:rsidRPr="005F771B" w:rsidRDefault="00FE1CBC" w:rsidP="005F771B">
            <w:pPr>
              <w:rPr>
                <w:rFonts w:ascii="Arial" w:hAnsi="Arial" w:cs="Arial"/>
                <w:bCs/>
                <w:szCs w:val="24"/>
              </w:rPr>
            </w:pPr>
            <w:r w:rsidRPr="005F771B">
              <w:rPr>
                <w:rFonts w:ascii="Arial" w:hAnsi="Arial" w:cs="Arial"/>
                <w:bCs/>
                <w:szCs w:val="24"/>
              </w:rPr>
              <w:t>Iš anksto paskelbta informacija netikslinama, nes toks poreikis nenustatytas.</w:t>
            </w:r>
          </w:p>
        </w:tc>
      </w:tr>
      <w:tr w:rsidR="00FE1CBC" w:rsidRPr="00E9527B" w14:paraId="5D87A04F" w14:textId="77777777" w:rsidTr="0099408B">
        <w:tc>
          <w:tcPr>
            <w:tcW w:w="3821" w:type="dxa"/>
            <w:vAlign w:val="center"/>
          </w:tcPr>
          <w:p w14:paraId="2CB24D8C" w14:textId="74CF77E0" w:rsidR="00FE1CBC" w:rsidRPr="00B746D8" w:rsidRDefault="00FE1CBC" w:rsidP="00FE1CBC">
            <w:pPr>
              <w:rPr>
                <w:rFonts w:ascii="Arial" w:hAnsi="Arial" w:cs="Arial"/>
                <w:b/>
                <w:bCs/>
                <w:i/>
                <w:iCs/>
                <w:sz w:val="20"/>
              </w:rPr>
            </w:pPr>
            <w:r w:rsidRPr="00EA4E9C">
              <w:rPr>
                <w:rFonts w:ascii="Arial Narrow" w:hAnsi="Arial Narrow"/>
                <w:bCs/>
                <w:sz w:val="22"/>
                <w:szCs w:val="22"/>
              </w:rPr>
              <w:t>Ar turite pastabų, klausimų techninės specifikacijos projektui?</w:t>
            </w:r>
          </w:p>
        </w:tc>
        <w:tc>
          <w:tcPr>
            <w:tcW w:w="5530" w:type="dxa"/>
            <w:vAlign w:val="center"/>
          </w:tcPr>
          <w:p w14:paraId="4F55CDFF" w14:textId="447ACDCD" w:rsidR="00FE1CBC" w:rsidRPr="00B76C5D" w:rsidRDefault="00FE1CBC" w:rsidP="00FE1CBC">
            <w:pPr>
              <w:rPr>
                <w:rFonts w:ascii="Arial" w:hAnsi="Arial" w:cs="Arial"/>
                <w:i/>
                <w:iCs/>
                <w:color w:val="EE0000"/>
                <w:sz w:val="22"/>
                <w:szCs w:val="22"/>
              </w:rPr>
            </w:pPr>
            <w:r w:rsidRPr="00B76C5D">
              <w:rPr>
                <w:rFonts w:ascii="Arial" w:hAnsi="Arial" w:cs="Arial"/>
                <w:bCs/>
                <w:color w:val="EE0000"/>
                <w:sz w:val="22"/>
                <w:szCs w:val="22"/>
              </w:rPr>
              <w:t>**</w:t>
            </w:r>
          </w:p>
        </w:tc>
        <w:tc>
          <w:tcPr>
            <w:tcW w:w="3685" w:type="dxa"/>
            <w:vAlign w:val="center"/>
          </w:tcPr>
          <w:p w14:paraId="76D47AFD" w14:textId="6FCEAF53" w:rsidR="00FE1CBC" w:rsidRPr="00B76C5D" w:rsidRDefault="00FE1CBC" w:rsidP="00FE1CBC">
            <w:pPr>
              <w:pStyle w:val="ListParagraph"/>
              <w:numPr>
                <w:ilvl w:val="0"/>
                <w:numId w:val="22"/>
              </w:numPr>
              <w:jc w:val="left"/>
              <w:rPr>
                <w:rFonts w:ascii="Arial" w:hAnsi="Arial" w:cs="Arial"/>
                <w:bCs/>
                <w:i/>
                <w:iCs/>
                <w:szCs w:val="24"/>
              </w:rPr>
            </w:pPr>
            <w:r w:rsidRPr="00B76C5D">
              <w:rPr>
                <w:rFonts w:ascii="Arial" w:hAnsi="Arial" w:cs="Arial"/>
                <w:bCs/>
                <w:i/>
                <w:iCs/>
                <w:szCs w:val="24"/>
              </w:rPr>
              <w:t>Atsižvelgta;</w:t>
            </w:r>
          </w:p>
          <w:p w14:paraId="77FD2190" w14:textId="77777777" w:rsidR="00FE1CBC" w:rsidRPr="00B76C5D" w:rsidRDefault="00FE1CBC" w:rsidP="00FE1CBC">
            <w:pPr>
              <w:pStyle w:val="ListParagraph"/>
              <w:jc w:val="left"/>
              <w:rPr>
                <w:rFonts w:ascii="Arial" w:hAnsi="Arial" w:cs="Arial"/>
                <w:bCs/>
                <w:i/>
                <w:iCs/>
                <w:szCs w:val="24"/>
              </w:rPr>
            </w:pPr>
          </w:p>
          <w:p w14:paraId="5495868C" w14:textId="21A95600" w:rsidR="00FE1CBC" w:rsidRPr="00B76C5D" w:rsidRDefault="00FE1CBC" w:rsidP="00FE1CBC">
            <w:pPr>
              <w:pStyle w:val="ListParagraph"/>
              <w:jc w:val="left"/>
              <w:rPr>
                <w:rFonts w:ascii="Arial" w:hAnsi="Arial" w:cs="Arial"/>
                <w:bCs/>
                <w:i/>
                <w:iCs/>
                <w:szCs w:val="24"/>
              </w:rPr>
            </w:pPr>
            <w:r w:rsidRPr="00B76C5D">
              <w:rPr>
                <w:rFonts w:ascii="Arial" w:hAnsi="Arial" w:cs="Arial"/>
                <w:bCs/>
                <w:i/>
                <w:iCs/>
                <w:szCs w:val="24"/>
              </w:rPr>
              <w:t>2. Atsižvelgta iš dalies;</w:t>
            </w:r>
          </w:p>
          <w:p w14:paraId="1DF02ADE" w14:textId="77777777" w:rsidR="00FE1CBC" w:rsidRPr="00B76C5D" w:rsidRDefault="00FE1CBC" w:rsidP="00FE1CBC">
            <w:pPr>
              <w:pStyle w:val="ListParagraph"/>
              <w:jc w:val="left"/>
              <w:rPr>
                <w:rFonts w:ascii="Arial" w:hAnsi="Arial" w:cs="Arial"/>
                <w:bCs/>
                <w:i/>
                <w:iCs/>
                <w:szCs w:val="24"/>
              </w:rPr>
            </w:pPr>
          </w:p>
          <w:p w14:paraId="5AE4D68C" w14:textId="77777777" w:rsidR="00FE1CBC" w:rsidRPr="00B76C5D" w:rsidRDefault="00FE1CBC" w:rsidP="00FE1CBC">
            <w:pPr>
              <w:pStyle w:val="ListParagraph"/>
              <w:jc w:val="left"/>
              <w:rPr>
                <w:rFonts w:ascii="Arial" w:hAnsi="Arial" w:cs="Arial"/>
                <w:bCs/>
                <w:i/>
                <w:iCs/>
                <w:szCs w:val="24"/>
              </w:rPr>
            </w:pPr>
            <w:r w:rsidRPr="00B76C5D">
              <w:rPr>
                <w:rFonts w:ascii="Arial" w:hAnsi="Arial" w:cs="Arial"/>
                <w:bCs/>
                <w:i/>
                <w:iCs/>
                <w:szCs w:val="24"/>
              </w:rPr>
              <w:t>3. Neatsižvelgta;</w:t>
            </w:r>
          </w:p>
          <w:p w14:paraId="77EB51F4" w14:textId="77777777" w:rsidR="00FE1CBC" w:rsidRPr="00B76C5D" w:rsidRDefault="00FE1CBC" w:rsidP="00FE1CBC">
            <w:pPr>
              <w:pStyle w:val="ListParagraph"/>
              <w:jc w:val="left"/>
              <w:rPr>
                <w:rFonts w:ascii="Arial" w:hAnsi="Arial" w:cs="Arial"/>
                <w:bCs/>
                <w:i/>
                <w:iCs/>
                <w:szCs w:val="24"/>
              </w:rPr>
            </w:pPr>
          </w:p>
          <w:p w14:paraId="0FC8CDD1" w14:textId="27B0658A" w:rsidR="00FE1CBC" w:rsidRPr="00B76C5D" w:rsidRDefault="00FE1CBC" w:rsidP="00FE1CBC">
            <w:pPr>
              <w:pStyle w:val="ListParagraph"/>
              <w:jc w:val="left"/>
              <w:rPr>
                <w:rFonts w:ascii="Arial" w:hAnsi="Arial" w:cs="Arial"/>
                <w:bCs/>
                <w:i/>
                <w:iCs/>
                <w:szCs w:val="24"/>
              </w:rPr>
            </w:pPr>
            <w:r w:rsidRPr="00B76C5D">
              <w:rPr>
                <w:rFonts w:ascii="Arial" w:hAnsi="Arial" w:cs="Arial"/>
                <w:bCs/>
                <w:i/>
                <w:iCs/>
                <w:szCs w:val="24"/>
              </w:rPr>
              <w:t>4. Neatsižvelgta;</w:t>
            </w:r>
          </w:p>
          <w:p w14:paraId="3313DBCE" w14:textId="77777777" w:rsidR="00FE1CBC" w:rsidRPr="00B76C5D" w:rsidRDefault="00FE1CBC" w:rsidP="00FE1CBC">
            <w:pPr>
              <w:pStyle w:val="ListParagraph"/>
              <w:jc w:val="left"/>
              <w:rPr>
                <w:rFonts w:ascii="Arial" w:hAnsi="Arial" w:cs="Arial"/>
                <w:bCs/>
                <w:i/>
                <w:iCs/>
                <w:szCs w:val="24"/>
              </w:rPr>
            </w:pPr>
          </w:p>
          <w:p w14:paraId="279634C2" w14:textId="35341B00" w:rsidR="00FE1CBC" w:rsidRPr="00B76C5D" w:rsidRDefault="00FE1CBC" w:rsidP="00FE1CBC">
            <w:pPr>
              <w:pStyle w:val="ListParagraph"/>
              <w:jc w:val="left"/>
              <w:rPr>
                <w:rFonts w:ascii="Arial" w:hAnsi="Arial" w:cs="Arial"/>
                <w:bCs/>
                <w:i/>
                <w:iCs/>
                <w:szCs w:val="24"/>
              </w:rPr>
            </w:pPr>
            <w:r w:rsidRPr="00B76C5D">
              <w:rPr>
                <w:rFonts w:ascii="Arial" w:hAnsi="Arial" w:cs="Arial"/>
                <w:bCs/>
                <w:i/>
                <w:iCs/>
                <w:szCs w:val="24"/>
              </w:rPr>
              <w:t>5. Neatsižvelgta;</w:t>
            </w:r>
          </w:p>
          <w:p w14:paraId="684D3F04" w14:textId="77777777" w:rsidR="00FE1CBC" w:rsidRPr="00B76C5D" w:rsidRDefault="00FE1CBC" w:rsidP="00FE1CBC">
            <w:pPr>
              <w:pStyle w:val="ListParagraph"/>
              <w:jc w:val="left"/>
              <w:rPr>
                <w:rFonts w:ascii="Arial" w:hAnsi="Arial" w:cs="Arial"/>
                <w:bCs/>
                <w:i/>
                <w:iCs/>
                <w:szCs w:val="24"/>
              </w:rPr>
            </w:pPr>
          </w:p>
          <w:p w14:paraId="5DA610DA" w14:textId="44D9675A" w:rsidR="00FE1CBC" w:rsidRPr="00B76C5D" w:rsidRDefault="00FE1CBC" w:rsidP="00FE1CBC">
            <w:pPr>
              <w:pStyle w:val="ListParagraph"/>
              <w:jc w:val="left"/>
              <w:rPr>
                <w:rFonts w:ascii="Arial" w:hAnsi="Arial" w:cs="Arial"/>
                <w:bCs/>
                <w:i/>
                <w:iCs/>
                <w:szCs w:val="24"/>
              </w:rPr>
            </w:pPr>
            <w:r w:rsidRPr="00B76C5D">
              <w:rPr>
                <w:rFonts w:ascii="Arial" w:hAnsi="Arial" w:cs="Arial"/>
                <w:bCs/>
                <w:i/>
                <w:iCs/>
                <w:szCs w:val="24"/>
              </w:rPr>
              <w:t>6. Neatsižvelgta;</w:t>
            </w:r>
          </w:p>
          <w:p w14:paraId="62769A39" w14:textId="77777777" w:rsidR="00FE1CBC" w:rsidRPr="00B76C5D" w:rsidRDefault="00FE1CBC" w:rsidP="00FE1CBC">
            <w:pPr>
              <w:pStyle w:val="ListParagraph"/>
              <w:jc w:val="left"/>
              <w:rPr>
                <w:rFonts w:ascii="Arial" w:hAnsi="Arial" w:cs="Arial"/>
                <w:bCs/>
                <w:i/>
                <w:iCs/>
                <w:szCs w:val="24"/>
              </w:rPr>
            </w:pPr>
          </w:p>
          <w:p w14:paraId="42D7D19A" w14:textId="4DDBD677" w:rsidR="00FE1CBC" w:rsidRPr="00B76C5D" w:rsidRDefault="00FE1CBC" w:rsidP="00FE1CBC">
            <w:pPr>
              <w:pStyle w:val="ListParagraph"/>
              <w:jc w:val="left"/>
              <w:rPr>
                <w:rFonts w:ascii="Arial" w:hAnsi="Arial" w:cs="Arial"/>
                <w:bCs/>
                <w:i/>
                <w:iCs/>
                <w:szCs w:val="24"/>
              </w:rPr>
            </w:pPr>
            <w:r w:rsidRPr="00B76C5D">
              <w:rPr>
                <w:rFonts w:ascii="Arial" w:hAnsi="Arial" w:cs="Arial"/>
                <w:bCs/>
                <w:i/>
                <w:iCs/>
                <w:szCs w:val="24"/>
              </w:rPr>
              <w:t>7. Neatsižvelgta;</w:t>
            </w:r>
          </w:p>
          <w:p w14:paraId="671C656F" w14:textId="77777777" w:rsidR="00FE1CBC" w:rsidRPr="00B76C5D" w:rsidRDefault="00FE1CBC" w:rsidP="00FE1CBC">
            <w:pPr>
              <w:pStyle w:val="ListParagraph"/>
              <w:jc w:val="left"/>
              <w:rPr>
                <w:rFonts w:ascii="Arial" w:hAnsi="Arial" w:cs="Arial"/>
                <w:bCs/>
                <w:i/>
                <w:iCs/>
                <w:szCs w:val="24"/>
              </w:rPr>
            </w:pPr>
          </w:p>
          <w:p w14:paraId="1F1B52C1" w14:textId="2A0D1D67" w:rsidR="00FE1CBC" w:rsidRPr="00B76C5D" w:rsidRDefault="00FE1CBC" w:rsidP="00FE1CBC">
            <w:pPr>
              <w:pStyle w:val="ListParagraph"/>
              <w:jc w:val="left"/>
              <w:rPr>
                <w:rFonts w:ascii="Arial" w:hAnsi="Arial" w:cs="Arial"/>
                <w:bCs/>
                <w:i/>
                <w:iCs/>
                <w:szCs w:val="24"/>
              </w:rPr>
            </w:pPr>
            <w:r w:rsidRPr="00B76C5D">
              <w:rPr>
                <w:rFonts w:ascii="Arial" w:hAnsi="Arial" w:cs="Arial"/>
                <w:bCs/>
                <w:i/>
                <w:iCs/>
                <w:szCs w:val="24"/>
              </w:rPr>
              <w:t>8. Neatsižvelgta</w:t>
            </w:r>
          </w:p>
          <w:p w14:paraId="55ABB96C" w14:textId="77777777" w:rsidR="00FE1CBC" w:rsidRPr="00B76C5D" w:rsidRDefault="00FE1CBC" w:rsidP="00FE1CBC">
            <w:pPr>
              <w:pStyle w:val="ListParagraph"/>
              <w:jc w:val="left"/>
              <w:rPr>
                <w:rFonts w:ascii="Arial" w:hAnsi="Arial" w:cs="Arial"/>
                <w:bCs/>
                <w:i/>
                <w:iCs/>
                <w:szCs w:val="24"/>
              </w:rPr>
            </w:pPr>
          </w:p>
          <w:p w14:paraId="015C0FD7" w14:textId="2E0D61FF" w:rsidR="00FE1CBC" w:rsidRPr="00B76C5D" w:rsidRDefault="00FE1CBC" w:rsidP="00FE1CBC">
            <w:pPr>
              <w:pStyle w:val="ListParagraph"/>
              <w:jc w:val="left"/>
              <w:rPr>
                <w:rFonts w:ascii="Arial" w:hAnsi="Arial" w:cs="Arial"/>
                <w:bCs/>
                <w:i/>
                <w:iCs/>
                <w:szCs w:val="24"/>
              </w:rPr>
            </w:pPr>
            <w:r w:rsidRPr="00B76C5D">
              <w:rPr>
                <w:rFonts w:ascii="Arial" w:hAnsi="Arial" w:cs="Arial"/>
                <w:bCs/>
                <w:i/>
                <w:iCs/>
                <w:szCs w:val="24"/>
              </w:rPr>
              <w:t xml:space="preserve">9. </w:t>
            </w:r>
            <w:r w:rsidR="001130D0" w:rsidRPr="00B76C5D">
              <w:rPr>
                <w:rFonts w:ascii="Arial" w:hAnsi="Arial" w:cs="Arial"/>
                <w:bCs/>
                <w:i/>
                <w:iCs/>
                <w:szCs w:val="24"/>
              </w:rPr>
              <w:t>Neatsižvelgta</w:t>
            </w:r>
            <w:r w:rsidRPr="00B76C5D">
              <w:rPr>
                <w:rFonts w:ascii="Arial" w:hAnsi="Arial" w:cs="Arial"/>
                <w:bCs/>
                <w:i/>
                <w:iCs/>
                <w:szCs w:val="24"/>
              </w:rPr>
              <w:t>;</w:t>
            </w:r>
          </w:p>
          <w:p w14:paraId="2250E67B" w14:textId="77777777" w:rsidR="00FE1CBC" w:rsidRPr="00B76C5D" w:rsidRDefault="00FE1CBC" w:rsidP="00FE1CBC">
            <w:pPr>
              <w:pStyle w:val="ListParagraph"/>
              <w:jc w:val="left"/>
              <w:rPr>
                <w:rFonts w:ascii="Arial" w:hAnsi="Arial" w:cs="Arial"/>
                <w:bCs/>
                <w:i/>
                <w:iCs/>
                <w:szCs w:val="24"/>
              </w:rPr>
            </w:pPr>
          </w:p>
          <w:p w14:paraId="5D671C89" w14:textId="05BF70AC" w:rsidR="00FE1CBC" w:rsidRPr="00B76C5D" w:rsidRDefault="00FE1CBC" w:rsidP="00FE1CBC">
            <w:pPr>
              <w:pStyle w:val="ListParagraph"/>
              <w:jc w:val="left"/>
              <w:rPr>
                <w:rFonts w:ascii="Arial" w:hAnsi="Arial" w:cs="Arial"/>
                <w:bCs/>
                <w:i/>
                <w:iCs/>
                <w:szCs w:val="24"/>
              </w:rPr>
            </w:pPr>
            <w:r w:rsidRPr="00B76C5D">
              <w:rPr>
                <w:rFonts w:ascii="Arial" w:hAnsi="Arial" w:cs="Arial"/>
                <w:bCs/>
                <w:i/>
                <w:iCs/>
                <w:szCs w:val="24"/>
              </w:rPr>
              <w:t>10. Neatsižvelgta;</w:t>
            </w:r>
          </w:p>
          <w:p w14:paraId="11E07E74" w14:textId="77777777" w:rsidR="00FE1CBC" w:rsidRPr="00B76C5D" w:rsidRDefault="00FE1CBC" w:rsidP="00FE1CBC">
            <w:pPr>
              <w:pStyle w:val="ListParagraph"/>
              <w:jc w:val="left"/>
              <w:rPr>
                <w:rFonts w:ascii="Arial" w:hAnsi="Arial" w:cs="Arial"/>
                <w:bCs/>
                <w:i/>
                <w:iCs/>
                <w:szCs w:val="24"/>
              </w:rPr>
            </w:pPr>
          </w:p>
          <w:p w14:paraId="32B8A23F" w14:textId="133EA592" w:rsidR="00FE1CBC" w:rsidRPr="00B76C5D" w:rsidRDefault="00FE1CBC" w:rsidP="00FE1CBC">
            <w:pPr>
              <w:pStyle w:val="ListParagraph"/>
              <w:jc w:val="left"/>
              <w:rPr>
                <w:rFonts w:ascii="Arial" w:hAnsi="Arial" w:cs="Arial"/>
                <w:bCs/>
                <w:i/>
                <w:iCs/>
                <w:szCs w:val="24"/>
              </w:rPr>
            </w:pPr>
            <w:r w:rsidRPr="00B76C5D">
              <w:rPr>
                <w:rFonts w:ascii="Arial" w:hAnsi="Arial" w:cs="Arial"/>
                <w:bCs/>
                <w:i/>
                <w:iCs/>
                <w:szCs w:val="24"/>
              </w:rPr>
              <w:t>11. Atsižvelgta iš dalies</w:t>
            </w:r>
          </w:p>
          <w:p w14:paraId="29CC9D2F" w14:textId="7BD2B019" w:rsidR="00FE1CBC" w:rsidRPr="00B76C5D" w:rsidRDefault="00FE1CBC" w:rsidP="00FE1CBC"/>
        </w:tc>
        <w:tc>
          <w:tcPr>
            <w:tcW w:w="3686" w:type="dxa"/>
            <w:vAlign w:val="center"/>
          </w:tcPr>
          <w:p w14:paraId="06BE8041" w14:textId="77777777" w:rsidR="00FE1CBC" w:rsidRPr="005F771B" w:rsidRDefault="00FE1CBC" w:rsidP="005F771B">
            <w:pPr>
              <w:rPr>
                <w:rFonts w:ascii="Arial" w:hAnsi="Arial" w:cs="Arial"/>
                <w:bCs/>
                <w:sz w:val="22"/>
                <w:szCs w:val="22"/>
              </w:rPr>
            </w:pPr>
            <w:r w:rsidRPr="005F771B">
              <w:rPr>
                <w:rFonts w:ascii="Arial" w:hAnsi="Arial" w:cs="Arial"/>
                <w:bCs/>
                <w:sz w:val="22"/>
                <w:szCs w:val="22"/>
              </w:rPr>
              <w:lastRenderedPageBreak/>
              <w:t>1.</w:t>
            </w:r>
            <w:r w:rsidRPr="005F771B">
              <w:rPr>
                <w:rFonts w:ascii="Arial" w:hAnsi="Arial" w:cs="Arial"/>
                <w:sz w:val="22"/>
                <w:szCs w:val="22"/>
              </w:rPr>
              <w:t xml:space="preserve"> </w:t>
            </w:r>
            <w:r w:rsidRPr="005F771B">
              <w:rPr>
                <w:rFonts w:ascii="Arial" w:hAnsi="Arial" w:cs="Arial"/>
                <w:bCs/>
                <w:sz w:val="22"/>
                <w:szCs w:val="22"/>
              </w:rPr>
              <w:t xml:space="preserve">Dokumentas, pateiktas be pavadinimo, yra pridėtas kaip techninės specifikacijos priedas su tikslu pateikti žiniaraščių šablonus: paslaugų elementų, sąmatos elementų ir SDKŽ (Statybos darbų kiekių žiniaraščio) struktūrą. Pateikti paslaugų elementų, sąmatos elementų ir SDKŽ šablonai buvo įtraukti į rinkos konsultaciją siekiant supažindinti tiekėjus su planuojama technine struktūra bei gauti pastabas dėl jų aiškumo ir tinkamumo. Nors jie bus taikomi pirkimo metu, jų pateikimas iš </w:t>
            </w:r>
            <w:r w:rsidRPr="005F771B">
              <w:rPr>
                <w:rFonts w:ascii="Arial" w:hAnsi="Arial" w:cs="Arial"/>
                <w:bCs/>
                <w:sz w:val="22"/>
                <w:szCs w:val="22"/>
              </w:rPr>
              <w:lastRenderedPageBreak/>
              <w:t>anksto padeda užtikrinti skaidrumą ir pasirengimą pirkimui.</w:t>
            </w:r>
          </w:p>
          <w:p w14:paraId="1AC936E6" w14:textId="77777777" w:rsidR="00FE1CBC" w:rsidRPr="005F771B" w:rsidRDefault="00FE1CBC" w:rsidP="005F771B">
            <w:pPr>
              <w:rPr>
                <w:rFonts w:ascii="Arial" w:hAnsi="Arial" w:cs="Arial"/>
                <w:bCs/>
                <w:sz w:val="22"/>
                <w:szCs w:val="22"/>
              </w:rPr>
            </w:pPr>
          </w:p>
          <w:p w14:paraId="137D3D55" w14:textId="4A903EE2" w:rsidR="00FE1CBC" w:rsidRPr="005F771B" w:rsidRDefault="00FE1CBC" w:rsidP="005F771B">
            <w:pPr>
              <w:rPr>
                <w:rFonts w:ascii="Arial" w:hAnsi="Arial" w:cs="Arial"/>
                <w:bCs/>
                <w:sz w:val="22"/>
                <w:szCs w:val="22"/>
              </w:rPr>
            </w:pPr>
            <w:r w:rsidRPr="005F771B">
              <w:rPr>
                <w:rFonts w:ascii="Arial" w:hAnsi="Arial" w:cs="Arial"/>
                <w:bCs/>
                <w:sz w:val="22"/>
                <w:szCs w:val="22"/>
              </w:rPr>
              <w:t>2. Prie rinkos konsultacijos dokumentų yra pridėtas 2024-06-21 tilto apžiūros aktas, kuriame pateiktos aktualios išvados ir rekomendacijos dėl tilto būklės.</w:t>
            </w:r>
          </w:p>
          <w:p w14:paraId="46A6A725" w14:textId="433B0E07" w:rsidR="00FE1CBC" w:rsidRPr="005F771B" w:rsidRDefault="00FE1CBC" w:rsidP="005F771B">
            <w:pPr>
              <w:rPr>
                <w:rFonts w:ascii="Arial" w:hAnsi="Arial" w:cs="Arial"/>
                <w:bCs/>
                <w:sz w:val="22"/>
                <w:szCs w:val="22"/>
              </w:rPr>
            </w:pPr>
            <w:r w:rsidRPr="005F771B">
              <w:rPr>
                <w:rFonts w:ascii="Arial" w:hAnsi="Arial" w:cs="Arial"/>
                <w:bCs/>
                <w:sz w:val="22"/>
                <w:szCs w:val="22"/>
              </w:rPr>
              <w:t>Statinio (tilto) pasas, kaip dokumentas, šiuo metu nėra parengtas. Jo parengimas yra aktualus statybos užbaigimo procedūrų metu. Tokiu atveju jį parengs perkančioji organizacija.</w:t>
            </w:r>
          </w:p>
          <w:p w14:paraId="6746B90D" w14:textId="77777777" w:rsidR="00FE1CBC" w:rsidRPr="005F771B" w:rsidRDefault="00FE1CBC" w:rsidP="005F771B">
            <w:pPr>
              <w:rPr>
                <w:rFonts w:ascii="Arial" w:hAnsi="Arial" w:cs="Arial"/>
                <w:bCs/>
                <w:sz w:val="22"/>
                <w:szCs w:val="22"/>
              </w:rPr>
            </w:pPr>
            <w:r w:rsidRPr="005F771B">
              <w:rPr>
                <w:rFonts w:ascii="Arial" w:hAnsi="Arial" w:cs="Arial"/>
                <w:bCs/>
                <w:sz w:val="22"/>
                <w:szCs w:val="22"/>
              </w:rPr>
              <w:t>3. Užsakovas Technine užduotimi ir specifikacija nesiekia apriboti techninio sprendimo.</w:t>
            </w:r>
          </w:p>
          <w:p w14:paraId="1F361FFC" w14:textId="77777777" w:rsidR="00FE1CBC" w:rsidRPr="005F771B" w:rsidRDefault="00FE1CBC" w:rsidP="005F771B">
            <w:pPr>
              <w:rPr>
                <w:rFonts w:ascii="Arial" w:hAnsi="Arial" w:cs="Arial"/>
                <w:bCs/>
                <w:sz w:val="22"/>
                <w:szCs w:val="22"/>
              </w:rPr>
            </w:pPr>
            <w:r w:rsidRPr="005F771B">
              <w:rPr>
                <w:rFonts w:ascii="Arial" w:hAnsi="Arial" w:cs="Arial"/>
                <w:bCs/>
                <w:sz w:val="22"/>
                <w:szCs w:val="22"/>
              </w:rPr>
              <w:t>Pirkimo dokumentuose pateikti keli galimi techniniai sprendiniai.</w:t>
            </w:r>
          </w:p>
          <w:p w14:paraId="7A75CE7A" w14:textId="77777777" w:rsidR="00FE1CBC" w:rsidRPr="005F771B" w:rsidRDefault="00FE1CBC" w:rsidP="005F771B">
            <w:pPr>
              <w:rPr>
                <w:rFonts w:ascii="Arial" w:hAnsi="Arial" w:cs="Arial"/>
                <w:bCs/>
                <w:sz w:val="22"/>
                <w:szCs w:val="22"/>
              </w:rPr>
            </w:pPr>
            <w:r w:rsidRPr="005F771B">
              <w:rPr>
                <w:rFonts w:ascii="Arial" w:hAnsi="Arial" w:cs="Arial"/>
                <w:bCs/>
                <w:sz w:val="22"/>
                <w:szCs w:val="22"/>
              </w:rPr>
              <w:t>Galutinį techninį sprendimą parenka projektuotojas, atlikdamas projektavimo darbus ir įvertindamas: esamų atramų būklę ir tinkamumą pakartotiniam naudojimui,</w:t>
            </w:r>
          </w:p>
          <w:p w14:paraId="147F068C" w14:textId="77777777" w:rsidR="00FE1CBC" w:rsidRPr="005F771B" w:rsidRDefault="00FE1CBC" w:rsidP="005F771B">
            <w:pPr>
              <w:rPr>
                <w:rFonts w:ascii="Arial" w:hAnsi="Arial" w:cs="Arial"/>
                <w:bCs/>
                <w:sz w:val="22"/>
                <w:szCs w:val="22"/>
              </w:rPr>
            </w:pPr>
            <w:r w:rsidRPr="005F771B">
              <w:rPr>
                <w:rFonts w:ascii="Arial" w:hAnsi="Arial" w:cs="Arial"/>
                <w:bCs/>
                <w:sz w:val="22"/>
                <w:szCs w:val="22"/>
              </w:rPr>
              <w:t>hidrologines, geologines ir eismo sąlygas, statinio ilgaamžiškumo bei priežiūros reikalavimus, ekonominius aspektus ir kt.</w:t>
            </w:r>
          </w:p>
          <w:p w14:paraId="682AF5CF" w14:textId="3D6E549C" w:rsidR="00FE1CBC" w:rsidRPr="005F771B" w:rsidRDefault="00FE1CBC" w:rsidP="005F771B">
            <w:pPr>
              <w:rPr>
                <w:rFonts w:ascii="Arial" w:hAnsi="Arial" w:cs="Arial"/>
                <w:bCs/>
                <w:sz w:val="22"/>
                <w:szCs w:val="22"/>
              </w:rPr>
            </w:pPr>
            <w:r w:rsidRPr="005F771B">
              <w:rPr>
                <w:rFonts w:ascii="Arial" w:hAnsi="Arial" w:cs="Arial"/>
                <w:bCs/>
                <w:sz w:val="22"/>
                <w:szCs w:val="22"/>
              </w:rPr>
              <w:t>Projektinių pasiūlymų apimtis ir detalumas turi būti pakankamas statytojo sumanymui suprasti, gauti statybą leidžiantį dokumentą ir parengti techninį darbo projektą (STR1.04.04:2017 24 p.).</w:t>
            </w:r>
          </w:p>
          <w:p w14:paraId="384CB003" w14:textId="77777777" w:rsidR="00FE1CBC" w:rsidRPr="005F771B" w:rsidRDefault="00FE1CBC" w:rsidP="005F771B">
            <w:pPr>
              <w:rPr>
                <w:rFonts w:ascii="Arial" w:hAnsi="Arial" w:cs="Arial"/>
                <w:bCs/>
                <w:sz w:val="22"/>
                <w:szCs w:val="22"/>
              </w:rPr>
            </w:pPr>
          </w:p>
          <w:p w14:paraId="32E6EC65" w14:textId="574E1D51" w:rsidR="00FE1CBC" w:rsidRPr="005F771B" w:rsidRDefault="00FE1CBC" w:rsidP="005F771B">
            <w:pPr>
              <w:rPr>
                <w:rFonts w:ascii="Arial" w:hAnsi="Arial" w:cs="Arial"/>
                <w:bCs/>
                <w:sz w:val="22"/>
                <w:szCs w:val="22"/>
              </w:rPr>
            </w:pPr>
            <w:r w:rsidRPr="005F771B">
              <w:rPr>
                <w:rFonts w:ascii="Arial" w:hAnsi="Arial" w:cs="Arial"/>
                <w:bCs/>
                <w:sz w:val="22"/>
                <w:szCs w:val="22"/>
              </w:rPr>
              <w:t>4.</w:t>
            </w:r>
            <w:r w:rsidRPr="005F771B">
              <w:rPr>
                <w:rFonts w:ascii="Arial" w:hAnsi="Arial" w:cs="Arial"/>
                <w:sz w:val="22"/>
                <w:szCs w:val="22"/>
                <w:lang w:eastAsia="lt-LT"/>
              </w:rPr>
              <w:t xml:space="preserve"> </w:t>
            </w:r>
            <w:r w:rsidRPr="005F771B">
              <w:rPr>
                <w:rFonts w:ascii="Arial" w:hAnsi="Arial" w:cs="Arial"/>
                <w:bCs/>
                <w:sz w:val="22"/>
                <w:szCs w:val="22"/>
              </w:rPr>
              <w:t xml:space="preserve">Techninės užduoties 10.3 punkte nurodyta formuluotė „įvertinus hidrologines ir kitas sąlygas, svarstyti &lt;...&gt; metalinės pralaidos arba metalinės arkos ant gelžbetonių pamatų įrengimo galimybę“ nėra kvietimas siūlyti alternatyvą pasiūlymo teikimo metu, bet numato, kad projektavimo metu turi būti apsvarstytos visos realiai įgyvendinamos techninės galimybės, neprieštaraujančios techninei užduočiai ir sutarties sąlygoms. Projektavimo etape, atliekant skaičiavimus ir analizę, rangovas turi įvertinti tokių sprendinių techninį ir ekonominį pagrįstumą, vadovaudamasis faktinėmis sąlygomis (hidrologiniais </w:t>
            </w:r>
            <w:r w:rsidRPr="005F771B">
              <w:rPr>
                <w:rFonts w:ascii="Arial" w:hAnsi="Arial" w:cs="Arial"/>
                <w:bCs/>
                <w:sz w:val="22"/>
                <w:szCs w:val="22"/>
              </w:rPr>
              <w:lastRenderedPageBreak/>
              <w:t>parametrais, gruntiniais tyrimais, konstrukciniais apribojimais ir kt.).</w:t>
            </w:r>
          </w:p>
          <w:p w14:paraId="0B05E18A" w14:textId="2EE2625A" w:rsidR="00FE1CBC" w:rsidRPr="005F771B" w:rsidRDefault="00FE1CBC" w:rsidP="005F771B">
            <w:pPr>
              <w:rPr>
                <w:rFonts w:ascii="Arial" w:hAnsi="Arial" w:cs="Arial"/>
                <w:bCs/>
                <w:sz w:val="22"/>
                <w:szCs w:val="22"/>
              </w:rPr>
            </w:pPr>
            <w:r w:rsidRPr="005F771B">
              <w:rPr>
                <w:rFonts w:ascii="Arial" w:hAnsi="Arial" w:cs="Arial"/>
                <w:bCs/>
                <w:sz w:val="22"/>
                <w:szCs w:val="22"/>
              </w:rPr>
              <w:t>5.</w:t>
            </w:r>
            <w:r w:rsidRPr="005F771B">
              <w:rPr>
                <w:rFonts w:ascii="Arial" w:hAnsi="Arial" w:cs="Arial"/>
                <w:sz w:val="22"/>
                <w:szCs w:val="22"/>
              </w:rPr>
              <w:t xml:space="preserve"> Visi projektavimo etapai, įskaitant projektinių pasiūlymų parengimą pagal STR 1.04.04:2017 reikalavimus, yra įtraukti ir detaliai aprašyti Techninės specifikacijos 5 skyriuje „</w:t>
            </w:r>
            <w:r w:rsidRPr="005F771B">
              <w:rPr>
                <w:rFonts w:ascii="Arial" w:hAnsi="Arial" w:cs="Arial"/>
                <w:bCs/>
                <w:sz w:val="22"/>
                <w:szCs w:val="22"/>
              </w:rPr>
              <w:t>PROJEKTAVIMO PASLAUGOS IR JŲ TEIKIMO TVARKA“</w:t>
            </w:r>
          </w:p>
          <w:p w14:paraId="2EDA48FF" w14:textId="77777777" w:rsidR="00FE1CBC" w:rsidRPr="005F771B" w:rsidRDefault="00FE1CBC" w:rsidP="005F771B">
            <w:pPr>
              <w:rPr>
                <w:rFonts w:ascii="Arial" w:hAnsi="Arial" w:cs="Arial"/>
                <w:bCs/>
                <w:sz w:val="22"/>
                <w:szCs w:val="22"/>
              </w:rPr>
            </w:pPr>
          </w:p>
          <w:p w14:paraId="374C0C60" w14:textId="773E7C58" w:rsidR="00FE1CBC" w:rsidRPr="005F771B" w:rsidRDefault="00FE1CBC" w:rsidP="005F771B">
            <w:pPr>
              <w:rPr>
                <w:rFonts w:ascii="Arial" w:hAnsi="Arial" w:cs="Arial"/>
                <w:bCs/>
                <w:sz w:val="22"/>
                <w:szCs w:val="22"/>
              </w:rPr>
            </w:pPr>
            <w:r w:rsidRPr="005F771B">
              <w:rPr>
                <w:rFonts w:ascii="Arial" w:hAnsi="Arial" w:cs="Arial"/>
                <w:bCs/>
                <w:sz w:val="22"/>
                <w:szCs w:val="22"/>
              </w:rPr>
              <w:t>6.</w:t>
            </w:r>
            <w:r w:rsidRPr="005F771B">
              <w:rPr>
                <w:rFonts w:ascii="Arial" w:hAnsi="Arial" w:cs="Arial"/>
                <w:sz w:val="22"/>
                <w:szCs w:val="22"/>
              </w:rPr>
              <w:t xml:space="preserve"> </w:t>
            </w:r>
            <w:r w:rsidRPr="005F771B">
              <w:rPr>
                <w:rFonts w:ascii="Arial" w:hAnsi="Arial" w:cs="Arial"/>
                <w:bCs/>
                <w:sz w:val="22"/>
                <w:szCs w:val="22"/>
              </w:rPr>
              <w:t>Dangos konstrukcija ties tilto prieigomis bei virš pralaidos (jeigu toks sprendinys bus numatytas) parenkama vadovaujantis Automobilių kelių standartizuotų dangų konstrukcijų projektavimo taisyklėmis. Tuo tarpu ant kelio statinių (tiltų) dangos konstrukcija projektuojama remiantis normatyviniais dokumentais ĮT Asfaltas 25 ir ĮT DBH 12.</w:t>
            </w:r>
          </w:p>
          <w:p w14:paraId="36DFB384" w14:textId="77777777" w:rsidR="00FE1CBC" w:rsidRPr="005F771B" w:rsidRDefault="00FE1CBC" w:rsidP="005F771B">
            <w:pPr>
              <w:rPr>
                <w:rFonts w:ascii="Arial" w:hAnsi="Arial" w:cs="Arial"/>
                <w:bCs/>
                <w:sz w:val="22"/>
                <w:szCs w:val="22"/>
              </w:rPr>
            </w:pPr>
          </w:p>
          <w:p w14:paraId="15ADFCD4" w14:textId="18CE8363" w:rsidR="00FE1CBC" w:rsidRPr="005F771B" w:rsidRDefault="00FE1CBC" w:rsidP="005F771B">
            <w:pPr>
              <w:rPr>
                <w:rFonts w:ascii="Arial" w:hAnsi="Arial" w:cs="Arial"/>
                <w:bCs/>
                <w:sz w:val="22"/>
                <w:szCs w:val="22"/>
              </w:rPr>
            </w:pPr>
            <w:r w:rsidRPr="005F771B">
              <w:rPr>
                <w:rFonts w:ascii="Arial" w:hAnsi="Arial" w:cs="Arial"/>
                <w:bCs/>
                <w:sz w:val="22"/>
                <w:szCs w:val="22"/>
              </w:rPr>
              <w:t>7.</w:t>
            </w:r>
            <w:r w:rsidRPr="005F771B">
              <w:rPr>
                <w:rFonts w:ascii="Arial" w:hAnsi="Arial" w:cs="Arial"/>
                <w:sz w:val="22"/>
                <w:szCs w:val="22"/>
              </w:rPr>
              <w:t xml:space="preserve"> </w:t>
            </w:r>
            <w:r w:rsidRPr="005F771B">
              <w:rPr>
                <w:rFonts w:ascii="Arial" w:hAnsi="Arial" w:cs="Arial"/>
                <w:bCs/>
                <w:sz w:val="22"/>
                <w:szCs w:val="22"/>
              </w:rPr>
              <w:t>Tiksli darbų vykdymo riba priklausys nuo Paslaugų tiekėjo parinktų techninių sprendinių. Ji turi būti nustatyta taip, kad būtų užtikrintas sklandus kelio dangos, pločių ir nuolydžių suvedimas, įvertinant esamas kelio horizontalias ir vertikalias kreives bei kitus projektavimo aspektus.</w:t>
            </w:r>
          </w:p>
          <w:p w14:paraId="6057FEDF" w14:textId="77777777" w:rsidR="00FE1CBC" w:rsidRPr="005F771B" w:rsidRDefault="00FE1CBC" w:rsidP="005F771B">
            <w:pPr>
              <w:rPr>
                <w:rFonts w:ascii="Arial" w:hAnsi="Arial" w:cs="Arial"/>
                <w:bCs/>
                <w:sz w:val="22"/>
                <w:szCs w:val="22"/>
              </w:rPr>
            </w:pPr>
          </w:p>
          <w:p w14:paraId="78AD67F9" w14:textId="5CB7FC45" w:rsidR="00FE1CBC" w:rsidRPr="005F771B" w:rsidRDefault="00FE1CBC" w:rsidP="005F771B">
            <w:pPr>
              <w:rPr>
                <w:rFonts w:ascii="Arial" w:hAnsi="Arial" w:cs="Arial"/>
                <w:bCs/>
                <w:sz w:val="22"/>
                <w:szCs w:val="22"/>
              </w:rPr>
            </w:pPr>
            <w:r w:rsidRPr="005F771B">
              <w:rPr>
                <w:rFonts w:ascii="Arial" w:hAnsi="Arial" w:cs="Arial"/>
                <w:bCs/>
                <w:sz w:val="22"/>
                <w:szCs w:val="22"/>
              </w:rPr>
              <w:t>8.</w:t>
            </w:r>
            <w:r w:rsidRPr="005F771B">
              <w:rPr>
                <w:rFonts w:ascii="Arial" w:hAnsi="Arial" w:cs="Arial"/>
                <w:sz w:val="22"/>
                <w:szCs w:val="22"/>
              </w:rPr>
              <w:t xml:space="preserve"> </w:t>
            </w:r>
            <w:r w:rsidRPr="005F771B">
              <w:rPr>
                <w:rFonts w:ascii="Arial" w:hAnsi="Arial" w:cs="Arial"/>
                <w:bCs/>
                <w:sz w:val="22"/>
                <w:szCs w:val="22"/>
              </w:rPr>
              <w:t>Tiekėjas privalo taikyti apkrovas, nustatytas pagal LST EN 1991-2 Lygiaverčių šiam Eurokodui dokumentų Lietuvoje nėra, todėl kiti (pvz., SNiP) dokumentai negali būti taikomi kaip alternatyva.</w:t>
            </w:r>
          </w:p>
          <w:p w14:paraId="61AB9120" w14:textId="48AB075C" w:rsidR="00FE1CBC" w:rsidRPr="005F771B" w:rsidRDefault="00FE1CBC" w:rsidP="005F771B">
            <w:pPr>
              <w:rPr>
                <w:rFonts w:ascii="Arial" w:hAnsi="Arial" w:cs="Arial"/>
                <w:bCs/>
                <w:sz w:val="22"/>
                <w:szCs w:val="22"/>
              </w:rPr>
            </w:pPr>
          </w:p>
          <w:p w14:paraId="764C50C6" w14:textId="1974904C" w:rsidR="00FE1CBC" w:rsidRPr="005F771B" w:rsidRDefault="00FE1CBC" w:rsidP="005F771B">
            <w:pPr>
              <w:rPr>
                <w:rFonts w:ascii="Arial" w:hAnsi="Arial" w:cs="Arial"/>
                <w:bCs/>
                <w:sz w:val="22"/>
                <w:szCs w:val="22"/>
              </w:rPr>
            </w:pPr>
            <w:r w:rsidRPr="005F771B">
              <w:rPr>
                <w:rFonts w:ascii="Arial" w:hAnsi="Arial" w:cs="Arial"/>
                <w:bCs/>
                <w:sz w:val="22"/>
                <w:szCs w:val="22"/>
              </w:rPr>
              <w:t xml:space="preserve">9. Techninės užduoties 15 punkte nurodyti priedai (Techninė specifikacija, psl. 4-25; Priedas Nr.1(Dėl ekspertizės atlikimo),psl.28; Priedas Nr.2 (Dėl projekto perdavimo statytojo (užsakovo) tvirtinimui, psl.29;  Priedas Nr.3 (naujų projektų laidų parengimo gairės), psl.30-36; Priedas Nr.4 (BSR pvz.), psl. 37-40;  Priedas Nr.5 (Statinio fizinių rodiklių sąrašas), psl.41-43; Priedas Nr. 6 (SDKŽ pildymui), psl.44-56;  Priedas Nr.7(Kelio Nr. 3504 16,466 km tilto per Mūkę apžiūros aktas </w:t>
            </w:r>
            <w:r w:rsidRPr="005F771B">
              <w:rPr>
                <w:rFonts w:ascii="Arial" w:hAnsi="Arial" w:cs="Arial"/>
                <w:bCs/>
                <w:sz w:val="22"/>
                <w:szCs w:val="22"/>
              </w:rPr>
              <w:lastRenderedPageBreak/>
              <w:t>(2024), psl. 26-27) komplektuojami viename dokumente su Technine užduotimi ir specifikacija.</w:t>
            </w:r>
          </w:p>
          <w:p w14:paraId="67F68C7B" w14:textId="77777777" w:rsidR="00FE1CBC" w:rsidRPr="005F771B" w:rsidRDefault="00FE1CBC" w:rsidP="005F771B">
            <w:pPr>
              <w:rPr>
                <w:rFonts w:ascii="Arial" w:hAnsi="Arial" w:cs="Arial"/>
                <w:bCs/>
                <w:sz w:val="22"/>
                <w:szCs w:val="22"/>
              </w:rPr>
            </w:pPr>
          </w:p>
          <w:p w14:paraId="10A1DDFA" w14:textId="0B5C1DF9" w:rsidR="00FE1CBC" w:rsidRPr="005F771B" w:rsidRDefault="00FE1CBC" w:rsidP="005F771B">
            <w:pPr>
              <w:rPr>
                <w:rFonts w:ascii="Arial" w:hAnsi="Arial" w:cs="Arial"/>
                <w:bCs/>
                <w:sz w:val="22"/>
                <w:szCs w:val="22"/>
              </w:rPr>
            </w:pPr>
            <w:r w:rsidRPr="005F771B">
              <w:rPr>
                <w:rFonts w:ascii="Arial" w:hAnsi="Arial" w:cs="Arial"/>
                <w:bCs/>
                <w:sz w:val="22"/>
                <w:szCs w:val="22"/>
              </w:rPr>
              <w:t>10.</w:t>
            </w:r>
            <w:r w:rsidRPr="005F771B">
              <w:rPr>
                <w:rFonts w:ascii="Arial" w:hAnsi="Arial" w:cs="Arial"/>
                <w:sz w:val="22"/>
                <w:szCs w:val="22"/>
              </w:rPr>
              <w:t xml:space="preserve"> T</w:t>
            </w:r>
            <w:r w:rsidRPr="005F771B">
              <w:rPr>
                <w:rFonts w:ascii="Arial" w:hAnsi="Arial" w:cs="Arial"/>
                <w:bCs/>
                <w:sz w:val="22"/>
                <w:szCs w:val="22"/>
              </w:rPr>
              <w:t>echninę specifikaciją rengė kvalifikuoti specialistai, turintys reikiamą patirtį ir kompetenciją.</w:t>
            </w:r>
          </w:p>
          <w:p w14:paraId="144954C3" w14:textId="77777777" w:rsidR="00FE1CBC" w:rsidRPr="005F771B" w:rsidRDefault="00FE1CBC" w:rsidP="005F771B">
            <w:pPr>
              <w:rPr>
                <w:rFonts w:ascii="Arial" w:hAnsi="Arial" w:cs="Arial"/>
                <w:bCs/>
                <w:sz w:val="22"/>
                <w:szCs w:val="22"/>
              </w:rPr>
            </w:pPr>
          </w:p>
          <w:p w14:paraId="7C4EEECF" w14:textId="71BDA1A6" w:rsidR="00FE1CBC" w:rsidRPr="005F771B" w:rsidRDefault="00FE1CBC" w:rsidP="005F771B">
            <w:pPr>
              <w:rPr>
                <w:rFonts w:ascii="Arial" w:hAnsi="Arial" w:cs="Arial"/>
                <w:bCs/>
                <w:sz w:val="22"/>
                <w:szCs w:val="22"/>
              </w:rPr>
            </w:pPr>
            <w:r w:rsidRPr="005F771B">
              <w:rPr>
                <w:rFonts w:ascii="Arial" w:hAnsi="Arial" w:cs="Arial"/>
                <w:bCs/>
                <w:sz w:val="22"/>
                <w:szCs w:val="22"/>
              </w:rPr>
              <w:t>11.</w:t>
            </w:r>
            <w:r w:rsidRPr="005F771B">
              <w:rPr>
                <w:rFonts w:ascii="Arial" w:hAnsi="Arial" w:cs="Arial"/>
                <w:sz w:val="22"/>
                <w:szCs w:val="22"/>
              </w:rPr>
              <w:t xml:space="preserve"> V</w:t>
            </w:r>
            <w:r w:rsidRPr="005F771B">
              <w:rPr>
                <w:rFonts w:ascii="Arial" w:hAnsi="Arial" w:cs="Arial"/>
                <w:bCs/>
                <w:sz w:val="22"/>
                <w:szCs w:val="22"/>
              </w:rPr>
              <w:t>iešojo pirkimo dokumentai buvo parengti vadovaujantis galiojančiais teisės aktais ir taikant norminę kalbą kiek tai yra įmanoma techniniuose tekstuose.</w:t>
            </w:r>
          </w:p>
          <w:p w14:paraId="3C873458" w14:textId="5324F4F1" w:rsidR="00FE1CBC" w:rsidRPr="005F771B" w:rsidRDefault="00FE1CBC" w:rsidP="005F771B">
            <w:pPr>
              <w:rPr>
                <w:rFonts w:ascii="Arial" w:hAnsi="Arial" w:cs="Arial"/>
                <w:bCs/>
                <w:sz w:val="22"/>
                <w:szCs w:val="22"/>
              </w:rPr>
            </w:pPr>
          </w:p>
          <w:p w14:paraId="0267004E" w14:textId="77777777" w:rsidR="00FE1CBC" w:rsidRPr="005F771B" w:rsidRDefault="00FE1CBC" w:rsidP="005F771B">
            <w:pPr>
              <w:rPr>
                <w:rFonts w:ascii="Arial" w:hAnsi="Arial" w:cs="Arial"/>
                <w:bCs/>
                <w:sz w:val="22"/>
                <w:szCs w:val="22"/>
              </w:rPr>
            </w:pPr>
          </w:p>
          <w:p w14:paraId="29B6DCFB" w14:textId="790DDCC4" w:rsidR="00FE1CBC" w:rsidRPr="005F771B" w:rsidRDefault="00FE1CBC" w:rsidP="005F771B">
            <w:pPr>
              <w:rPr>
                <w:rFonts w:ascii="Arial" w:hAnsi="Arial" w:cs="Arial"/>
                <w:bCs/>
                <w:sz w:val="22"/>
                <w:szCs w:val="22"/>
              </w:rPr>
            </w:pPr>
          </w:p>
        </w:tc>
        <w:tc>
          <w:tcPr>
            <w:tcW w:w="4252" w:type="dxa"/>
            <w:vAlign w:val="center"/>
          </w:tcPr>
          <w:p w14:paraId="531A072B" w14:textId="6497111A" w:rsidR="00FE1CBC" w:rsidRPr="005F771B" w:rsidRDefault="00FE1CBC" w:rsidP="005F771B">
            <w:pPr>
              <w:rPr>
                <w:rFonts w:ascii="Arial" w:hAnsi="Arial" w:cs="Arial"/>
                <w:bCs/>
                <w:szCs w:val="24"/>
              </w:rPr>
            </w:pPr>
            <w:r w:rsidRPr="005F771B">
              <w:rPr>
                <w:rFonts w:ascii="Arial" w:hAnsi="Arial" w:cs="Arial"/>
                <w:bCs/>
                <w:szCs w:val="24"/>
              </w:rPr>
              <w:lastRenderedPageBreak/>
              <w:t xml:space="preserve">1. </w:t>
            </w:r>
            <w:r w:rsidR="00052A06" w:rsidRPr="005F771B">
              <w:rPr>
                <w:rFonts w:ascii="Arial" w:hAnsi="Arial" w:cs="Arial"/>
                <w:bCs/>
                <w:szCs w:val="24"/>
              </w:rPr>
              <w:t>Su pirkimo dokumentais bus pateikti kaip atskiri priedai su pavadinimais.</w:t>
            </w:r>
          </w:p>
          <w:p w14:paraId="4B7CEC76" w14:textId="77777777" w:rsidR="00FE1CBC" w:rsidRPr="005F771B" w:rsidRDefault="00FE1CBC" w:rsidP="005F771B">
            <w:pPr>
              <w:rPr>
                <w:rFonts w:ascii="Arial" w:hAnsi="Arial" w:cs="Arial"/>
                <w:bCs/>
                <w:szCs w:val="24"/>
              </w:rPr>
            </w:pPr>
          </w:p>
          <w:p w14:paraId="6077CDBF" w14:textId="77777777" w:rsidR="00FE1CBC" w:rsidRPr="005F771B" w:rsidRDefault="00FE1CBC" w:rsidP="005F771B">
            <w:pPr>
              <w:rPr>
                <w:rFonts w:ascii="Arial" w:hAnsi="Arial" w:cs="Arial"/>
                <w:bCs/>
                <w:szCs w:val="24"/>
              </w:rPr>
            </w:pPr>
            <w:r w:rsidRPr="005F771B">
              <w:rPr>
                <w:rFonts w:ascii="Arial" w:hAnsi="Arial" w:cs="Arial"/>
                <w:bCs/>
                <w:szCs w:val="24"/>
              </w:rPr>
              <w:t>2. Konkrečių techninių duomenų poreikių nepateikta, kurie būtų buvę pateikiami statinio pase, todėl poreikis informaciją pateikti atskirai nevertinamas.</w:t>
            </w:r>
          </w:p>
          <w:p w14:paraId="6C6ADC65" w14:textId="77777777" w:rsidR="00FE1CBC" w:rsidRPr="005F771B" w:rsidRDefault="00FE1CBC" w:rsidP="005F771B">
            <w:pPr>
              <w:rPr>
                <w:rFonts w:ascii="Arial" w:hAnsi="Arial" w:cs="Arial"/>
                <w:bCs/>
                <w:szCs w:val="24"/>
              </w:rPr>
            </w:pPr>
          </w:p>
          <w:p w14:paraId="334FFBD9" w14:textId="2AC34697" w:rsidR="00FE1CBC" w:rsidRPr="005F771B" w:rsidRDefault="00FE1CBC" w:rsidP="005F771B">
            <w:pPr>
              <w:rPr>
                <w:rFonts w:ascii="Arial" w:hAnsi="Arial" w:cs="Arial"/>
                <w:bCs/>
                <w:szCs w:val="24"/>
              </w:rPr>
            </w:pPr>
            <w:r w:rsidRPr="005F771B">
              <w:rPr>
                <w:rFonts w:ascii="Arial" w:hAnsi="Arial" w:cs="Arial"/>
                <w:bCs/>
                <w:szCs w:val="24"/>
              </w:rPr>
              <w:t>3. Techninė užduotis ir techninė specifikacija nekoreguojamos.</w:t>
            </w:r>
          </w:p>
          <w:p w14:paraId="0F4E1A0E" w14:textId="77777777" w:rsidR="00FE1CBC" w:rsidRPr="005F771B" w:rsidRDefault="00FE1CBC" w:rsidP="005F771B">
            <w:pPr>
              <w:rPr>
                <w:rFonts w:ascii="Arial" w:hAnsi="Arial" w:cs="Arial"/>
                <w:bCs/>
                <w:szCs w:val="24"/>
              </w:rPr>
            </w:pPr>
          </w:p>
          <w:p w14:paraId="03E3EB77" w14:textId="19C6FEDB" w:rsidR="00FE1CBC" w:rsidRPr="005F771B" w:rsidRDefault="00FE1CBC" w:rsidP="005F771B">
            <w:pPr>
              <w:rPr>
                <w:rFonts w:ascii="Arial" w:hAnsi="Arial" w:cs="Arial"/>
                <w:bCs/>
                <w:szCs w:val="24"/>
              </w:rPr>
            </w:pPr>
            <w:r w:rsidRPr="005F771B">
              <w:rPr>
                <w:rFonts w:ascii="Arial" w:hAnsi="Arial" w:cs="Arial"/>
                <w:bCs/>
                <w:szCs w:val="24"/>
              </w:rPr>
              <w:lastRenderedPageBreak/>
              <w:t>4. Techninė užduotis ir techninė specifikacija nekoreguojamos.</w:t>
            </w:r>
          </w:p>
          <w:p w14:paraId="5AC63652" w14:textId="77777777" w:rsidR="00FE1CBC" w:rsidRPr="005F771B" w:rsidRDefault="00FE1CBC" w:rsidP="005F771B">
            <w:pPr>
              <w:rPr>
                <w:rFonts w:ascii="Arial" w:hAnsi="Arial" w:cs="Arial"/>
                <w:bCs/>
                <w:szCs w:val="24"/>
              </w:rPr>
            </w:pPr>
          </w:p>
          <w:p w14:paraId="36046156" w14:textId="48850BD0" w:rsidR="00FE1CBC" w:rsidRPr="005F771B" w:rsidRDefault="00FE1CBC" w:rsidP="005F771B">
            <w:pPr>
              <w:rPr>
                <w:rFonts w:ascii="Arial" w:hAnsi="Arial" w:cs="Arial"/>
                <w:bCs/>
                <w:szCs w:val="24"/>
              </w:rPr>
            </w:pPr>
            <w:r w:rsidRPr="005F771B">
              <w:rPr>
                <w:rFonts w:ascii="Arial" w:hAnsi="Arial" w:cs="Arial"/>
                <w:bCs/>
                <w:szCs w:val="24"/>
              </w:rPr>
              <w:t>5.</w:t>
            </w:r>
            <w:r w:rsidRPr="005F771B">
              <w:rPr>
                <w:rFonts w:ascii="Arial" w:hAnsi="Arial" w:cs="Arial"/>
              </w:rPr>
              <w:t xml:space="preserve"> </w:t>
            </w:r>
            <w:r w:rsidRPr="005F771B">
              <w:rPr>
                <w:rFonts w:ascii="Arial" w:hAnsi="Arial" w:cs="Arial"/>
                <w:bCs/>
                <w:szCs w:val="24"/>
              </w:rPr>
              <w:t>Techninė užduotis ir techninė specifikacija nekoreguojamos.</w:t>
            </w:r>
          </w:p>
          <w:p w14:paraId="0396F2D5" w14:textId="77777777" w:rsidR="00FE1CBC" w:rsidRPr="005F771B" w:rsidRDefault="00FE1CBC" w:rsidP="005F771B">
            <w:pPr>
              <w:rPr>
                <w:rFonts w:ascii="Arial" w:hAnsi="Arial" w:cs="Arial"/>
                <w:bCs/>
                <w:szCs w:val="24"/>
              </w:rPr>
            </w:pPr>
          </w:p>
          <w:p w14:paraId="5AE27541" w14:textId="77777777" w:rsidR="00FE1CBC" w:rsidRPr="005F771B" w:rsidRDefault="00FE1CBC" w:rsidP="005F771B">
            <w:pPr>
              <w:rPr>
                <w:rFonts w:ascii="Arial" w:hAnsi="Arial" w:cs="Arial"/>
                <w:bCs/>
                <w:szCs w:val="24"/>
              </w:rPr>
            </w:pPr>
            <w:r w:rsidRPr="005F771B">
              <w:rPr>
                <w:rFonts w:ascii="Arial" w:hAnsi="Arial" w:cs="Arial"/>
                <w:bCs/>
                <w:szCs w:val="24"/>
              </w:rPr>
              <w:t>6. Techninė užduotis ir techninė specifikacija nekoreguojamos.</w:t>
            </w:r>
          </w:p>
          <w:p w14:paraId="26B28F5C" w14:textId="3CB91469" w:rsidR="00FE1CBC" w:rsidRPr="005F771B" w:rsidRDefault="00FE1CBC" w:rsidP="005F771B">
            <w:pPr>
              <w:rPr>
                <w:rFonts w:ascii="Arial" w:hAnsi="Arial" w:cs="Arial"/>
                <w:bCs/>
                <w:szCs w:val="24"/>
              </w:rPr>
            </w:pPr>
          </w:p>
          <w:p w14:paraId="4F6F54CA" w14:textId="3A2F956C" w:rsidR="00FE1CBC" w:rsidRPr="005F771B" w:rsidRDefault="00FE1CBC" w:rsidP="005F771B">
            <w:pPr>
              <w:rPr>
                <w:rFonts w:ascii="Arial" w:hAnsi="Arial" w:cs="Arial"/>
                <w:bCs/>
                <w:szCs w:val="24"/>
              </w:rPr>
            </w:pPr>
            <w:r w:rsidRPr="005F771B">
              <w:rPr>
                <w:rFonts w:ascii="Arial" w:hAnsi="Arial" w:cs="Arial"/>
                <w:bCs/>
                <w:szCs w:val="24"/>
              </w:rPr>
              <w:t>7. Techninė užduotis ir techninė specifikacija nekoreguojamos.</w:t>
            </w:r>
          </w:p>
          <w:p w14:paraId="5C9E0895" w14:textId="77777777" w:rsidR="00FE1CBC" w:rsidRPr="005F771B" w:rsidRDefault="00FE1CBC" w:rsidP="005F771B">
            <w:pPr>
              <w:rPr>
                <w:rFonts w:ascii="Arial" w:hAnsi="Arial" w:cs="Arial"/>
                <w:bCs/>
                <w:szCs w:val="24"/>
              </w:rPr>
            </w:pPr>
          </w:p>
          <w:p w14:paraId="4E843563" w14:textId="5D5F1248" w:rsidR="00FE1CBC" w:rsidRPr="005F771B" w:rsidRDefault="00FE1CBC" w:rsidP="005F771B">
            <w:pPr>
              <w:rPr>
                <w:rFonts w:ascii="Arial" w:hAnsi="Arial" w:cs="Arial"/>
                <w:bCs/>
                <w:szCs w:val="24"/>
              </w:rPr>
            </w:pPr>
            <w:r w:rsidRPr="005F771B">
              <w:rPr>
                <w:rFonts w:ascii="Arial" w:hAnsi="Arial" w:cs="Arial"/>
                <w:bCs/>
                <w:szCs w:val="24"/>
              </w:rPr>
              <w:t>8. Techninė užduotis ir techninė specifikacija nekoreguojamos.</w:t>
            </w:r>
          </w:p>
          <w:p w14:paraId="0D194BF5" w14:textId="4100F90C" w:rsidR="00FE1CBC" w:rsidRPr="005F771B" w:rsidRDefault="00FE1CBC" w:rsidP="005F771B">
            <w:pPr>
              <w:rPr>
                <w:rFonts w:ascii="Arial" w:hAnsi="Arial" w:cs="Arial"/>
                <w:bCs/>
                <w:szCs w:val="24"/>
              </w:rPr>
            </w:pPr>
          </w:p>
          <w:p w14:paraId="1867CB2D" w14:textId="77777777" w:rsidR="00FE1CBC" w:rsidRPr="005F771B" w:rsidRDefault="00FE1CBC" w:rsidP="005F771B">
            <w:pPr>
              <w:rPr>
                <w:rFonts w:ascii="Arial" w:hAnsi="Arial" w:cs="Arial"/>
                <w:bCs/>
                <w:szCs w:val="24"/>
              </w:rPr>
            </w:pPr>
            <w:r w:rsidRPr="005F771B">
              <w:rPr>
                <w:rFonts w:ascii="Arial" w:hAnsi="Arial" w:cs="Arial"/>
                <w:bCs/>
                <w:szCs w:val="24"/>
              </w:rPr>
              <w:t>9. Poreikio pateikti papildomus priedus nėra.</w:t>
            </w:r>
          </w:p>
          <w:p w14:paraId="136E3FAE" w14:textId="77777777" w:rsidR="00FE1CBC" w:rsidRPr="005F771B" w:rsidRDefault="00FE1CBC" w:rsidP="005F771B">
            <w:pPr>
              <w:rPr>
                <w:rFonts w:ascii="Arial" w:hAnsi="Arial" w:cs="Arial"/>
                <w:bCs/>
                <w:szCs w:val="24"/>
              </w:rPr>
            </w:pPr>
          </w:p>
          <w:p w14:paraId="5363FD9F" w14:textId="3960687B" w:rsidR="00FE1CBC" w:rsidRPr="005F771B" w:rsidRDefault="00FE1CBC" w:rsidP="005F771B">
            <w:pPr>
              <w:rPr>
                <w:rFonts w:ascii="Arial" w:hAnsi="Arial" w:cs="Arial"/>
                <w:bCs/>
                <w:szCs w:val="24"/>
              </w:rPr>
            </w:pPr>
            <w:r w:rsidRPr="005F771B">
              <w:rPr>
                <w:rFonts w:ascii="Arial" w:hAnsi="Arial" w:cs="Arial"/>
                <w:bCs/>
                <w:szCs w:val="24"/>
              </w:rPr>
              <w:t>10.</w:t>
            </w:r>
            <w:r w:rsidRPr="005F771B">
              <w:rPr>
                <w:rFonts w:ascii="Arial" w:hAnsi="Arial" w:cs="Arial"/>
              </w:rPr>
              <w:t xml:space="preserve"> T</w:t>
            </w:r>
            <w:r w:rsidRPr="005F771B">
              <w:rPr>
                <w:rFonts w:ascii="Arial" w:hAnsi="Arial" w:cs="Arial"/>
                <w:bCs/>
                <w:szCs w:val="24"/>
              </w:rPr>
              <w:t>echninę specifikaciją rengė kvalifikuoti specialistai, turintys reikiamą patirtį ir kompetenciją.</w:t>
            </w:r>
          </w:p>
          <w:p w14:paraId="7AB0FE1C" w14:textId="77777777" w:rsidR="00FE1CBC" w:rsidRPr="005F771B" w:rsidRDefault="00FE1CBC" w:rsidP="005F771B">
            <w:pPr>
              <w:rPr>
                <w:rFonts w:ascii="Arial" w:hAnsi="Arial" w:cs="Arial"/>
                <w:bCs/>
                <w:szCs w:val="24"/>
              </w:rPr>
            </w:pPr>
          </w:p>
          <w:p w14:paraId="674858E8" w14:textId="3D036D8F" w:rsidR="00FE1CBC" w:rsidRPr="005F771B" w:rsidRDefault="00FE1CBC" w:rsidP="005F771B">
            <w:pPr>
              <w:rPr>
                <w:rFonts w:ascii="Arial" w:hAnsi="Arial" w:cs="Arial"/>
                <w:bCs/>
                <w:szCs w:val="24"/>
              </w:rPr>
            </w:pPr>
            <w:r w:rsidRPr="005F771B">
              <w:rPr>
                <w:rFonts w:ascii="Arial" w:hAnsi="Arial" w:cs="Arial"/>
                <w:bCs/>
                <w:szCs w:val="24"/>
              </w:rPr>
              <w:t>11.</w:t>
            </w:r>
            <w:r w:rsidRPr="005F771B">
              <w:rPr>
                <w:rFonts w:ascii="Arial" w:hAnsi="Arial" w:cs="Arial"/>
              </w:rPr>
              <w:t xml:space="preserve"> </w:t>
            </w:r>
            <w:r w:rsidRPr="005F771B">
              <w:rPr>
                <w:rFonts w:ascii="Arial" w:hAnsi="Arial" w:cs="Arial"/>
                <w:bCs/>
                <w:szCs w:val="24"/>
              </w:rPr>
              <w:t>Atsižvelgsime į Jūsų pastebėjimą, stengsimės, kad pirkimo dokumentuose būtų užtikrintas atitikimas lietuvių kalbos norminėms taisyklėms.</w:t>
            </w:r>
          </w:p>
        </w:tc>
      </w:tr>
      <w:tr w:rsidR="00FE1CBC" w:rsidRPr="00E9527B" w14:paraId="4436EC7E" w14:textId="77777777" w:rsidTr="0099408B">
        <w:tc>
          <w:tcPr>
            <w:tcW w:w="3821" w:type="dxa"/>
            <w:vAlign w:val="center"/>
          </w:tcPr>
          <w:p w14:paraId="10A78F59" w14:textId="74E26E3D" w:rsidR="00FE1CBC" w:rsidRPr="00B746D8" w:rsidRDefault="00FE1CBC" w:rsidP="00FE1CBC">
            <w:pPr>
              <w:rPr>
                <w:rFonts w:ascii="Arial" w:hAnsi="Arial" w:cs="Arial"/>
                <w:bCs/>
                <w:i/>
                <w:iCs/>
                <w:sz w:val="20"/>
              </w:rPr>
            </w:pPr>
            <w:r w:rsidRPr="000F2774">
              <w:rPr>
                <w:rFonts w:ascii="Arial Narrow" w:hAnsi="Arial Narrow" w:cs="Segoe UI"/>
                <w:sz w:val="22"/>
                <w:szCs w:val="22"/>
              </w:rPr>
              <w:lastRenderedPageBreak/>
              <w:t>Kokias sąlygas papildomai siūlytumėte įtraukti į Techninę užduotį (Techninę specifikaciją), arba kurių reikėtų atsisakyti?</w:t>
            </w:r>
          </w:p>
        </w:tc>
        <w:tc>
          <w:tcPr>
            <w:tcW w:w="5530" w:type="dxa"/>
            <w:vAlign w:val="center"/>
          </w:tcPr>
          <w:p w14:paraId="0732FDC9" w14:textId="26D4AA9C" w:rsidR="00FE1CBC" w:rsidRPr="00205F2C" w:rsidRDefault="00FE1CBC" w:rsidP="00FE1CBC">
            <w:pPr>
              <w:rPr>
                <w:rFonts w:ascii="Arial" w:hAnsi="Arial" w:cs="Arial"/>
                <w:i/>
                <w:iCs/>
                <w:color w:val="EE0000"/>
                <w:sz w:val="22"/>
                <w:szCs w:val="22"/>
              </w:rPr>
            </w:pPr>
            <w:r w:rsidRPr="00205F2C">
              <w:rPr>
                <w:rFonts w:ascii="Arial" w:hAnsi="Arial" w:cs="Arial"/>
                <w:bCs/>
                <w:sz w:val="22"/>
              </w:rPr>
              <w:t>Siūlome aiškiai ir be dviprasmybių pateikti pirkimui Techninę užduotį, kuri atitiktų Užsakovo lūkesčius, koks turi būti naujas statinys.</w:t>
            </w:r>
          </w:p>
        </w:tc>
        <w:tc>
          <w:tcPr>
            <w:tcW w:w="3685" w:type="dxa"/>
            <w:vAlign w:val="center"/>
          </w:tcPr>
          <w:p w14:paraId="4A3EC131" w14:textId="06531E38" w:rsidR="00FE1CBC" w:rsidRPr="00DB69D6" w:rsidRDefault="00FE1CBC" w:rsidP="00FE1CBC">
            <w:pPr>
              <w:jc w:val="center"/>
              <w:rPr>
                <w:rFonts w:ascii="Arial" w:hAnsi="Arial" w:cs="Arial"/>
                <w:bCs/>
                <w:i/>
                <w:iCs/>
                <w:szCs w:val="24"/>
              </w:rPr>
            </w:pPr>
            <w:r w:rsidRPr="00DB69D6">
              <w:rPr>
                <w:rFonts w:ascii="Arial" w:hAnsi="Arial" w:cs="Arial"/>
                <w:bCs/>
                <w:i/>
                <w:iCs/>
                <w:szCs w:val="24"/>
              </w:rPr>
              <w:t>Neatsižvelgta</w:t>
            </w:r>
          </w:p>
        </w:tc>
        <w:tc>
          <w:tcPr>
            <w:tcW w:w="3686" w:type="dxa"/>
            <w:vAlign w:val="center"/>
          </w:tcPr>
          <w:p w14:paraId="64863EFA" w14:textId="02269A6A" w:rsidR="00FE1CBC" w:rsidRPr="00E9527B" w:rsidRDefault="00FE1CBC" w:rsidP="005F771B">
            <w:pPr>
              <w:rPr>
                <w:rFonts w:ascii="Arial" w:hAnsi="Arial" w:cs="Arial"/>
                <w:bCs/>
                <w:szCs w:val="24"/>
              </w:rPr>
            </w:pPr>
            <w:r>
              <w:rPr>
                <w:rFonts w:ascii="Arial" w:hAnsi="Arial" w:cs="Arial"/>
                <w:bCs/>
                <w:szCs w:val="24"/>
              </w:rPr>
              <w:t>T</w:t>
            </w:r>
            <w:r w:rsidRPr="00DB69D6">
              <w:rPr>
                <w:rFonts w:ascii="Arial" w:hAnsi="Arial" w:cs="Arial"/>
                <w:bCs/>
                <w:szCs w:val="24"/>
              </w:rPr>
              <w:t xml:space="preserve">echninė užduotis parengta vadovaujantis galiojančiais teisės aktais ir yra pakankamai išsami, kad tiekėjai galėtų tinkamai įvertinti pirkimo objektą. Pirkimo dokumentuose pateikti reikalavimai apibrėžia Užsakovo </w:t>
            </w:r>
            <w:r>
              <w:rPr>
                <w:rFonts w:ascii="Arial" w:hAnsi="Arial" w:cs="Arial"/>
                <w:bCs/>
                <w:szCs w:val="24"/>
              </w:rPr>
              <w:t>pageidavimą</w:t>
            </w:r>
            <w:r w:rsidRPr="00DB69D6">
              <w:rPr>
                <w:rFonts w:ascii="Arial" w:hAnsi="Arial" w:cs="Arial"/>
                <w:bCs/>
                <w:szCs w:val="24"/>
              </w:rPr>
              <w:t xml:space="preserve"> dėl </w:t>
            </w:r>
            <w:r>
              <w:rPr>
                <w:rFonts w:ascii="Arial" w:hAnsi="Arial" w:cs="Arial"/>
                <w:bCs/>
                <w:szCs w:val="24"/>
              </w:rPr>
              <w:t xml:space="preserve">statybos rūšies, </w:t>
            </w:r>
            <w:r w:rsidRPr="00DB69D6">
              <w:rPr>
                <w:rFonts w:ascii="Arial" w:hAnsi="Arial" w:cs="Arial"/>
                <w:bCs/>
                <w:szCs w:val="24"/>
              </w:rPr>
              <w:t>statinio paskirties ir techninių sprendinių pagrindinių krypčių.</w:t>
            </w:r>
          </w:p>
        </w:tc>
        <w:tc>
          <w:tcPr>
            <w:tcW w:w="4252" w:type="dxa"/>
            <w:vAlign w:val="center"/>
          </w:tcPr>
          <w:p w14:paraId="0D2AF648" w14:textId="4C86B477" w:rsidR="00FE1CBC" w:rsidRPr="00E9527B" w:rsidRDefault="00FE1CBC" w:rsidP="00FE1CBC">
            <w:pPr>
              <w:jc w:val="center"/>
              <w:rPr>
                <w:rFonts w:ascii="Arial" w:hAnsi="Arial" w:cs="Arial"/>
                <w:bCs/>
                <w:szCs w:val="24"/>
              </w:rPr>
            </w:pPr>
            <w:r w:rsidRPr="00DB69D6">
              <w:rPr>
                <w:rFonts w:ascii="Arial" w:hAnsi="Arial" w:cs="Arial"/>
                <w:bCs/>
                <w:szCs w:val="24"/>
              </w:rPr>
              <w:t>Techninė užduotis ir techninė specifikacija nekoreguojamos.</w:t>
            </w:r>
          </w:p>
        </w:tc>
      </w:tr>
      <w:tr w:rsidR="00FE1CBC" w:rsidRPr="00E9527B" w14:paraId="4808FDD2" w14:textId="77777777" w:rsidTr="0099408B">
        <w:tc>
          <w:tcPr>
            <w:tcW w:w="3821" w:type="dxa"/>
            <w:vAlign w:val="center"/>
          </w:tcPr>
          <w:p w14:paraId="077CB097" w14:textId="77777777" w:rsidR="00FE1CBC" w:rsidRDefault="00FE1CBC" w:rsidP="00FE1CBC">
            <w:pPr>
              <w:pStyle w:val="paragraph"/>
              <w:spacing w:before="0" w:beforeAutospacing="0" w:after="0" w:afterAutospacing="0"/>
              <w:jc w:val="both"/>
              <w:textAlignment w:val="baseline"/>
              <w:rPr>
                <w:rFonts w:ascii="Arial Narrow" w:hAnsi="Arial Narrow" w:cs="Segoe UI"/>
                <w:sz w:val="22"/>
                <w:szCs w:val="22"/>
              </w:rPr>
            </w:pPr>
            <w:r w:rsidRPr="001E1D65">
              <w:rPr>
                <w:rFonts w:ascii="Arial Narrow" w:hAnsi="Arial Narrow" w:cs="Segoe UI"/>
                <w:sz w:val="22"/>
                <w:szCs w:val="22"/>
              </w:rPr>
              <w:t>Ar Jūsų įmonė atitinka nustatytus kvalifikacijos reikalavimus?</w:t>
            </w:r>
          </w:p>
          <w:p w14:paraId="0A1B6A6E" w14:textId="558F4694" w:rsidR="00FE1CBC" w:rsidRPr="00B746D8" w:rsidRDefault="00FE1CBC" w:rsidP="00FE1CBC">
            <w:pPr>
              <w:rPr>
                <w:rFonts w:ascii="Arial" w:hAnsi="Arial" w:cs="Arial"/>
                <w:bCs/>
                <w:i/>
                <w:iCs/>
                <w:sz w:val="20"/>
              </w:rPr>
            </w:pPr>
            <w:r>
              <w:rPr>
                <w:rStyle w:val="normaltextrun"/>
                <w:rFonts w:ascii="Arial Narrow" w:hAnsi="Arial Narrow" w:cs="Segoe UI"/>
                <w:b/>
                <w:bCs/>
                <w:i/>
                <w:iCs/>
                <w:sz w:val="22"/>
                <w:szCs w:val="22"/>
              </w:rPr>
              <w:t>Pastaba: kvalifikaciniai reikalavimai ir reikalavimai dėl kokybės vadybos ir (arba) apsaugos vadybos sistemų pateikti atskiru dokumentu</w:t>
            </w:r>
            <w:r>
              <w:rPr>
                <w:rStyle w:val="normaltextrun"/>
                <w:rFonts w:ascii="Arial Narrow" w:hAnsi="Arial Narrow" w:cs="Segoe UI"/>
                <w:b/>
                <w:bCs/>
                <w:sz w:val="22"/>
                <w:szCs w:val="22"/>
              </w:rPr>
              <w:t>.</w:t>
            </w:r>
            <w:r>
              <w:rPr>
                <w:rStyle w:val="eop"/>
                <w:rFonts w:ascii="Arial Narrow" w:hAnsi="Arial Narrow" w:cs="Segoe UI"/>
                <w:sz w:val="22"/>
                <w:szCs w:val="22"/>
              </w:rPr>
              <w:t> </w:t>
            </w:r>
          </w:p>
        </w:tc>
        <w:tc>
          <w:tcPr>
            <w:tcW w:w="5530" w:type="dxa"/>
            <w:vAlign w:val="center"/>
          </w:tcPr>
          <w:p w14:paraId="58CEAA78" w14:textId="18AB52EE" w:rsidR="00FE1CBC" w:rsidRPr="00B301F6" w:rsidRDefault="00FE1CBC" w:rsidP="00FE1CBC">
            <w:pPr>
              <w:rPr>
                <w:rFonts w:ascii="Arial" w:hAnsi="Arial" w:cs="Arial"/>
                <w:color w:val="EE0000"/>
                <w:sz w:val="22"/>
                <w:szCs w:val="22"/>
              </w:rPr>
            </w:pPr>
            <w:r w:rsidRPr="00B301F6">
              <w:rPr>
                <w:rFonts w:ascii="Arial" w:hAnsi="Arial" w:cs="Arial"/>
                <w:bCs/>
                <w:color w:val="EE0000"/>
                <w:sz w:val="22"/>
                <w:szCs w:val="22"/>
              </w:rPr>
              <w:t>**</w:t>
            </w:r>
          </w:p>
        </w:tc>
        <w:tc>
          <w:tcPr>
            <w:tcW w:w="3685" w:type="dxa"/>
            <w:vAlign w:val="center"/>
          </w:tcPr>
          <w:p w14:paraId="0B6E9364" w14:textId="7C571EFF" w:rsidR="00FE1CBC" w:rsidRPr="00E9527B" w:rsidRDefault="00FE1CBC" w:rsidP="00FE1CBC">
            <w:pPr>
              <w:jc w:val="center"/>
              <w:rPr>
                <w:rFonts w:ascii="Arial" w:hAnsi="Arial" w:cs="Arial"/>
                <w:bCs/>
                <w:szCs w:val="24"/>
              </w:rPr>
            </w:pPr>
            <w:r>
              <w:rPr>
                <w:rFonts w:ascii="Arial" w:hAnsi="Arial" w:cs="Arial"/>
                <w:bCs/>
                <w:i/>
                <w:iCs/>
                <w:szCs w:val="24"/>
              </w:rPr>
              <w:t>Atsižvelgta</w:t>
            </w:r>
          </w:p>
        </w:tc>
        <w:tc>
          <w:tcPr>
            <w:tcW w:w="3686" w:type="dxa"/>
            <w:vAlign w:val="center"/>
          </w:tcPr>
          <w:p w14:paraId="2C1915FB" w14:textId="354D0457" w:rsidR="00FE1CBC" w:rsidRPr="000E0CF0" w:rsidRDefault="00FE1CBC" w:rsidP="005F771B">
            <w:pPr>
              <w:rPr>
                <w:rFonts w:ascii="Arial" w:hAnsi="Arial" w:cs="Arial"/>
                <w:bCs/>
                <w:szCs w:val="24"/>
              </w:rPr>
            </w:pPr>
            <w:r w:rsidRPr="000E0CF0">
              <w:rPr>
                <w:rFonts w:ascii="Arial" w:hAnsi="Arial" w:cs="Arial"/>
                <w:bCs/>
                <w:szCs w:val="24"/>
              </w:rPr>
              <w:t>Kadangi rinkos tyrime dalyvavęs tiekėjas atsakė „Taip“, poreikio tikslinti iš anksto paskelbtą informaciją nenustatyta.</w:t>
            </w:r>
          </w:p>
        </w:tc>
        <w:tc>
          <w:tcPr>
            <w:tcW w:w="4252" w:type="dxa"/>
            <w:vAlign w:val="center"/>
          </w:tcPr>
          <w:p w14:paraId="596D0FEE" w14:textId="66AC4011" w:rsidR="00FE1CBC" w:rsidRPr="000E0CF0" w:rsidRDefault="00FE1CBC" w:rsidP="00FE1CBC">
            <w:pPr>
              <w:jc w:val="center"/>
              <w:rPr>
                <w:rFonts w:ascii="Arial" w:hAnsi="Arial" w:cs="Arial"/>
                <w:bCs/>
                <w:szCs w:val="24"/>
              </w:rPr>
            </w:pPr>
            <w:r w:rsidRPr="000E0CF0">
              <w:rPr>
                <w:rFonts w:ascii="Arial" w:hAnsi="Arial" w:cs="Arial"/>
                <w:bCs/>
                <w:szCs w:val="24"/>
              </w:rPr>
              <w:t>Iš anksto paskelbta informacija netikslinama, nes toks poreikis nenustatytas.</w:t>
            </w:r>
          </w:p>
        </w:tc>
      </w:tr>
      <w:tr w:rsidR="00FE1CBC" w:rsidRPr="00E9527B" w14:paraId="2FD48346" w14:textId="77777777" w:rsidTr="00DF6C2F">
        <w:tc>
          <w:tcPr>
            <w:tcW w:w="3821" w:type="dxa"/>
            <w:vAlign w:val="center"/>
          </w:tcPr>
          <w:p w14:paraId="13EF60AB" w14:textId="4F7A6FFE" w:rsidR="00FE1CBC" w:rsidRPr="00AD611F" w:rsidRDefault="00FE1CBC" w:rsidP="00FE1CBC">
            <w:pPr>
              <w:rPr>
                <w:rFonts w:ascii="Arial Narrow" w:hAnsi="Arial Narrow" w:cstheme="minorBidi"/>
                <w:sz w:val="20"/>
              </w:rPr>
            </w:pPr>
            <w:r w:rsidRPr="00EF60F9">
              <w:rPr>
                <w:rFonts w:ascii="Arial Narrow" w:hAnsi="Arial Narrow"/>
                <w:sz w:val="22"/>
                <w:szCs w:val="22"/>
              </w:rPr>
              <w:t>Kokia, Jūsų vertinimu, turėtų būti viešojo pirkimo sutarties vertė (su PVM)? </w:t>
            </w:r>
          </w:p>
        </w:tc>
        <w:tc>
          <w:tcPr>
            <w:tcW w:w="5530" w:type="dxa"/>
            <w:vAlign w:val="center"/>
          </w:tcPr>
          <w:p w14:paraId="32301C9B" w14:textId="479C3F58" w:rsidR="00FE1CBC" w:rsidRPr="00B301F6" w:rsidRDefault="005F771B" w:rsidP="00FE1CBC">
            <w:pPr>
              <w:rPr>
                <w:rFonts w:ascii="Arial" w:hAnsi="Arial" w:cs="Arial"/>
                <w:i/>
                <w:iCs/>
                <w:color w:val="EE0000"/>
                <w:sz w:val="22"/>
                <w:szCs w:val="22"/>
              </w:rPr>
            </w:pPr>
            <w:r>
              <w:rPr>
                <w:rFonts w:ascii="Arial" w:hAnsi="Arial" w:cs="Arial"/>
                <w:bCs/>
                <w:color w:val="EE0000"/>
                <w:sz w:val="22"/>
                <w:szCs w:val="22"/>
              </w:rPr>
              <w:t>*</w:t>
            </w:r>
            <w:r w:rsidR="00FE1CBC" w:rsidRPr="00B301F6">
              <w:rPr>
                <w:rFonts w:ascii="Arial" w:hAnsi="Arial" w:cs="Arial"/>
                <w:bCs/>
                <w:color w:val="EE0000"/>
                <w:sz w:val="22"/>
                <w:szCs w:val="22"/>
              </w:rPr>
              <w:t>*</w:t>
            </w:r>
          </w:p>
        </w:tc>
        <w:tc>
          <w:tcPr>
            <w:tcW w:w="3685" w:type="dxa"/>
            <w:vAlign w:val="center"/>
          </w:tcPr>
          <w:p w14:paraId="7AC636EE" w14:textId="764E7ED7" w:rsidR="00FE1CBC" w:rsidRPr="00E9527B" w:rsidRDefault="00FE1CBC" w:rsidP="00FE1CBC">
            <w:pPr>
              <w:jc w:val="center"/>
              <w:rPr>
                <w:rFonts w:ascii="Arial" w:hAnsi="Arial" w:cs="Arial"/>
                <w:bCs/>
                <w:szCs w:val="24"/>
              </w:rPr>
            </w:pPr>
            <w:r>
              <w:rPr>
                <w:rFonts w:ascii="Arial" w:hAnsi="Arial" w:cs="Arial"/>
                <w:bCs/>
                <w:i/>
                <w:iCs/>
                <w:szCs w:val="24"/>
              </w:rPr>
              <w:t>Atsižvelgta iš dalies</w:t>
            </w:r>
          </w:p>
        </w:tc>
        <w:tc>
          <w:tcPr>
            <w:tcW w:w="3686" w:type="dxa"/>
            <w:vAlign w:val="center"/>
          </w:tcPr>
          <w:p w14:paraId="21363363" w14:textId="3C650221" w:rsidR="00FE1CBC" w:rsidRPr="00E9527B" w:rsidRDefault="00FE1CBC" w:rsidP="00FE1CBC">
            <w:pPr>
              <w:jc w:val="center"/>
              <w:rPr>
                <w:rFonts w:ascii="Arial" w:hAnsi="Arial" w:cs="Arial"/>
                <w:bCs/>
                <w:szCs w:val="24"/>
              </w:rPr>
            </w:pPr>
            <w:r>
              <w:rPr>
                <w:rFonts w:ascii="Arial" w:hAnsi="Arial" w:cs="Arial"/>
                <w:bCs/>
                <w:i/>
                <w:iCs/>
                <w:szCs w:val="24"/>
              </w:rPr>
              <w:t>-</w:t>
            </w:r>
          </w:p>
        </w:tc>
        <w:tc>
          <w:tcPr>
            <w:tcW w:w="4252" w:type="dxa"/>
            <w:vAlign w:val="center"/>
          </w:tcPr>
          <w:p w14:paraId="375E183C" w14:textId="0A0F87EE" w:rsidR="00FE1CBC" w:rsidRPr="000E0CF0" w:rsidRDefault="00FE1CBC" w:rsidP="00FE1CBC">
            <w:pPr>
              <w:jc w:val="center"/>
              <w:rPr>
                <w:rFonts w:ascii="Arial" w:hAnsi="Arial" w:cs="Arial"/>
                <w:bCs/>
                <w:szCs w:val="24"/>
              </w:rPr>
            </w:pPr>
            <w:r w:rsidRPr="000E0CF0">
              <w:rPr>
                <w:rFonts w:ascii="Arial" w:hAnsi="Arial" w:cs="Arial"/>
                <w:bCs/>
                <w:szCs w:val="24"/>
              </w:rPr>
              <w:t>Rengiant pirkimo dokumentus bus atsižvelgta, nustatant pirkimo vertę</w:t>
            </w:r>
          </w:p>
        </w:tc>
      </w:tr>
      <w:tr w:rsidR="00FE1CBC" w:rsidRPr="00E9527B" w14:paraId="21C77F52" w14:textId="77777777" w:rsidTr="0005441D">
        <w:tc>
          <w:tcPr>
            <w:tcW w:w="3821" w:type="dxa"/>
          </w:tcPr>
          <w:p w14:paraId="1632F6A5" w14:textId="7E694256" w:rsidR="00FE1CBC" w:rsidRPr="00AD611F" w:rsidRDefault="00FE1CBC" w:rsidP="00FE1CBC">
            <w:pPr>
              <w:rPr>
                <w:rFonts w:ascii="Arial Narrow" w:hAnsi="Arial Narrow" w:cstheme="minorBidi"/>
                <w:sz w:val="22"/>
                <w:szCs w:val="22"/>
              </w:rPr>
            </w:pPr>
          </w:p>
        </w:tc>
        <w:tc>
          <w:tcPr>
            <w:tcW w:w="5530" w:type="dxa"/>
          </w:tcPr>
          <w:p w14:paraId="3C2CDD53" w14:textId="3FD1DEDC" w:rsidR="00FE1CBC" w:rsidRPr="00C03403" w:rsidRDefault="00FE1CBC" w:rsidP="00FE1CBC">
            <w:pPr>
              <w:rPr>
                <w:rFonts w:ascii="Arial Narrow" w:hAnsi="Arial Narrow" w:cs="Arial"/>
                <w:i/>
                <w:iCs/>
                <w:color w:val="EE0000"/>
                <w:sz w:val="22"/>
                <w:szCs w:val="22"/>
              </w:rPr>
            </w:pPr>
          </w:p>
        </w:tc>
        <w:tc>
          <w:tcPr>
            <w:tcW w:w="3685" w:type="dxa"/>
            <w:vAlign w:val="center"/>
          </w:tcPr>
          <w:p w14:paraId="20339AA3" w14:textId="77777777" w:rsidR="00FE1CBC" w:rsidRPr="00E9527B" w:rsidRDefault="00FE1CBC" w:rsidP="00FE1CBC">
            <w:pPr>
              <w:jc w:val="center"/>
              <w:rPr>
                <w:rFonts w:ascii="Arial" w:hAnsi="Arial" w:cs="Arial"/>
                <w:bCs/>
                <w:szCs w:val="24"/>
              </w:rPr>
            </w:pPr>
          </w:p>
        </w:tc>
        <w:tc>
          <w:tcPr>
            <w:tcW w:w="3686" w:type="dxa"/>
            <w:vAlign w:val="center"/>
          </w:tcPr>
          <w:p w14:paraId="76C01EC0" w14:textId="77777777" w:rsidR="00FE1CBC" w:rsidRPr="00E9527B" w:rsidRDefault="00FE1CBC" w:rsidP="00FE1CBC">
            <w:pPr>
              <w:jc w:val="center"/>
              <w:rPr>
                <w:rFonts w:ascii="Arial" w:hAnsi="Arial" w:cs="Arial"/>
                <w:bCs/>
                <w:szCs w:val="24"/>
              </w:rPr>
            </w:pPr>
          </w:p>
        </w:tc>
        <w:tc>
          <w:tcPr>
            <w:tcW w:w="4252" w:type="dxa"/>
            <w:vAlign w:val="center"/>
          </w:tcPr>
          <w:p w14:paraId="4368AD27" w14:textId="77777777" w:rsidR="00FE1CBC" w:rsidRPr="00E9527B" w:rsidRDefault="00FE1CBC" w:rsidP="00FE1CBC">
            <w:pPr>
              <w:jc w:val="center"/>
              <w:rPr>
                <w:rFonts w:ascii="Arial" w:hAnsi="Arial" w:cs="Arial"/>
                <w:bCs/>
                <w:szCs w:val="24"/>
              </w:rPr>
            </w:pPr>
          </w:p>
        </w:tc>
      </w:tr>
      <w:tr w:rsidR="00FE1CBC" w:rsidRPr="00E9527B" w14:paraId="7CEAD95E" w14:textId="77777777" w:rsidTr="006531FA">
        <w:tc>
          <w:tcPr>
            <w:tcW w:w="20974" w:type="dxa"/>
            <w:gridSpan w:val="5"/>
            <w:vAlign w:val="center"/>
          </w:tcPr>
          <w:p w14:paraId="7A8289BC" w14:textId="77777777" w:rsidR="00FE1CBC" w:rsidRPr="008A6283" w:rsidRDefault="00FE1CBC" w:rsidP="00FE1CBC">
            <w:pPr>
              <w:jc w:val="center"/>
              <w:rPr>
                <w:rFonts w:ascii="Arial" w:hAnsi="Arial" w:cs="Arial"/>
                <w:bCs/>
                <w:i/>
                <w:iCs/>
                <w:szCs w:val="24"/>
              </w:rPr>
            </w:pPr>
          </w:p>
        </w:tc>
      </w:tr>
      <w:tr w:rsidR="00FE1CBC" w:rsidRPr="00E9527B" w14:paraId="283C5B93" w14:textId="77777777" w:rsidTr="006531FA">
        <w:tc>
          <w:tcPr>
            <w:tcW w:w="20974" w:type="dxa"/>
            <w:gridSpan w:val="5"/>
            <w:vAlign w:val="center"/>
          </w:tcPr>
          <w:p w14:paraId="58A1F6E3" w14:textId="77777777" w:rsidR="00FE1CBC" w:rsidRPr="008A205A" w:rsidRDefault="00FE1CBC" w:rsidP="00FE1CBC">
            <w:pPr>
              <w:rPr>
                <w:rFonts w:ascii="Arial" w:hAnsi="Arial" w:cs="Arial"/>
                <w:bCs/>
                <w:i/>
                <w:iCs/>
                <w:sz w:val="20"/>
              </w:rPr>
            </w:pPr>
            <w:r w:rsidRPr="008A205A">
              <w:rPr>
                <w:rFonts w:ascii="Arial" w:hAnsi="Arial" w:cs="Arial"/>
                <w:bCs/>
                <w:i/>
                <w:iCs/>
                <w:sz w:val="20"/>
              </w:rPr>
              <w:t>*Rinkos dalyvio pateikti atsakymai pateikiami šioje suvestinėje (pastaba: pateiktų atsakymų tekstas nėra koreguojamas, tačiau perrašant/kopijuojant gali pasitaikyti redakcinio pobūdžio kalbos klaidų).</w:t>
            </w:r>
          </w:p>
          <w:p w14:paraId="58895986" w14:textId="77777777" w:rsidR="00FE1CBC" w:rsidRPr="008A6283" w:rsidRDefault="00FE1CBC" w:rsidP="00FE1CBC">
            <w:pPr>
              <w:rPr>
                <w:rFonts w:ascii="Arial" w:hAnsi="Arial" w:cs="Arial"/>
                <w:bCs/>
                <w:i/>
                <w:iCs/>
                <w:szCs w:val="24"/>
              </w:rPr>
            </w:pPr>
            <w:r w:rsidRPr="008A205A">
              <w:rPr>
                <w:rFonts w:ascii="Arial" w:hAnsi="Arial" w:cs="Arial"/>
                <w:bCs/>
                <w:i/>
                <w:iCs/>
                <w:color w:val="FF0000"/>
                <w:sz w:val="20"/>
              </w:rPr>
              <w:t>**Rinkos dalyviai nurodė, kad ši informacija yra konfidenciali, todėl negali būti atskleidžiama/viešinama.</w:t>
            </w:r>
          </w:p>
        </w:tc>
      </w:tr>
    </w:tbl>
    <w:p w14:paraId="2E91CD7A" w14:textId="77777777" w:rsidR="006531FA" w:rsidRDefault="006531FA" w:rsidP="007F30DD">
      <w:pPr>
        <w:rPr>
          <w:b/>
          <w:szCs w:val="24"/>
        </w:rPr>
      </w:pPr>
    </w:p>
    <w:sectPr w:rsidR="006531FA" w:rsidSect="00582ACF">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EB68F" w14:textId="77777777" w:rsidR="00E43B69" w:rsidRDefault="00E43B69" w:rsidP="00794BCE">
      <w:r>
        <w:separator/>
      </w:r>
    </w:p>
  </w:endnote>
  <w:endnote w:type="continuationSeparator" w:id="0">
    <w:p w14:paraId="4F5AA7D0" w14:textId="77777777" w:rsidR="00E43B69" w:rsidRDefault="00E43B69"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084D" w14:textId="77777777" w:rsidR="008736DF" w:rsidRDefault="00873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0A75" w14:textId="77777777" w:rsidR="008736DF" w:rsidRDefault="00873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E9F" w14:textId="77777777" w:rsidR="008736DF" w:rsidRDefault="00873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8D55" w14:textId="77777777" w:rsidR="00E43B69" w:rsidRDefault="00E43B69" w:rsidP="00794BCE">
      <w:r>
        <w:separator/>
      </w:r>
    </w:p>
  </w:footnote>
  <w:footnote w:type="continuationSeparator" w:id="0">
    <w:p w14:paraId="2210419B" w14:textId="77777777" w:rsidR="00E43B69" w:rsidRDefault="00E43B69"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B04E" w14:textId="77777777" w:rsidR="008736DF" w:rsidRDefault="00873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Header"/>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vAlign w:val="center"/>
        </w:tcPr>
        <w:p w14:paraId="0E2733B7" w14:textId="6D64D1E7" w:rsidR="00C35C5E" w:rsidRPr="007253E6" w:rsidRDefault="007F30DD" w:rsidP="007F30DD">
          <w:pPr>
            <w:jc w:val="center"/>
            <w:rPr>
              <w:rFonts w:asciiTheme="minorBidi" w:hAnsiTheme="minorBidi" w:cstheme="minorBidi"/>
              <w:b/>
              <w:caps/>
              <w:sz w:val="22"/>
              <w:szCs w:val="22"/>
            </w:rPr>
          </w:pPr>
          <w:r w:rsidRPr="007253E6">
            <w:rPr>
              <w:rFonts w:asciiTheme="minorBidi" w:hAnsiTheme="minorBidi" w:cstheme="minorBidi"/>
              <w:b/>
              <w:caps/>
              <w:sz w:val="22"/>
              <w:szCs w:val="22"/>
            </w:rPr>
            <w:t>NUMATOMO VYKDYTI VIEŠOJO PIRKIMO „</w:t>
          </w:r>
          <w:r w:rsidR="008736DF" w:rsidRPr="008736DF">
            <w:rPr>
              <w:rFonts w:asciiTheme="minorBidi" w:hAnsiTheme="minorBidi" w:cstheme="minorBidi"/>
              <w:b/>
              <w:caps/>
              <w:sz w:val="22"/>
              <w:szCs w:val="22"/>
            </w:rPr>
            <w:t>Valstybinės reikšmės rajoninio kelio Nr. 3504  Ariogala–Betygala–Šiluva 16,466 km tilto per Mūkę rekonstravimas</w:t>
          </w:r>
          <w:r w:rsidRPr="007253E6">
            <w:rPr>
              <w:rFonts w:asciiTheme="minorBidi" w:hAnsiTheme="minorBidi" w:cstheme="minorBidi"/>
              <w:b/>
              <w:caps/>
              <w:sz w:val="22"/>
              <w:szCs w:val="22"/>
            </w:rPr>
            <w:t>“ RINKOS KONSULTACIJOS SUVESTINĖ</w:t>
          </w:r>
        </w:p>
      </w:tc>
      <w:tc>
        <w:tcPr>
          <w:tcW w:w="2663" w:type="dxa"/>
        </w:tcPr>
        <w:p w14:paraId="10F79906" w14:textId="03ADC812" w:rsidR="00C35C5E" w:rsidRPr="009D6450" w:rsidRDefault="00C35C5E" w:rsidP="00C35C5E">
          <w:pPr>
            <w:pStyle w:val="Header"/>
          </w:pPr>
        </w:p>
      </w:tc>
    </w:tr>
    <w:tr w:rsidR="00C35C5E" w14:paraId="0676D53A" w14:textId="77777777" w:rsidTr="002D2396">
      <w:trPr>
        <w:trHeight w:val="389"/>
      </w:trPr>
      <w:tc>
        <w:tcPr>
          <w:tcW w:w="2666" w:type="dxa"/>
          <w:vMerge/>
        </w:tcPr>
        <w:p w14:paraId="392B9493" w14:textId="77777777" w:rsidR="00C35C5E" w:rsidRDefault="00C35C5E" w:rsidP="00C35C5E">
          <w:pPr>
            <w:pStyle w:val="Header"/>
          </w:pPr>
        </w:p>
      </w:tc>
      <w:tc>
        <w:tcPr>
          <w:tcW w:w="15628" w:type="dxa"/>
          <w:vMerge/>
        </w:tcPr>
        <w:p w14:paraId="57EFA0AB" w14:textId="77777777" w:rsidR="00C35C5E" w:rsidRPr="00A2376F" w:rsidRDefault="00C35C5E" w:rsidP="00C35C5E">
          <w:pPr>
            <w:pStyle w:val="Header"/>
            <w:rPr>
              <w:rFonts w:ascii="Arial Narrow" w:hAnsi="Arial Narrow"/>
            </w:rPr>
          </w:pPr>
        </w:p>
      </w:tc>
      <w:tc>
        <w:tcPr>
          <w:tcW w:w="2663" w:type="dxa"/>
        </w:tcPr>
        <w:p w14:paraId="1EF3B516" w14:textId="77777777" w:rsidR="00C35C5E" w:rsidRPr="00341D56" w:rsidRDefault="00C35C5E" w:rsidP="00C35C5E">
          <w:pPr>
            <w:pStyle w:val="Header"/>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Header"/>
          </w:pPr>
        </w:p>
      </w:tc>
      <w:tc>
        <w:tcPr>
          <w:tcW w:w="15628" w:type="dxa"/>
          <w:vMerge/>
        </w:tcPr>
        <w:p w14:paraId="58E2D6CE" w14:textId="77777777" w:rsidR="00C35C5E" w:rsidRPr="00A2376F" w:rsidRDefault="00C35C5E" w:rsidP="00C35C5E">
          <w:pPr>
            <w:pStyle w:val="Header"/>
            <w:rPr>
              <w:rFonts w:ascii="Arial Narrow" w:hAnsi="Arial Narrow"/>
            </w:rPr>
          </w:pPr>
        </w:p>
      </w:tc>
      <w:tc>
        <w:tcPr>
          <w:tcW w:w="2663" w:type="dxa"/>
        </w:tcPr>
        <w:p w14:paraId="1157861D" w14:textId="45F8A83D" w:rsidR="00C35C5E" w:rsidRPr="00341D56" w:rsidRDefault="00A2376F" w:rsidP="00C35C5E">
          <w:pPr>
            <w:pStyle w:val="Header"/>
            <w:rPr>
              <w:rFonts w:ascii="Arial" w:hAnsi="Arial" w:cs="Arial"/>
            </w:rPr>
          </w:pPr>
          <w:r w:rsidRPr="00341D56">
            <w:rPr>
              <w:rFonts w:ascii="Arial" w:hAnsi="Arial" w:cs="Arial"/>
            </w:rPr>
            <w:t>6 priedas</w:t>
          </w:r>
        </w:p>
      </w:tc>
    </w:tr>
  </w:tbl>
  <w:p w14:paraId="02270F5E" w14:textId="77777777" w:rsidR="00794BCE" w:rsidRDefault="00794BCE" w:rsidP="00794BCE">
    <w:pPr>
      <w:pStyle w:val="Header"/>
      <w:jc w:val="center"/>
      <w:rPr>
        <w:rFonts w:ascii="Arial Narrow" w:hAnsi="Arial Narrow"/>
        <w:b/>
        <w:bC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C06F" w14:textId="77777777" w:rsidR="008736DF" w:rsidRDefault="00873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6547A0D"/>
    <w:multiLevelType w:val="hybridMultilevel"/>
    <w:tmpl w:val="A324103E"/>
    <w:lvl w:ilvl="0" w:tplc="4DE6C3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802F91"/>
    <w:multiLevelType w:val="hybridMultilevel"/>
    <w:tmpl w:val="25580F1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730AE7"/>
    <w:multiLevelType w:val="hybridMultilevel"/>
    <w:tmpl w:val="F606E198"/>
    <w:lvl w:ilvl="0" w:tplc="33140F92">
      <w:start w:val="1"/>
      <w:numFmt w:val="decimal"/>
      <w:lvlText w:val="%1."/>
      <w:lvlJc w:val="left"/>
      <w:pPr>
        <w:ind w:left="1219" w:hanging="361"/>
      </w:pPr>
      <w:rPr>
        <w:rFonts w:ascii="Arial MT" w:eastAsia="Arial MT" w:hAnsi="Arial MT" w:cs="Arial MT" w:hint="default"/>
        <w:b w:val="0"/>
        <w:bCs w:val="0"/>
        <w:i w:val="0"/>
        <w:iCs w:val="0"/>
        <w:spacing w:val="-2"/>
        <w:w w:val="101"/>
        <w:sz w:val="22"/>
        <w:szCs w:val="22"/>
        <w:lang w:val="lt-LT" w:eastAsia="en-US" w:bidi="ar-SA"/>
      </w:rPr>
    </w:lvl>
    <w:lvl w:ilvl="1" w:tplc="9FC25A52">
      <w:numFmt w:val="bullet"/>
      <w:lvlText w:val="•"/>
      <w:lvlJc w:val="left"/>
      <w:pPr>
        <w:ind w:left="2090" w:hanging="361"/>
      </w:pPr>
      <w:rPr>
        <w:rFonts w:hint="default"/>
        <w:lang w:val="lt-LT" w:eastAsia="en-US" w:bidi="ar-SA"/>
      </w:rPr>
    </w:lvl>
    <w:lvl w:ilvl="2" w:tplc="4F9CA108">
      <w:numFmt w:val="bullet"/>
      <w:lvlText w:val="•"/>
      <w:lvlJc w:val="left"/>
      <w:pPr>
        <w:ind w:left="2960" w:hanging="361"/>
      </w:pPr>
      <w:rPr>
        <w:rFonts w:hint="default"/>
        <w:lang w:val="lt-LT" w:eastAsia="en-US" w:bidi="ar-SA"/>
      </w:rPr>
    </w:lvl>
    <w:lvl w:ilvl="3" w:tplc="398866C2">
      <w:numFmt w:val="bullet"/>
      <w:lvlText w:val="•"/>
      <w:lvlJc w:val="left"/>
      <w:pPr>
        <w:ind w:left="3831" w:hanging="361"/>
      </w:pPr>
      <w:rPr>
        <w:rFonts w:hint="default"/>
        <w:lang w:val="lt-LT" w:eastAsia="en-US" w:bidi="ar-SA"/>
      </w:rPr>
    </w:lvl>
    <w:lvl w:ilvl="4" w:tplc="B8E0F096">
      <w:numFmt w:val="bullet"/>
      <w:lvlText w:val="•"/>
      <w:lvlJc w:val="left"/>
      <w:pPr>
        <w:ind w:left="4701" w:hanging="361"/>
      </w:pPr>
      <w:rPr>
        <w:rFonts w:hint="default"/>
        <w:lang w:val="lt-LT" w:eastAsia="en-US" w:bidi="ar-SA"/>
      </w:rPr>
    </w:lvl>
    <w:lvl w:ilvl="5" w:tplc="28B87400">
      <w:numFmt w:val="bullet"/>
      <w:lvlText w:val="•"/>
      <w:lvlJc w:val="left"/>
      <w:pPr>
        <w:ind w:left="5572" w:hanging="361"/>
      </w:pPr>
      <w:rPr>
        <w:rFonts w:hint="default"/>
        <w:lang w:val="lt-LT" w:eastAsia="en-US" w:bidi="ar-SA"/>
      </w:rPr>
    </w:lvl>
    <w:lvl w:ilvl="6" w:tplc="98464588">
      <w:numFmt w:val="bullet"/>
      <w:lvlText w:val="•"/>
      <w:lvlJc w:val="left"/>
      <w:pPr>
        <w:ind w:left="6442" w:hanging="361"/>
      </w:pPr>
      <w:rPr>
        <w:rFonts w:hint="default"/>
        <w:lang w:val="lt-LT" w:eastAsia="en-US" w:bidi="ar-SA"/>
      </w:rPr>
    </w:lvl>
    <w:lvl w:ilvl="7" w:tplc="07D4997C">
      <w:numFmt w:val="bullet"/>
      <w:lvlText w:val="•"/>
      <w:lvlJc w:val="left"/>
      <w:pPr>
        <w:ind w:left="7313" w:hanging="361"/>
      </w:pPr>
      <w:rPr>
        <w:rFonts w:hint="default"/>
        <w:lang w:val="lt-LT" w:eastAsia="en-US" w:bidi="ar-SA"/>
      </w:rPr>
    </w:lvl>
    <w:lvl w:ilvl="8" w:tplc="BAEC6564">
      <w:numFmt w:val="bullet"/>
      <w:lvlText w:val="•"/>
      <w:lvlJc w:val="left"/>
      <w:pPr>
        <w:ind w:left="8183" w:hanging="361"/>
      </w:pPr>
      <w:rPr>
        <w:rFonts w:hint="default"/>
        <w:lang w:val="lt-LT" w:eastAsia="en-US" w:bidi="ar-SA"/>
      </w:rPr>
    </w:lvl>
  </w:abstractNum>
  <w:abstractNum w:abstractNumId="16"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984158"/>
    <w:multiLevelType w:val="hybridMultilevel"/>
    <w:tmpl w:val="AC6C5E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1"/>
  </w:num>
  <w:num w:numId="2" w16cid:durableId="1431854453">
    <w:abstractNumId w:val="1"/>
  </w:num>
  <w:num w:numId="3" w16cid:durableId="1309701299">
    <w:abstractNumId w:val="17"/>
  </w:num>
  <w:num w:numId="4" w16cid:durableId="1046443704">
    <w:abstractNumId w:val="16"/>
  </w:num>
  <w:num w:numId="5" w16cid:durableId="1370835859">
    <w:abstractNumId w:val="7"/>
  </w:num>
  <w:num w:numId="6" w16cid:durableId="897059957">
    <w:abstractNumId w:val="12"/>
  </w:num>
  <w:num w:numId="7" w16cid:durableId="52316042">
    <w:abstractNumId w:val="20"/>
  </w:num>
  <w:num w:numId="8" w16cid:durableId="784036624">
    <w:abstractNumId w:val="6"/>
  </w:num>
  <w:num w:numId="9" w16cid:durableId="1079325090">
    <w:abstractNumId w:val="18"/>
  </w:num>
  <w:num w:numId="10" w16cid:durableId="956714370">
    <w:abstractNumId w:val="9"/>
  </w:num>
  <w:num w:numId="11" w16cid:durableId="1938446526">
    <w:abstractNumId w:val="8"/>
  </w:num>
  <w:num w:numId="12" w16cid:durableId="792360073">
    <w:abstractNumId w:val="5"/>
  </w:num>
  <w:num w:numId="13" w16cid:durableId="2097557940">
    <w:abstractNumId w:val="3"/>
  </w:num>
  <w:num w:numId="14" w16cid:durableId="1662922794">
    <w:abstractNumId w:val="13"/>
  </w:num>
  <w:num w:numId="15" w16cid:durableId="174150764">
    <w:abstractNumId w:val="14"/>
  </w:num>
  <w:num w:numId="16" w16cid:durableId="67927927">
    <w:abstractNumId w:val="0"/>
  </w:num>
  <w:num w:numId="17" w16cid:durableId="1875532444">
    <w:abstractNumId w:val="19"/>
  </w:num>
  <w:num w:numId="18" w16cid:durableId="58479328">
    <w:abstractNumId w:val="10"/>
  </w:num>
  <w:num w:numId="19" w16cid:durableId="758792192">
    <w:abstractNumId w:val="15"/>
  </w:num>
  <w:num w:numId="20" w16cid:durableId="996880258">
    <w:abstractNumId w:val="21"/>
  </w:num>
  <w:num w:numId="21" w16cid:durableId="1469861162">
    <w:abstractNumId w:val="4"/>
  </w:num>
  <w:num w:numId="22" w16cid:durableId="1494949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421E"/>
    <w:rsid w:val="000101A6"/>
    <w:rsid w:val="000317D9"/>
    <w:rsid w:val="00037995"/>
    <w:rsid w:val="00043BB5"/>
    <w:rsid w:val="00052A06"/>
    <w:rsid w:val="00064D82"/>
    <w:rsid w:val="00071F28"/>
    <w:rsid w:val="000926F1"/>
    <w:rsid w:val="000A5752"/>
    <w:rsid w:val="000C03AD"/>
    <w:rsid w:val="000C1CFA"/>
    <w:rsid w:val="000C36CD"/>
    <w:rsid w:val="000D2A3B"/>
    <w:rsid w:val="000D7D4C"/>
    <w:rsid w:val="000E0CF0"/>
    <w:rsid w:val="000E3852"/>
    <w:rsid w:val="000E6E5B"/>
    <w:rsid w:val="001108AA"/>
    <w:rsid w:val="001126B2"/>
    <w:rsid w:val="001130D0"/>
    <w:rsid w:val="00120FD4"/>
    <w:rsid w:val="001472F1"/>
    <w:rsid w:val="001569F7"/>
    <w:rsid w:val="00157EE3"/>
    <w:rsid w:val="00160EC8"/>
    <w:rsid w:val="00174AD5"/>
    <w:rsid w:val="00176AEC"/>
    <w:rsid w:val="00182E7D"/>
    <w:rsid w:val="001935B9"/>
    <w:rsid w:val="00193678"/>
    <w:rsid w:val="00193FA5"/>
    <w:rsid w:val="00197999"/>
    <w:rsid w:val="001A356E"/>
    <w:rsid w:val="001A382A"/>
    <w:rsid w:val="001A3F52"/>
    <w:rsid w:val="001A5625"/>
    <w:rsid w:val="001A6A85"/>
    <w:rsid w:val="001A78F9"/>
    <w:rsid w:val="001C4FB5"/>
    <w:rsid w:val="001D035D"/>
    <w:rsid w:val="001F534E"/>
    <w:rsid w:val="001F6C72"/>
    <w:rsid w:val="002018D4"/>
    <w:rsid w:val="00205F2C"/>
    <w:rsid w:val="00211207"/>
    <w:rsid w:val="002116DD"/>
    <w:rsid w:val="002160E8"/>
    <w:rsid w:val="0022200E"/>
    <w:rsid w:val="002255A9"/>
    <w:rsid w:val="002259F9"/>
    <w:rsid w:val="002330C2"/>
    <w:rsid w:val="002430D8"/>
    <w:rsid w:val="00250DE4"/>
    <w:rsid w:val="0027331D"/>
    <w:rsid w:val="00287012"/>
    <w:rsid w:val="002903DB"/>
    <w:rsid w:val="002A2A80"/>
    <w:rsid w:val="002A6310"/>
    <w:rsid w:val="002B76DC"/>
    <w:rsid w:val="002C0965"/>
    <w:rsid w:val="002D2396"/>
    <w:rsid w:val="002E4390"/>
    <w:rsid w:val="002E6CB5"/>
    <w:rsid w:val="002F1D70"/>
    <w:rsid w:val="002F78AB"/>
    <w:rsid w:val="003126AE"/>
    <w:rsid w:val="00314E67"/>
    <w:rsid w:val="0031505B"/>
    <w:rsid w:val="00317B82"/>
    <w:rsid w:val="00341D56"/>
    <w:rsid w:val="00342380"/>
    <w:rsid w:val="00342EE5"/>
    <w:rsid w:val="00345CF4"/>
    <w:rsid w:val="003620DB"/>
    <w:rsid w:val="0036238D"/>
    <w:rsid w:val="00392422"/>
    <w:rsid w:val="003A1993"/>
    <w:rsid w:val="003A7245"/>
    <w:rsid w:val="003A798A"/>
    <w:rsid w:val="003B5D0D"/>
    <w:rsid w:val="003D71E2"/>
    <w:rsid w:val="003E0762"/>
    <w:rsid w:val="003F63A0"/>
    <w:rsid w:val="003F7F2C"/>
    <w:rsid w:val="00403586"/>
    <w:rsid w:val="0040394C"/>
    <w:rsid w:val="00407D99"/>
    <w:rsid w:val="0041330B"/>
    <w:rsid w:val="00413F9A"/>
    <w:rsid w:val="00415158"/>
    <w:rsid w:val="00421D71"/>
    <w:rsid w:val="00421F09"/>
    <w:rsid w:val="00427558"/>
    <w:rsid w:val="00433191"/>
    <w:rsid w:val="0043616F"/>
    <w:rsid w:val="00441A99"/>
    <w:rsid w:val="004537EB"/>
    <w:rsid w:val="0046187A"/>
    <w:rsid w:val="00480AE4"/>
    <w:rsid w:val="00483614"/>
    <w:rsid w:val="0049006A"/>
    <w:rsid w:val="00493F1E"/>
    <w:rsid w:val="004A54DE"/>
    <w:rsid w:val="004C4E7E"/>
    <w:rsid w:val="004E59CE"/>
    <w:rsid w:val="004F10C9"/>
    <w:rsid w:val="00501117"/>
    <w:rsid w:val="00514F30"/>
    <w:rsid w:val="0052278C"/>
    <w:rsid w:val="00531F30"/>
    <w:rsid w:val="005434A2"/>
    <w:rsid w:val="00561686"/>
    <w:rsid w:val="00576652"/>
    <w:rsid w:val="00582ACF"/>
    <w:rsid w:val="00586205"/>
    <w:rsid w:val="00590C77"/>
    <w:rsid w:val="0059118F"/>
    <w:rsid w:val="005A5A17"/>
    <w:rsid w:val="005B0159"/>
    <w:rsid w:val="005B0505"/>
    <w:rsid w:val="005B223C"/>
    <w:rsid w:val="005B2A74"/>
    <w:rsid w:val="005B2E0B"/>
    <w:rsid w:val="005B5A99"/>
    <w:rsid w:val="005C6B5E"/>
    <w:rsid w:val="005D5777"/>
    <w:rsid w:val="005E3C9E"/>
    <w:rsid w:val="005F1713"/>
    <w:rsid w:val="005F424E"/>
    <w:rsid w:val="005F4E3C"/>
    <w:rsid w:val="005F5C7E"/>
    <w:rsid w:val="005F771B"/>
    <w:rsid w:val="00605E7E"/>
    <w:rsid w:val="00606913"/>
    <w:rsid w:val="00607DFE"/>
    <w:rsid w:val="00607F1E"/>
    <w:rsid w:val="006176C5"/>
    <w:rsid w:val="00623334"/>
    <w:rsid w:val="00625E45"/>
    <w:rsid w:val="006531FA"/>
    <w:rsid w:val="0066331D"/>
    <w:rsid w:val="0067634B"/>
    <w:rsid w:val="00676E56"/>
    <w:rsid w:val="006A119A"/>
    <w:rsid w:val="006A2CF1"/>
    <w:rsid w:val="006B7DD6"/>
    <w:rsid w:val="006C45CF"/>
    <w:rsid w:val="006D2716"/>
    <w:rsid w:val="006E04C5"/>
    <w:rsid w:val="006F41A5"/>
    <w:rsid w:val="006F672F"/>
    <w:rsid w:val="0070020E"/>
    <w:rsid w:val="007045C5"/>
    <w:rsid w:val="00706DEB"/>
    <w:rsid w:val="00710B46"/>
    <w:rsid w:val="00712D13"/>
    <w:rsid w:val="00721AC6"/>
    <w:rsid w:val="007253E6"/>
    <w:rsid w:val="00734B66"/>
    <w:rsid w:val="007353AC"/>
    <w:rsid w:val="00735D13"/>
    <w:rsid w:val="00736CB4"/>
    <w:rsid w:val="0074082C"/>
    <w:rsid w:val="00750649"/>
    <w:rsid w:val="00750825"/>
    <w:rsid w:val="00752304"/>
    <w:rsid w:val="00762972"/>
    <w:rsid w:val="007659CD"/>
    <w:rsid w:val="00772C21"/>
    <w:rsid w:val="007745D4"/>
    <w:rsid w:val="007766F8"/>
    <w:rsid w:val="00777649"/>
    <w:rsid w:val="007925B6"/>
    <w:rsid w:val="00794BCE"/>
    <w:rsid w:val="007A1C85"/>
    <w:rsid w:val="007A46F6"/>
    <w:rsid w:val="007B2EE3"/>
    <w:rsid w:val="007B4805"/>
    <w:rsid w:val="007C3379"/>
    <w:rsid w:val="007D329C"/>
    <w:rsid w:val="007D6970"/>
    <w:rsid w:val="007E0830"/>
    <w:rsid w:val="007F30DD"/>
    <w:rsid w:val="00806922"/>
    <w:rsid w:val="00815CBE"/>
    <w:rsid w:val="008235C9"/>
    <w:rsid w:val="008259AB"/>
    <w:rsid w:val="00826DC1"/>
    <w:rsid w:val="00854E2D"/>
    <w:rsid w:val="00861BF9"/>
    <w:rsid w:val="008736DF"/>
    <w:rsid w:val="00894387"/>
    <w:rsid w:val="008A1620"/>
    <w:rsid w:val="008B1B5D"/>
    <w:rsid w:val="008B35DF"/>
    <w:rsid w:val="008B3D82"/>
    <w:rsid w:val="008B40E6"/>
    <w:rsid w:val="008B4736"/>
    <w:rsid w:val="008B74A6"/>
    <w:rsid w:val="008F3F4F"/>
    <w:rsid w:val="0091207E"/>
    <w:rsid w:val="0093284F"/>
    <w:rsid w:val="00943DA6"/>
    <w:rsid w:val="00955088"/>
    <w:rsid w:val="009572A4"/>
    <w:rsid w:val="0096263A"/>
    <w:rsid w:val="009707ED"/>
    <w:rsid w:val="009710ED"/>
    <w:rsid w:val="00971F73"/>
    <w:rsid w:val="009926EA"/>
    <w:rsid w:val="009C17D1"/>
    <w:rsid w:val="009C262B"/>
    <w:rsid w:val="009C4404"/>
    <w:rsid w:val="009D6450"/>
    <w:rsid w:val="009E09CE"/>
    <w:rsid w:val="009E0BB8"/>
    <w:rsid w:val="009E5623"/>
    <w:rsid w:val="009F59DA"/>
    <w:rsid w:val="009F66A1"/>
    <w:rsid w:val="00A16004"/>
    <w:rsid w:val="00A2376F"/>
    <w:rsid w:val="00A25B94"/>
    <w:rsid w:val="00A32D40"/>
    <w:rsid w:val="00A4745F"/>
    <w:rsid w:val="00A7103B"/>
    <w:rsid w:val="00AA0FF0"/>
    <w:rsid w:val="00AA1121"/>
    <w:rsid w:val="00AA35A1"/>
    <w:rsid w:val="00AA432B"/>
    <w:rsid w:val="00AB0C91"/>
    <w:rsid w:val="00AC440C"/>
    <w:rsid w:val="00AD611F"/>
    <w:rsid w:val="00AF12C5"/>
    <w:rsid w:val="00AF2C3B"/>
    <w:rsid w:val="00B0020E"/>
    <w:rsid w:val="00B12BA3"/>
    <w:rsid w:val="00B146E0"/>
    <w:rsid w:val="00B151C3"/>
    <w:rsid w:val="00B228B4"/>
    <w:rsid w:val="00B25F4D"/>
    <w:rsid w:val="00B301F6"/>
    <w:rsid w:val="00B30CA7"/>
    <w:rsid w:val="00B42EE7"/>
    <w:rsid w:val="00B43A78"/>
    <w:rsid w:val="00B47A29"/>
    <w:rsid w:val="00B54314"/>
    <w:rsid w:val="00B57B27"/>
    <w:rsid w:val="00B746D8"/>
    <w:rsid w:val="00B76C5D"/>
    <w:rsid w:val="00B8041E"/>
    <w:rsid w:val="00B82A6B"/>
    <w:rsid w:val="00B90DAF"/>
    <w:rsid w:val="00B94300"/>
    <w:rsid w:val="00BA1A10"/>
    <w:rsid w:val="00BA484B"/>
    <w:rsid w:val="00BB0E8B"/>
    <w:rsid w:val="00BB3284"/>
    <w:rsid w:val="00BC16F7"/>
    <w:rsid w:val="00BC1959"/>
    <w:rsid w:val="00BD4025"/>
    <w:rsid w:val="00BD556E"/>
    <w:rsid w:val="00BF084A"/>
    <w:rsid w:val="00BF6118"/>
    <w:rsid w:val="00C01B08"/>
    <w:rsid w:val="00C03403"/>
    <w:rsid w:val="00C057E5"/>
    <w:rsid w:val="00C17F9A"/>
    <w:rsid w:val="00C23E6C"/>
    <w:rsid w:val="00C248BF"/>
    <w:rsid w:val="00C32E4F"/>
    <w:rsid w:val="00C3310B"/>
    <w:rsid w:val="00C35C5E"/>
    <w:rsid w:val="00C47116"/>
    <w:rsid w:val="00C711AE"/>
    <w:rsid w:val="00C76A62"/>
    <w:rsid w:val="00C777F5"/>
    <w:rsid w:val="00C975A6"/>
    <w:rsid w:val="00CA37DE"/>
    <w:rsid w:val="00CB57FA"/>
    <w:rsid w:val="00CB716F"/>
    <w:rsid w:val="00CC482F"/>
    <w:rsid w:val="00CD24D0"/>
    <w:rsid w:val="00CD61AC"/>
    <w:rsid w:val="00CF78FB"/>
    <w:rsid w:val="00D13802"/>
    <w:rsid w:val="00D2343F"/>
    <w:rsid w:val="00D3143C"/>
    <w:rsid w:val="00D4267F"/>
    <w:rsid w:val="00D43840"/>
    <w:rsid w:val="00D45E13"/>
    <w:rsid w:val="00D463C7"/>
    <w:rsid w:val="00D51CCB"/>
    <w:rsid w:val="00D525E9"/>
    <w:rsid w:val="00D53770"/>
    <w:rsid w:val="00D57C0A"/>
    <w:rsid w:val="00D90766"/>
    <w:rsid w:val="00D95086"/>
    <w:rsid w:val="00D961F4"/>
    <w:rsid w:val="00DA6E36"/>
    <w:rsid w:val="00DB2155"/>
    <w:rsid w:val="00DB2BD8"/>
    <w:rsid w:val="00DB69D6"/>
    <w:rsid w:val="00DB6B54"/>
    <w:rsid w:val="00DD0DC4"/>
    <w:rsid w:val="00DD1750"/>
    <w:rsid w:val="00DD27FA"/>
    <w:rsid w:val="00DD2E9E"/>
    <w:rsid w:val="00DD621D"/>
    <w:rsid w:val="00DE6411"/>
    <w:rsid w:val="00DE65FE"/>
    <w:rsid w:val="00DF2136"/>
    <w:rsid w:val="00DF3049"/>
    <w:rsid w:val="00E31D27"/>
    <w:rsid w:val="00E37D9E"/>
    <w:rsid w:val="00E43B69"/>
    <w:rsid w:val="00E45FA1"/>
    <w:rsid w:val="00E471C8"/>
    <w:rsid w:val="00E47B3D"/>
    <w:rsid w:val="00E51D9D"/>
    <w:rsid w:val="00E54A1D"/>
    <w:rsid w:val="00E616A4"/>
    <w:rsid w:val="00E76796"/>
    <w:rsid w:val="00E82875"/>
    <w:rsid w:val="00E95239"/>
    <w:rsid w:val="00EA1421"/>
    <w:rsid w:val="00EA24D2"/>
    <w:rsid w:val="00EA32EE"/>
    <w:rsid w:val="00EA35D2"/>
    <w:rsid w:val="00EA4EAC"/>
    <w:rsid w:val="00EB3646"/>
    <w:rsid w:val="00EB67C3"/>
    <w:rsid w:val="00EC23D9"/>
    <w:rsid w:val="00EC5A1C"/>
    <w:rsid w:val="00ED3402"/>
    <w:rsid w:val="00ED45D4"/>
    <w:rsid w:val="00ED5BF7"/>
    <w:rsid w:val="00EE56BB"/>
    <w:rsid w:val="00EF779E"/>
    <w:rsid w:val="00F207BF"/>
    <w:rsid w:val="00F22F44"/>
    <w:rsid w:val="00F311FB"/>
    <w:rsid w:val="00F33661"/>
    <w:rsid w:val="00F414C8"/>
    <w:rsid w:val="00F5174C"/>
    <w:rsid w:val="00F933B8"/>
    <w:rsid w:val="00F9786A"/>
    <w:rsid w:val="00FA1E79"/>
    <w:rsid w:val="00FB0769"/>
    <w:rsid w:val="00FB1D35"/>
    <w:rsid w:val="00FB1F43"/>
    <w:rsid w:val="00FC46B6"/>
    <w:rsid w:val="00FE1CBC"/>
    <w:rsid w:val="00FE32B9"/>
    <w:rsid w:val="00FE4C84"/>
    <w:rsid w:val="00FE6EDD"/>
    <w:rsid w:val="00FE72B5"/>
    <w:rsid w:val="00FF45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BCE"/>
    <w:pPr>
      <w:tabs>
        <w:tab w:val="center" w:pos="4819"/>
        <w:tab w:val="right" w:pos="9638"/>
      </w:tabs>
    </w:pPr>
  </w:style>
  <w:style w:type="character" w:customStyle="1" w:styleId="HeaderChar">
    <w:name w:val="Header Char"/>
    <w:basedOn w:val="DefaultParagraphFont"/>
    <w:link w:val="Header"/>
    <w:uiPriority w:val="99"/>
    <w:rsid w:val="00794BCE"/>
  </w:style>
  <w:style w:type="paragraph" w:styleId="Footer">
    <w:name w:val="footer"/>
    <w:basedOn w:val="Normal"/>
    <w:link w:val="FooterChar"/>
    <w:uiPriority w:val="99"/>
    <w:unhideWhenUsed/>
    <w:rsid w:val="00794BCE"/>
    <w:pPr>
      <w:tabs>
        <w:tab w:val="center" w:pos="4819"/>
        <w:tab w:val="right" w:pos="9638"/>
      </w:tabs>
    </w:pPr>
  </w:style>
  <w:style w:type="character" w:customStyle="1" w:styleId="FooterChar">
    <w:name w:val="Footer Char"/>
    <w:basedOn w:val="DefaultParagraphFont"/>
    <w:link w:val="Footer"/>
    <w:uiPriority w:val="99"/>
    <w:rsid w:val="00794BCE"/>
  </w:style>
  <w:style w:type="paragraph" w:styleId="ListParagraph">
    <w:name w:val="List Paragraph"/>
    <w:aliases w:val="List Paragraph Red,Numbering,ERP-List Paragraph,List Paragraph1,List Paragraph11,Bullet EY,List Paragraph2,List Paragraph21,Lentele,List not in Table,Para 0,Párrafo de lista1,Paragrafo elenco1,Bullets,Paragraphe de liste,Buletai,lp1"/>
    <w:basedOn w:val="Normal"/>
    <w:link w:val="ListParagraphChar"/>
    <w:uiPriority w:val="1"/>
    <w:qFormat/>
    <w:rsid w:val="00EC5A1C"/>
    <w:pPr>
      <w:ind w:left="720"/>
      <w:contextualSpacing/>
    </w:pPr>
  </w:style>
  <w:style w:type="paragraph" w:styleId="FootnoteText">
    <w:name w:val="footnote text"/>
    <w:basedOn w:val="Normal"/>
    <w:link w:val="FootnoteTextChar"/>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EC5A1C"/>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EC5A1C"/>
    <w:rPr>
      <w:vertAlign w:val="superscript"/>
    </w:rPr>
  </w:style>
  <w:style w:type="table" w:styleId="GridTable4-Accent1">
    <w:name w:val="Grid Table 4 Accent 1"/>
    <w:basedOn w:val="TableNorma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ist not in Table Char,Para 0 Char,Bullets Char,lp1 Char"/>
    <w:link w:val="ListParagraph"/>
    <w:uiPriority w:val="34"/>
    <w:qFormat/>
    <w:locked/>
    <w:rsid w:val="00EC5A1C"/>
    <w:rPr>
      <w:rFonts w:ascii="Times New Roman" w:eastAsia="Times New Roman" w:hAnsi="Times New Roman" w:cs="Times New Roman"/>
      <w:sz w:val="24"/>
      <w:szCs w:val="20"/>
    </w:rPr>
  </w:style>
  <w:style w:type="table" w:styleId="TableGrid">
    <w:name w:val="Table Grid"/>
    <w:basedOn w:val="TableNorma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A382A"/>
    <w:rPr>
      <w:sz w:val="20"/>
    </w:rPr>
  </w:style>
  <w:style w:type="character" w:customStyle="1" w:styleId="CommentTextChar">
    <w:name w:val="Comment Text Char"/>
    <w:basedOn w:val="DefaultParagraphFont"/>
    <w:link w:val="CommentText"/>
    <w:uiPriority w:val="99"/>
    <w:semiHidden/>
    <w:rsid w:val="001A382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A382A"/>
    <w:rPr>
      <w:color w:val="0563C1" w:themeColor="hyperlink"/>
      <w:u w:val="single"/>
    </w:rPr>
  </w:style>
  <w:style w:type="character" w:styleId="UnresolvedMention">
    <w:name w:val="Unresolved Mention"/>
    <w:basedOn w:val="DefaultParagraphFont"/>
    <w:uiPriority w:val="99"/>
    <w:semiHidden/>
    <w:unhideWhenUsed/>
    <w:rsid w:val="001A382A"/>
    <w:rPr>
      <w:color w:val="605E5C"/>
      <w:shd w:val="clear" w:color="auto" w:fill="E1DFDD"/>
    </w:rPr>
  </w:style>
  <w:style w:type="paragraph" w:customStyle="1" w:styleId="paragraph">
    <w:name w:val="paragraph"/>
    <w:basedOn w:val="Normal"/>
    <w:rsid w:val="0049006A"/>
    <w:pPr>
      <w:spacing w:before="100" w:beforeAutospacing="1" w:after="100" w:afterAutospacing="1"/>
      <w:jc w:val="left"/>
    </w:pPr>
    <w:rPr>
      <w:szCs w:val="24"/>
      <w:lang w:eastAsia="lt-LT"/>
    </w:rPr>
  </w:style>
  <w:style w:type="character" w:customStyle="1" w:styleId="normaltextrun">
    <w:name w:val="normaltextrun"/>
    <w:basedOn w:val="DefaultParagraphFont"/>
    <w:rsid w:val="0049006A"/>
  </w:style>
  <w:style w:type="character" w:customStyle="1" w:styleId="eop">
    <w:name w:val="eop"/>
    <w:basedOn w:val="DefaultParagraphFont"/>
    <w:rsid w:val="0049006A"/>
  </w:style>
  <w:style w:type="character" w:customStyle="1" w:styleId="ui-provider">
    <w:name w:val="ui-provider"/>
    <w:basedOn w:val="DefaultParagraphFont"/>
    <w:rsid w:val="005B2A74"/>
  </w:style>
  <w:style w:type="paragraph" w:styleId="BodyText">
    <w:name w:val="Body Text"/>
    <w:basedOn w:val="Normal"/>
    <w:link w:val="BodyTextChar"/>
    <w:uiPriority w:val="1"/>
    <w:qFormat/>
    <w:rsid w:val="00734B66"/>
    <w:pPr>
      <w:widowControl w:val="0"/>
      <w:autoSpaceDE w:val="0"/>
      <w:autoSpaceDN w:val="0"/>
      <w:jc w:val="left"/>
    </w:pPr>
    <w:rPr>
      <w:rFonts w:ascii="Arial MT" w:eastAsia="Arial MT" w:hAnsi="Arial MT" w:cs="Arial MT"/>
      <w:sz w:val="22"/>
      <w:szCs w:val="22"/>
    </w:rPr>
  </w:style>
  <w:style w:type="character" w:customStyle="1" w:styleId="BodyTextChar">
    <w:name w:val="Body Text Char"/>
    <w:basedOn w:val="DefaultParagraphFont"/>
    <w:link w:val="BodyText"/>
    <w:uiPriority w:val="1"/>
    <w:rsid w:val="00734B66"/>
    <w:rPr>
      <w:rFonts w:ascii="Arial MT" w:eastAsia="Arial MT" w:hAnsi="Arial MT" w:cs="Arial MT"/>
    </w:rPr>
  </w:style>
  <w:style w:type="paragraph" w:styleId="NormalWeb">
    <w:name w:val="Normal (Web)"/>
    <w:basedOn w:val="Normal"/>
    <w:uiPriority w:val="99"/>
    <w:semiHidden/>
    <w:unhideWhenUsed/>
    <w:rsid w:val="000926F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5580</Words>
  <Characters>3182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Vaida Adamkevičiūtė</cp:lastModifiedBy>
  <cp:revision>2</cp:revision>
  <cp:lastPrinted>2024-04-23T07:00:00Z</cp:lastPrinted>
  <dcterms:created xsi:type="dcterms:W3CDTF">2025-07-18T04:58:00Z</dcterms:created>
  <dcterms:modified xsi:type="dcterms:W3CDTF">2025-07-18T04:58:00Z</dcterms:modified>
</cp:coreProperties>
</file>