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433736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FD6F01" w:rsidRDefault="00C006CB" w:rsidP="00381780">
          <w:pPr>
            <w:spacing w:after="120" w:line="240" w:lineRule="auto"/>
            <w:ind w:left="567" w:firstLine="0"/>
            <w:contextualSpacing/>
            <w:jc w:val="center"/>
            <w:rPr>
              <w:rFonts w:cstheme="minorHAnsi"/>
              <w:b/>
              <w:bCs/>
              <w:sz w:val="24"/>
              <w:szCs w:val="24"/>
            </w:rPr>
          </w:pPr>
          <w:r w:rsidRPr="00FD6F01">
            <w:rPr>
              <w:rFonts w:cstheme="minorHAnsi"/>
              <w:b/>
              <w:bCs/>
              <w:sz w:val="24"/>
              <w:szCs w:val="24"/>
            </w:rPr>
            <w:t xml:space="preserve">MAŽOS VERTĖS </w:t>
          </w:r>
          <w:r w:rsidR="00D526C8" w:rsidRPr="00FD6F01">
            <w:rPr>
              <w:rFonts w:cstheme="minorHAnsi"/>
              <w:b/>
              <w:bCs/>
              <w:sz w:val="24"/>
              <w:szCs w:val="24"/>
            </w:rPr>
            <w:t xml:space="preserve">VIEŠOJO PIRKIMO </w:t>
          </w:r>
        </w:p>
        <w:p w14:paraId="1D1BF965" w14:textId="3E01ADED" w:rsidR="00D526C8" w:rsidRPr="00FD6F01" w:rsidRDefault="00D526C8" w:rsidP="00E25330">
          <w:pPr>
            <w:jc w:val="center"/>
            <w:rPr>
              <w:sz w:val="24"/>
              <w:szCs w:val="24"/>
            </w:rPr>
          </w:pPr>
          <w:r w:rsidRPr="00FD6F01">
            <w:rPr>
              <w:rFonts w:cstheme="minorHAnsi"/>
              <w:b/>
              <w:bCs/>
              <w:sz w:val="24"/>
              <w:szCs w:val="24"/>
            </w:rPr>
            <w:t>„</w:t>
          </w:r>
          <w:r w:rsidR="00FD6F01" w:rsidRPr="00FD6F01">
            <w:rPr>
              <w:rFonts w:cs="Times New Roman"/>
              <w:b/>
              <w:bCs/>
              <w:sz w:val="24"/>
              <w:szCs w:val="24"/>
            </w:rPr>
            <w:t>BERŽŲ G. 8, SAMANIŲ K., ZARASŲ R. SAV. PASTATO STOGO REMONTO DARBAI</w:t>
          </w:r>
          <w:r w:rsidR="00381780" w:rsidRPr="00FD6F01">
            <w:rPr>
              <w:rFonts w:cstheme="minorHAnsi"/>
              <w:b/>
              <w:bCs/>
              <w:sz w:val="24"/>
              <w:szCs w:val="24"/>
            </w:rPr>
            <w:t>“</w:t>
          </w:r>
        </w:p>
        <w:p w14:paraId="18ACC6AD" w14:textId="2E663753" w:rsidR="00D526C8" w:rsidRPr="00FD6F01" w:rsidRDefault="00DF1318" w:rsidP="001A2892">
          <w:pPr>
            <w:spacing w:after="120" w:line="240" w:lineRule="auto"/>
            <w:ind w:left="567" w:firstLine="0"/>
            <w:contextualSpacing/>
            <w:jc w:val="center"/>
            <w:rPr>
              <w:rFonts w:cstheme="minorHAnsi"/>
              <w:b/>
              <w:bCs/>
              <w:sz w:val="24"/>
              <w:szCs w:val="24"/>
            </w:rPr>
          </w:pPr>
          <w:r w:rsidRPr="00FD6F01">
            <w:rPr>
              <w:rFonts w:cstheme="minorHAnsi"/>
              <w:b/>
              <w:bCs/>
              <w:sz w:val="24"/>
              <w:szCs w:val="24"/>
            </w:rPr>
            <w:t>SKELBIAM</w:t>
          </w:r>
          <w:r w:rsidR="0019623B" w:rsidRPr="00FD6F01">
            <w:rPr>
              <w:rFonts w:cstheme="minorHAnsi"/>
              <w:b/>
              <w:bCs/>
              <w:sz w:val="24"/>
              <w:szCs w:val="24"/>
            </w:rPr>
            <w:t>OS APKLAUSOS</w:t>
          </w:r>
          <w:r w:rsidR="00D526C8" w:rsidRPr="00FD6F01">
            <w:rPr>
              <w:rFonts w:cstheme="minorHAnsi"/>
              <w:b/>
              <w:bCs/>
              <w:sz w:val="24"/>
              <w:szCs w:val="24"/>
            </w:rPr>
            <w:t xml:space="preserve"> </w:t>
          </w:r>
          <w:r w:rsidR="00E861F5" w:rsidRPr="00FD6F01">
            <w:rPr>
              <w:rFonts w:cstheme="minorHAnsi"/>
              <w:b/>
              <w:bCs/>
              <w:sz w:val="24"/>
              <w:szCs w:val="24"/>
            </w:rPr>
            <w:t xml:space="preserve">SPECIALIOSIOS </w:t>
          </w:r>
          <w:r w:rsidR="00D526C8" w:rsidRPr="00FD6F01">
            <w:rPr>
              <w:rFonts w:cstheme="minorHAnsi"/>
              <w:b/>
              <w:bCs/>
              <w:sz w:val="24"/>
              <w:szCs w:val="24"/>
            </w:rPr>
            <w:t>SĄLYGOS</w:t>
          </w:r>
          <w:r w:rsidR="00110582" w:rsidRPr="00FD6F01">
            <w:rPr>
              <w:rFonts w:cstheme="minorHAnsi"/>
              <w:b/>
              <w:bCs/>
              <w:sz w:val="24"/>
              <w:szCs w:val="24"/>
            </w:rPr>
            <w:t xml:space="preserve"> </w:t>
          </w:r>
        </w:p>
        <w:p w14:paraId="73CCB438" w14:textId="2F394B2D" w:rsidR="005F13F0" w:rsidRPr="00C17D3C" w:rsidRDefault="00D53BF4" w:rsidP="007F4D9F">
          <w:pPr>
            <w:spacing w:after="120" w:line="240" w:lineRule="auto"/>
            <w:ind w:left="567" w:firstLine="0"/>
            <w:contextualSpacing/>
            <w:jc w:val="center"/>
            <w:rPr>
              <w:rFonts w:ascii="Arial" w:hAnsi="Arial" w:cs="Arial"/>
            </w:rPr>
          </w:pPr>
          <w:r w:rsidRPr="00FD6F01">
            <w:rPr>
              <w:rFonts w:cstheme="minorHAnsi"/>
              <w:b/>
              <w:bCs/>
              <w:sz w:val="24"/>
              <w:szCs w:val="24"/>
            </w:rPr>
            <w:t>V</w:t>
          </w:r>
          <w:r w:rsidR="00755F3B" w:rsidRPr="00FD6F01">
            <w:rPr>
              <w:rFonts w:cstheme="minorHAnsi"/>
              <w:b/>
              <w:bCs/>
              <w:sz w:val="24"/>
              <w:szCs w:val="24"/>
            </w:rPr>
            <w:t>ersija</w:t>
          </w:r>
          <w:r w:rsidRPr="00FD6F01">
            <w:rPr>
              <w:rFonts w:cstheme="minorHAnsi"/>
              <w:b/>
              <w:bCs/>
              <w:sz w:val="24"/>
              <w:szCs w:val="24"/>
            </w:rPr>
            <w:t xml:space="preserve"> Nr.</w:t>
          </w:r>
          <w:r w:rsidR="004C50D2" w:rsidRPr="00FD6F01">
            <w:rPr>
              <w:rFonts w:cstheme="minorHAnsi"/>
              <w:b/>
              <w:bCs/>
              <w:sz w:val="24"/>
              <w:szCs w:val="24"/>
            </w:rPr>
            <w:t xml:space="preserve"> 1</w:t>
          </w:r>
          <w:r w:rsidRPr="001A2892">
            <w:rPr>
              <w:rFonts w:cstheme="minorHAnsi"/>
              <w:b/>
              <w:bCs/>
              <w:sz w:val="28"/>
              <w:szCs w:val="28"/>
            </w:rPr>
            <w:t xml:space="preserve"> </w:t>
          </w:r>
          <w:r w:rsidR="005F13F0"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F5372F5"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3"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4.4.4.</w:t>
      </w:r>
      <w:r w:rsidR="00BC5067">
        <w:rPr>
          <w:rFonts w:cstheme="minorHAnsi"/>
        </w:rPr>
        <w:t>1</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5209C433" w14:textId="77777777" w:rsidR="00FD6F01" w:rsidRPr="00FD6F01" w:rsidRDefault="4A330118"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 xml:space="preserve"> </w:t>
      </w:r>
      <w:r w:rsidR="00651664" w:rsidRPr="00FD6F01">
        <w:rPr>
          <w:rFonts w:cstheme="minorHAnsi"/>
        </w:rPr>
        <w:t xml:space="preserve">Perkančioji organizacija </w:t>
      </w:r>
      <w:r w:rsidR="00FB3C75" w:rsidRPr="00FD6F01">
        <w:rPr>
          <w:rFonts w:eastAsia="Calibri" w:cstheme="minorHAnsi"/>
          <w:color w:val="000000" w:themeColor="text1"/>
        </w:rPr>
        <w:t>numato</w:t>
      </w:r>
      <w:r w:rsidR="00703968" w:rsidRPr="00FD6F01">
        <w:rPr>
          <w:rFonts w:eastAsia="Calibri" w:cstheme="minorHAnsi"/>
          <w:color w:val="000000" w:themeColor="text1"/>
        </w:rPr>
        <w:t xml:space="preserve"> pirkti</w:t>
      </w:r>
      <w:r w:rsidR="00E25330" w:rsidRPr="00FD6F01">
        <w:rPr>
          <w:rFonts w:eastAsia="Calibri" w:cstheme="minorHAnsi"/>
          <w:color w:val="000000" w:themeColor="text1"/>
        </w:rPr>
        <w:t xml:space="preserve"> </w:t>
      </w:r>
      <w:r w:rsidR="00E25330" w:rsidRPr="00FD6F01">
        <w:rPr>
          <w:rFonts w:cs="Times New Roman"/>
          <w:b/>
          <w:bCs/>
        </w:rPr>
        <w:t xml:space="preserve">Zarasų raj. </w:t>
      </w:r>
      <w:r w:rsidR="00FD6F01" w:rsidRPr="00FD6F01">
        <w:rPr>
          <w:rFonts w:cs="Times New Roman"/>
          <w:b/>
          <w:bCs/>
        </w:rPr>
        <w:t>Samanių</w:t>
      </w:r>
      <w:r w:rsidR="00E25330" w:rsidRPr="00FD6F01">
        <w:rPr>
          <w:rFonts w:cs="Times New Roman"/>
          <w:b/>
          <w:bCs/>
        </w:rPr>
        <w:t xml:space="preserve"> k., </w:t>
      </w:r>
      <w:r w:rsidR="00FD6F01" w:rsidRPr="00FD6F01">
        <w:rPr>
          <w:rFonts w:cs="Times New Roman"/>
          <w:b/>
          <w:bCs/>
        </w:rPr>
        <w:t>Beržų g. 8</w:t>
      </w:r>
      <w:r w:rsidR="00E25330" w:rsidRPr="00FD6F01">
        <w:rPr>
          <w:rFonts w:cs="Times New Roman"/>
          <w:b/>
          <w:bCs/>
        </w:rPr>
        <w:t xml:space="preserve"> pastato stogo remonto </w:t>
      </w:r>
      <w:r w:rsidR="00AD6063" w:rsidRPr="00FD6F01">
        <w:rPr>
          <w:rFonts w:eastAsia="Calibri" w:cstheme="minorHAnsi"/>
          <w:b/>
          <w:bCs/>
        </w:rPr>
        <w:t>darbus</w:t>
      </w:r>
      <w:r w:rsidR="00703968" w:rsidRPr="00FD6F01">
        <w:rPr>
          <w:rFonts w:cstheme="minorHAnsi"/>
          <w:b/>
          <w:bCs/>
        </w:rPr>
        <w:t>.</w:t>
      </w:r>
      <w:r w:rsidR="00E74843" w:rsidRPr="00FD6F01">
        <w:rPr>
          <w:rFonts w:cstheme="minorHAnsi"/>
        </w:rPr>
        <w:t xml:space="preserve"> </w:t>
      </w:r>
      <w:r w:rsidR="00FB3C75" w:rsidRPr="00FD6F01">
        <w:rPr>
          <w:rFonts w:cstheme="minorHAnsi"/>
        </w:rPr>
        <w:t xml:space="preserve">Reikalavimai </w:t>
      </w:r>
      <w:r w:rsidR="00966703" w:rsidRPr="00FD6F01">
        <w:rPr>
          <w:rFonts w:cstheme="minorHAnsi"/>
        </w:rPr>
        <w:t>p</w:t>
      </w:r>
      <w:r w:rsidR="00FB3C75" w:rsidRPr="00FD6F01">
        <w:rPr>
          <w:rFonts w:cstheme="minorHAnsi"/>
        </w:rPr>
        <w:t>irkimo objektui nustatyti</w:t>
      </w:r>
      <w:r w:rsidR="00AE2AEF" w:rsidRPr="00FD6F01">
        <w:rPr>
          <w:rFonts w:cstheme="minorHAnsi"/>
        </w:rPr>
        <w:t xml:space="preserve"> </w:t>
      </w:r>
      <w:r w:rsidR="00966703" w:rsidRPr="00FD6F01">
        <w:rPr>
          <w:rFonts w:cstheme="minorHAnsi"/>
        </w:rPr>
        <w:t>s</w:t>
      </w:r>
      <w:r w:rsidR="00044836" w:rsidRPr="00FD6F01">
        <w:rPr>
          <w:rFonts w:cstheme="minorHAnsi"/>
        </w:rPr>
        <w:t>pecialiųjų p</w:t>
      </w:r>
      <w:r w:rsidR="00AE2AEF" w:rsidRPr="00FD6F01">
        <w:rPr>
          <w:rFonts w:cstheme="minorHAnsi"/>
        </w:rPr>
        <w:t xml:space="preserve">irkimo sąlygų </w:t>
      </w:r>
      <w:r w:rsidR="003010A7" w:rsidRPr="00FD6F01">
        <w:rPr>
          <w:rFonts w:cstheme="minorHAnsi"/>
          <w:b/>
          <w:bCs/>
        </w:rPr>
        <w:t>2</w:t>
      </w:r>
      <w:r w:rsidR="00E74843" w:rsidRPr="00FD6F01">
        <w:rPr>
          <w:rFonts w:cstheme="minorHAnsi"/>
          <w:b/>
          <w:bCs/>
        </w:rPr>
        <w:t xml:space="preserve"> priede „Techninė specifikacija“.</w:t>
      </w:r>
      <w:r w:rsidR="00FD6F01" w:rsidRPr="00FD6F01">
        <w:rPr>
          <w:rFonts w:cs="Times New Roman"/>
          <w:b/>
          <w:bCs/>
          <w:sz w:val="24"/>
          <w:szCs w:val="24"/>
        </w:rPr>
        <w:t xml:space="preserve"> </w:t>
      </w:r>
    </w:p>
    <w:p w14:paraId="49117D58" w14:textId="0370C42C" w:rsidR="005D280D" w:rsidRPr="00FD6F01" w:rsidRDefault="00FB3C75"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Pirkimo objektas į dalis neskaidomas.</w:t>
      </w:r>
      <w:r w:rsidR="00702B7B" w:rsidRPr="00FD6F01">
        <w:rPr>
          <w:rFonts w:cstheme="minorHAnsi"/>
        </w:rPr>
        <w:t xml:space="preserve"> Pirkimo apimtys, reikalavimai ir techninė specifikacija apibrėžti </w:t>
      </w:r>
      <w:r w:rsidR="00C314B2" w:rsidRPr="00FD6F01">
        <w:rPr>
          <w:rFonts w:cstheme="minorHAnsi"/>
        </w:rPr>
        <w:t>s</w:t>
      </w:r>
      <w:r w:rsidR="000B6976" w:rsidRPr="00FD6F01">
        <w:rPr>
          <w:rFonts w:cstheme="minorHAnsi"/>
        </w:rPr>
        <w:t>pecialiųjų p</w:t>
      </w:r>
      <w:r w:rsidR="00702B7B" w:rsidRPr="00FD6F01">
        <w:rPr>
          <w:rFonts w:cstheme="minorHAnsi"/>
        </w:rPr>
        <w:t xml:space="preserve">irkimo sąlygų </w:t>
      </w:r>
      <w:r w:rsidR="003010A7" w:rsidRPr="00FD6F01">
        <w:rPr>
          <w:rFonts w:cstheme="minorHAnsi"/>
          <w:b/>
          <w:bCs/>
        </w:rPr>
        <w:t>2</w:t>
      </w:r>
      <w:r w:rsidR="00702B7B" w:rsidRPr="00FD6F01">
        <w:rPr>
          <w:rFonts w:cstheme="minorHAnsi"/>
          <w:b/>
          <w:bCs/>
        </w:rPr>
        <w:t xml:space="preserve"> priede</w:t>
      </w:r>
      <w:r w:rsidR="00702B7B" w:rsidRPr="00FD6F01">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53F7C4A"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sidR="00E25330">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70C78F79"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FD6F01">
        <w:rPr>
          <w:rFonts w:cstheme="minorHAnsi"/>
          <w:b/>
          <w:bCs/>
        </w:rPr>
        <w:t>3</w:t>
      </w:r>
      <w:r w:rsidR="00E25330">
        <w:rPr>
          <w:rFonts w:cstheme="minorHAnsi"/>
          <w:b/>
          <w:bCs/>
        </w:rPr>
        <w:t>6</w:t>
      </w:r>
      <w:r w:rsidR="00FD6F01">
        <w:rPr>
          <w:rFonts w:cstheme="minorHAnsi"/>
          <w:b/>
          <w:bCs/>
        </w:rPr>
        <w:t> </w:t>
      </w:r>
      <w:r w:rsidR="00260FBE">
        <w:rPr>
          <w:rFonts w:cstheme="minorHAnsi"/>
          <w:b/>
          <w:bCs/>
        </w:rPr>
        <w:t>0</w:t>
      </w:r>
      <w:r w:rsidR="00C379DC">
        <w:rPr>
          <w:rFonts w:cstheme="minorHAnsi"/>
          <w:b/>
          <w:bCs/>
        </w:rPr>
        <w:t>00</w:t>
      </w:r>
      <w:r w:rsidR="00FD6F01">
        <w:rPr>
          <w:rFonts w:cstheme="minorHAnsi"/>
          <w:b/>
          <w:bCs/>
        </w:rPr>
        <w:t>,</w:t>
      </w:r>
      <w:r w:rsidR="00C379DC">
        <w:rPr>
          <w:rFonts w:cstheme="minorHAnsi"/>
          <w:b/>
          <w:bCs/>
        </w:rPr>
        <w:t>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9B043F">
      <w:pPr>
        <w:tabs>
          <w:tab w:val="left" w:pos="568"/>
        </w:tabs>
        <w:spacing w:line="276" w:lineRule="auto"/>
        <w:ind w:left="709" w:firstLine="1276"/>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61B9533B" w14:textId="151A0A44" w:rsidR="00523AF2" w:rsidRPr="00F85FA4" w:rsidRDefault="00CB5907" w:rsidP="00F85FA4">
      <w:pPr>
        <w:spacing w:line="240" w:lineRule="auto"/>
        <w:jc w:val="center"/>
        <w:rPr>
          <w:rFonts w:cstheme="minorHAnsi"/>
          <w:b/>
          <w:bCs/>
        </w:rPr>
      </w:pPr>
      <w:r w:rsidRPr="00F85FA4">
        <w:rPr>
          <w:rFonts w:cstheme="minorHAnsi"/>
          <w:b/>
          <w:bCs/>
        </w:rPr>
        <w:t>TECHNINĖ SPECIFIKACIJA</w:t>
      </w:r>
    </w:p>
    <w:p w14:paraId="624585AB" w14:textId="77777777" w:rsidR="00F85FA4" w:rsidRPr="00F85FA4" w:rsidRDefault="00F85FA4" w:rsidP="00F85FA4">
      <w:pPr>
        <w:spacing w:line="240" w:lineRule="auto"/>
        <w:jc w:val="center"/>
        <w:rPr>
          <w:rFonts w:cstheme="minorHAnsi"/>
          <w:b/>
          <w:bCs/>
        </w:rPr>
      </w:pPr>
      <w:r w:rsidRPr="00F85FA4">
        <w:rPr>
          <w:rFonts w:cstheme="minorHAnsi"/>
          <w:b/>
          <w:bCs/>
        </w:rPr>
        <w:t>ATLIEKAMI DARBAI IR JŲ TIKSLAI</w:t>
      </w:r>
    </w:p>
    <w:p w14:paraId="2025D3E1" w14:textId="77777777" w:rsidR="00F85FA4" w:rsidRPr="00F85FA4" w:rsidRDefault="00F85FA4" w:rsidP="00F85FA4">
      <w:pPr>
        <w:spacing w:line="240" w:lineRule="auto"/>
        <w:ind w:firstLine="851"/>
        <w:jc w:val="center"/>
        <w:rPr>
          <w:rFonts w:cstheme="minorHAnsi"/>
        </w:rPr>
      </w:pPr>
    </w:p>
    <w:p w14:paraId="663E21A6" w14:textId="77777777" w:rsidR="00F85FA4" w:rsidRPr="00F85FA4" w:rsidRDefault="00F85FA4" w:rsidP="00F85FA4">
      <w:pPr>
        <w:pStyle w:val="Sraopastraipa"/>
        <w:numPr>
          <w:ilvl w:val="0"/>
          <w:numId w:val="61"/>
        </w:numPr>
        <w:spacing w:line="240" w:lineRule="auto"/>
        <w:ind w:left="0" w:firstLine="851"/>
        <w:rPr>
          <w:rFonts w:cstheme="minorHAnsi"/>
        </w:rPr>
      </w:pPr>
      <w:r w:rsidRPr="00F85FA4">
        <w:rPr>
          <w:rFonts w:cstheme="minorHAnsi"/>
        </w:rPr>
        <w:t>Bendrieji tikslai – gerinti pastato stogo konstrukcijų ir dangos būklę.</w:t>
      </w:r>
    </w:p>
    <w:p w14:paraId="789DBF02" w14:textId="77777777" w:rsidR="00F85FA4" w:rsidRPr="00F85FA4" w:rsidRDefault="00F85FA4" w:rsidP="00F85FA4">
      <w:pPr>
        <w:pStyle w:val="Sraopastraipa"/>
        <w:numPr>
          <w:ilvl w:val="0"/>
          <w:numId w:val="61"/>
        </w:numPr>
        <w:spacing w:line="240" w:lineRule="auto"/>
        <w:ind w:left="0" w:firstLine="851"/>
        <w:rPr>
          <w:rFonts w:cstheme="minorHAnsi"/>
        </w:rPr>
      </w:pPr>
      <w:r w:rsidRPr="00F85FA4">
        <w:rPr>
          <w:rFonts w:cstheme="minorHAnsi"/>
        </w:rPr>
        <w:t xml:space="preserve">Pagrindinis tikslas – užtikrinti tinkamą ir kokybišką stogo eksploataciją. </w:t>
      </w:r>
    </w:p>
    <w:p w14:paraId="56B5AA88" w14:textId="77777777" w:rsidR="00F85FA4" w:rsidRPr="00F85FA4" w:rsidRDefault="00F85FA4" w:rsidP="00F85FA4">
      <w:pPr>
        <w:pStyle w:val="Sraopastraipa"/>
        <w:numPr>
          <w:ilvl w:val="0"/>
          <w:numId w:val="61"/>
        </w:numPr>
        <w:spacing w:line="240" w:lineRule="auto"/>
        <w:ind w:left="0" w:firstLine="851"/>
        <w:rPr>
          <w:rFonts w:cstheme="minorHAnsi"/>
        </w:rPr>
      </w:pPr>
      <w:r w:rsidRPr="00F85FA4">
        <w:rPr>
          <w:rFonts w:cstheme="minorHAnsi"/>
        </w:rPr>
        <w:t>Užsakovo reikalavimų tikslas – nustatyti pagrindinius techninius reikalavimus darbams, jų apimčiai, naudojamoms medžiagoms, atliekamų darbų kokybei. Jose konkrečiai nurodyti atliekami darbai.</w:t>
      </w:r>
    </w:p>
    <w:p w14:paraId="125C1886" w14:textId="77777777" w:rsidR="00F85FA4" w:rsidRPr="00F85FA4" w:rsidRDefault="00F85FA4" w:rsidP="00F85FA4">
      <w:pPr>
        <w:pStyle w:val="Sraopastraipa"/>
        <w:numPr>
          <w:ilvl w:val="0"/>
          <w:numId w:val="61"/>
        </w:numPr>
        <w:spacing w:line="240" w:lineRule="auto"/>
        <w:ind w:left="0" w:firstLine="851"/>
        <w:rPr>
          <w:rFonts w:cstheme="minorHAnsi"/>
        </w:rPr>
      </w:pPr>
      <w:r w:rsidRPr="00F85FA4">
        <w:rPr>
          <w:rFonts w:cstheme="minorHAnsi"/>
        </w:rPr>
        <w:t>Darbų vieta – Beržų g. 8, Samanių k. Zarasų r., sav.</w:t>
      </w:r>
    </w:p>
    <w:p w14:paraId="72257C7B" w14:textId="77777777" w:rsidR="00F85FA4" w:rsidRPr="00F85FA4" w:rsidRDefault="00F85FA4" w:rsidP="00F85FA4">
      <w:pPr>
        <w:pStyle w:val="Sraopastraipa"/>
        <w:numPr>
          <w:ilvl w:val="0"/>
          <w:numId w:val="61"/>
        </w:numPr>
        <w:spacing w:line="240" w:lineRule="auto"/>
        <w:ind w:left="0" w:firstLine="851"/>
        <w:rPr>
          <w:rFonts w:cstheme="minorHAnsi"/>
        </w:rPr>
      </w:pPr>
      <w:r w:rsidRPr="00F85FA4">
        <w:rPr>
          <w:rFonts w:cstheme="minorHAnsi"/>
        </w:rPr>
        <w:t>Atliekami darbai:</w:t>
      </w:r>
    </w:p>
    <w:p w14:paraId="2325768B"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Atlikti stogo dangos, parapetų, ventiliacinių kaminėlių  renovacijos darbus 260 m2;</w:t>
      </w:r>
    </w:p>
    <w:p w14:paraId="6F416FB6"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Kaminėlių mūro remontas, silikatinės plytos M12;</w:t>
      </w:r>
    </w:p>
    <w:p w14:paraId="3C678251"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 xml:space="preserve">Nuolydžių suformavimas, </w:t>
      </w:r>
      <w:proofErr w:type="spellStart"/>
      <w:r w:rsidRPr="00F85FA4">
        <w:rPr>
          <w:rFonts w:cstheme="minorHAnsi"/>
        </w:rPr>
        <w:t>keramzitas</w:t>
      </w:r>
      <w:proofErr w:type="spellEnd"/>
      <w:r w:rsidRPr="00F85FA4">
        <w:rPr>
          <w:rFonts w:cstheme="minorHAnsi"/>
        </w:rPr>
        <w:t>;</w:t>
      </w:r>
    </w:p>
    <w:p w14:paraId="69FF3829"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Šiltinimo sluoksnis EPS 100 (termoporas) storis 200 mm;</w:t>
      </w:r>
    </w:p>
    <w:p w14:paraId="7F1A7BD2"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Šiltinimo sluoksnis vata Paroc (ROB 80) storis 30 mm;</w:t>
      </w:r>
    </w:p>
    <w:p w14:paraId="360D1BF4"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Kaminėlių, parapetų šiltinimas vata Paroc (ROS 50) storis 50 mm;</w:t>
      </w:r>
    </w:p>
    <w:p w14:paraId="2FF63270"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Stogo danga (</w:t>
      </w:r>
      <w:proofErr w:type="spellStart"/>
      <w:r w:rsidRPr="00F85FA4">
        <w:rPr>
          <w:rFonts w:cstheme="minorHAnsi"/>
        </w:rPr>
        <w:t>Mida</w:t>
      </w:r>
      <w:proofErr w:type="spellEnd"/>
      <w:r w:rsidRPr="00F85FA4">
        <w:rPr>
          <w:rFonts w:cstheme="minorHAnsi"/>
        </w:rPr>
        <w:t xml:space="preserve">) viršutinis sluoksnis </w:t>
      </w:r>
      <w:proofErr w:type="spellStart"/>
      <w:r w:rsidRPr="00F85FA4">
        <w:rPr>
          <w:rFonts w:cstheme="minorHAnsi"/>
        </w:rPr>
        <w:t>Unifleks</w:t>
      </w:r>
      <w:proofErr w:type="spellEnd"/>
      <w:r w:rsidRPr="00F85FA4">
        <w:rPr>
          <w:rFonts w:cstheme="minorHAnsi"/>
        </w:rPr>
        <w:t xml:space="preserve"> PVS4b 4 mm storio, apatinė danga </w:t>
      </w:r>
      <w:proofErr w:type="spellStart"/>
      <w:r w:rsidRPr="00F85FA4">
        <w:rPr>
          <w:rFonts w:cstheme="minorHAnsi"/>
        </w:rPr>
        <w:t>Unifleks</w:t>
      </w:r>
      <w:proofErr w:type="spellEnd"/>
      <w:r w:rsidRPr="00F85FA4">
        <w:rPr>
          <w:rFonts w:cstheme="minorHAnsi"/>
        </w:rPr>
        <w:t xml:space="preserve"> PVS3s 3mm storio. Visų sluoksnių </w:t>
      </w:r>
      <w:proofErr w:type="spellStart"/>
      <w:r w:rsidRPr="00F85FA4">
        <w:rPr>
          <w:rFonts w:cstheme="minorHAnsi"/>
        </w:rPr>
        <w:t>ankeravimas</w:t>
      </w:r>
      <w:proofErr w:type="spellEnd"/>
      <w:r w:rsidRPr="00F85FA4">
        <w:rPr>
          <w:rFonts w:cstheme="minorHAnsi"/>
        </w:rPr>
        <w:t>;</w:t>
      </w:r>
    </w:p>
    <w:p w14:paraId="12F9C184"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Parapetu, kaminėlių skardinimas ant metalinių kronšteinų;</w:t>
      </w:r>
    </w:p>
    <w:p w14:paraId="12819BBB" w14:textId="77777777" w:rsidR="00F85FA4" w:rsidRPr="00F85FA4" w:rsidRDefault="00F85FA4" w:rsidP="00F85FA4">
      <w:pPr>
        <w:pStyle w:val="Sraopastraipa"/>
        <w:numPr>
          <w:ilvl w:val="1"/>
          <w:numId w:val="61"/>
        </w:numPr>
        <w:tabs>
          <w:tab w:val="left" w:pos="1418"/>
        </w:tabs>
        <w:spacing w:line="240" w:lineRule="auto"/>
        <w:ind w:left="0" w:firstLine="851"/>
        <w:rPr>
          <w:rFonts w:cstheme="minorHAnsi"/>
        </w:rPr>
      </w:pPr>
      <w:r w:rsidRPr="00F85FA4">
        <w:rPr>
          <w:rFonts w:cstheme="minorHAnsi"/>
        </w:rPr>
        <w:t>Sutvarkyti patalpas, teritoriją, išvežti statybines atliekas.</w:t>
      </w:r>
    </w:p>
    <w:p w14:paraId="113FFFF2" w14:textId="77777777" w:rsidR="00F85FA4" w:rsidRPr="00F85FA4" w:rsidRDefault="00F85FA4" w:rsidP="00F85FA4">
      <w:pPr>
        <w:pStyle w:val="Sraopastraipa"/>
        <w:numPr>
          <w:ilvl w:val="0"/>
          <w:numId w:val="61"/>
        </w:numPr>
        <w:spacing w:line="240" w:lineRule="auto"/>
        <w:ind w:left="0" w:firstLine="851"/>
        <w:rPr>
          <w:rFonts w:cstheme="minorHAnsi"/>
        </w:rPr>
      </w:pPr>
      <w:r w:rsidRPr="00F85FA4">
        <w:rPr>
          <w:rFonts w:cstheme="minorHAnsi"/>
        </w:rPr>
        <w:t>Techniniai medžiagų ir darbų reikalavimai:</w:t>
      </w:r>
    </w:p>
    <w:p w14:paraId="5F4AA46E" w14:textId="77777777" w:rsidR="00F85FA4" w:rsidRPr="00F85FA4" w:rsidRDefault="00F85FA4" w:rsidP="00F85FA4">
      <w:pPr>
        <w:pStyle w:val="Sraopastraipa"/>
        <w:numPr>
          <w:ilvl w:val="1"/>
          <w:numId w:val="61"/>
        </w:numPr>
        <w:spacing w:line="240" w:lineRule="auto"/>
        <w:ind w:left="0" w:firstLine="851"/>
        <w:rPr>
          <w:rFonts w:cstheme="minorHAnsi"/>
        </w:rPr>
      </w:pPr>
      <w:r w:rsidRPr="00F85FA4">
        <w:rPr>
          <w:rFonts w:cstheme="minorHAnsi"/>
        </w:rPr>
        <w:t>Visos naudojamos medžiagos ir atliekami darbai pagal kiekių žiniaraštį, turi atitikti LST, EN, STR, ISO reikalavimus. Darbų ir medžiagų kokybė turi užtikrinti  patogų ir saugų stogo eksploatavimą.</w:t>
      </w:r>
    </w:p>
    <w:p w14:paraId="4D92EEAB" w14:textId="77777777" w:rsidR="00F85FA4" w:rsidRPr="00F85FA4" w:rsidRDefault="00F85FA4" w:rsidP="00F85FA4">
      <w:pPr>
        <w:tabs>
          <w:tab w:val="left" w:pos="851"/>
        </w:tabs>
        <w:spacing w:line="240" w:lineRule="auto"/>
        <w:rPr>
          <w:rFonts w:cstheme="minorHAnsi"/>
        </w:rPr>
      </w:pPr>
      <w:r w:rsidRPr="00F85FA4">
        <w:rPr>
          <w:rFonts w:cstheme="minorHAnsi"/>
        </w:rPr>
        <w:tab/>
        <w:t>Jeigu apibūdinant pirkimo objektą techninėje specifikacijoje nurodytas konkretus modelis,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B022DE3" w14:textId="6D8433FB" w:rsidR="00E25330" w:rsidRPr="00E25330" w:rsidRDefault="00E25330" w:rsidP="00E25330">
      <w:pPr>
        <w:spacing w:line="240" w:lineRule="auto"/>
        <w:rPr>
          <w:rFonts w:cstheme="minorHAnsi"/>
          <w:sz w:val="22"/>
          <w:szCs w:val="22"/>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F85FA4" w:rsidRDefault="006E50CA" w:rsidP="006E50CA">
      <w:pPr>
        <w:spacing w:line="240" w:lineRule="auto"/>
        <w:jc w:val="center"/>
        <w:rPr>
          <w:rFonts w:eastAsia="Calibri" w:cstheme="minorHAnsi"/>
          <w:b/>
          <w:bCs/>
          <w:sz w:val="24"/>
          <w:szCs w:val="24"/>
        </w:rPr>
      </w:pPr>
      <w:r w:rsidRPr="00F85FA4">
        <w:rPr>
          <w:rFonts w:eastAsia="Calibri" w:cstheme="minorHAnsi"/>
          <w:b/>
          <w:bCs/>
          <w:sz w:val="24"/>
          <w:szCs w:val="24"/>
        </w:rPr>
        <w:t>PASIŪLYMAS</w:t>
      </w:r>
    </w:p>
    <w:p w14:paraId="0F8AC3F6" w14:textId="084F6790" w:rsidR="003B1865" w:rsidRPr="00E25330" w:rsidRDefault="00F85FA4" w:rsidP="00E25330">
      <w:pPr>
        <w:jc w:val="center"/>
        <w:rPr>
          <w:rFonts w:cstheme="minorHAnsi"/>
          <w:b/>
          <w:bCs/>
          <w:sz w:val="24"/>
          <w:szCs w:val="24"/>
        </w:rPr>
      </w:pPr>
      <w:r>
        <w:rPr>
          <w:rFonts w:eastAsia="Calibri" w:cstheme="minorHAnsi"/>
          <w:b/>
          <w:bCs/>
          <w:sz w:val="24"/>
          <w:szCs w:val="24"/>
        </w:rPr>
        <w:t xml:space="preserve"> DĖL </w:t>
      </w:r>
      <w:r w:rsidRPr="00F85FA4">
        <w:rPr>
          <w:rFonts w:eastAsia="Calibri" w:cstheme="minorHAnsi"/>
          <w:b/>
          <w:bCs/>
          <w:sz w:val="24"/>
          <w:szCs w:val="24"/>
        </w:rPr>
        <w:t xml:space="preserve">BERŽŲ G. 8, SAMANIŲ K., ZARASŲ R. SAV. PASTATO STOGO REMONTO </w:t>
      </w:r>
      <w:r w:rsidR="00AD6063" w:rsidRPr="00E25330">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700"/>
        <w:gridCol w:w="2700"/>
        <w:gridCol w:w="2700"/>
        <w:gridCol w:w="2701"/>
      </w:tblGrid>
      <w:tr w:rsidR="00523AF2" w:rsidRPr="00523AF2" w14:paraId="03D28D08" w14:textId="77777777" w:rsidTr="00523AF2">
        <w:tc>
          <w:tcPr>
            <w:tcW w:w="2700" w:type="dxa"/>
          </w:tcPr>
          <w:p w14:paraId="7BA7FD55" w14:textId="2C86503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Darbų pavadinimas</w:t>
            </w:r>
          </w:p>
        </w:tc>
        <w:tc>
          <w:tcPr>
            <w:tcW w:w="2700"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CCC08ED"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PVM</w:t>
            </w:r>
            <w:r w:rsidR="009C375B">
              <w:rPr>
                <w:rFonts w:asciiTheme="minorHAnsi" w:eastAsiaTheme="minorHAnsi" w:cstheme="minorHAnsi"/>
                <w:b/>
                <w:iCs/>
                <w:sz w:val="22"/>
                <w:szCs w:val="22"/>
              </w:rPr>
              <w:t>***</w:t>
            </w:r>
          </w:p>
        </w:tc>
      </w:tr>
      <w:tr w:rsidR="00523AF2" w:rsidRPr="00523AF2" w14:paraId="2539424B" w14:textId="77777777" w:rsidTr="00523AF2">
        <w:tc>
          <w:tcPr>
            <w:tcW w:w="2700" w:type="dxa"/>
          </w:tcPr>
          <w:p w14:paraId="3F790B9A" w14:textId="4E3C3443" w:rsidR="00523AF2" w:rsidRPr="00E25330" w:rsidRDefault="00731940" w:rsidP="009C375B">
            <w:pPr>
              <w:pStyle w:val="Betarp"/>
              <w:ind w:firstLine="0"/>
              <w:contextualSpacing/>
              <w:jc w:val="center"/>
              <w:rPr>
                <w:rFonts w:asciiTheme="minorHAnsi" w:eastAsiaTheme="minorHAnsi" w:cstheme="minorHAnsi"/>
                <w:iCs/>
                <w:sz w:val="22"/>
                <w:szCs w:val="22"/>
              </w:rPr>
            </w:pPr>
            <w:r w:rsidRPr="00731940">
              <w:rPr>
                <w:rFonts w:asciiTheme="minorHAnsi" w:cstheme="minorHAnsi"/>
                <w:sz w:val="22"/>
                <w:szCs w:val="22"/>
              </w:rPr>
              <w:t xml:space="preserve">Zarasų raj. Samanių k., Beržų g. 8 pastato stogo remonto </w:t>
            </w:r>
            <w:r w:rsidR="00E25330" w:rsidRPr="00E25330">
              <w:rPr>
                <w:rFonts w:asciiTheme="minorHAnsi" w:cstheme="minorHAnsi"/>
                <w:sz w:val="22"/>
                <w:szCs w:val="22"/>
              </w:rPr>
              <w:t>darbai</w:t>
            </w:r>
          </w:p>
        </w:tc>
        <w:tc>
          <w:tcPr>
            <w:tcW w:w="2700"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76ADCFBE"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r w:rsidR="00731940">
        <w:rPr>
          <w:rFonts w:eastAsia="Times New Roman" w:cstheme="minorHAnsi"/>
          <w:i/>
          <w:iCs/>
          <w:lang w:eastAsia="en-US"/>
        </w:rPr>
        <w:t xml:space="preserve"> </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bookmarkStart w:id="42" w:name="_Hlk203724550"/>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bookmarkEnd w:id="42"/>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132A7607" w14:textId="1EB20996" w:rsidR="00731940" w:rsidRPr="00253955" w:rsidRDefault="00731940" w:rsidP="000A3599">
      <w:pPr>
        <w:pStyle w:val="Betarp"/>
        <w:ind w:firstLine="720"/>
        <w:rPr>
          <w:rFonts w:eastAsia="Yu Mincho" w:cstheme="minorHAnsi"/>
          <w:b/>
          <w:bCs/>
          <w:iCs/>
          <w:color w:val="000000" w:themeColor="text1"/>
        </w:rPr>
      </w:pPr>
      <w:r w:rsidRPr="00731940">
        <w:rPr>
          <w:rFonts w:eastAsia="Yu Mincho" w:cstheme="minorHAnsi"/>
          <w:bCs/>
          <w:iCs/>
          <w:color w:val="000000" w:themeColor="text1"/>
        </w:rPr>
        <w:t xml:space="preserve">6. </w:t>
      </w:r>
      <w:r w:rsidRPr="00731940">
        <w:rPr>
          <w:rFonts w:eastAsia="Yu Mincho" w:cstheme="minorHAnsi"/>
          <w:bCs/>
          <w:iCs/>
          <w:color w:val="000000" w:themeColor="text1"/>
        </w:rPr>
        <w:t>Tiekėjas yra neatlikęs jam paskirtos baudžiamojo poveikio priemonės – uždraudimo juridiniam asmeniui dalyvauti viešuosiuose pirkimuose</w:t>
      </w:r>
      <w:r w:rsidRPr="00731940">
        <w:rPr>
          <w:rFonts w:eastAsia="Yu Mincho" w:cstheme="minorHAnsi"/>
          <w:b/>
          <w:iCs/>
          <w:color w:val="000000" w:themeColor="text1"/>
        </w:rPr>
        <w:t xml:space="preserve"> (VPĮ 46 straipsnio 21 dalis).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4"/>
      <w:footerReference w:type="default" r:id="rId15"/>
      <w:headerReference w:type="first" r:id="rId16"/>
      <w:footerReference w:type="first" r:id="rId1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C2B2" w14:textId="77777777" w:rsidR="00AB2A8A" w:rsidRDefault="00AB2A8A" w:rsidP="00D05666">
      <w:r>
        <w:separator/>
      </w:r>
    </w:p>
  </w:endnote>
  <w:endnote w:type="continuationSeparator" w:id="0">
    <w:p w14:paraId="7115AB3F" w14:textId="77777777" w:rsidR="00AB2A8A" w:rsidRDefault="00AB2A8A" w:rsidP="00D05666">
      <w:r>
        <w:continuationSeparator/>
      </w:r>
    </w:p>
  </w:endnote>
  <w:endnote w:type="continuationNotice" w:id="1">
    <w:p w14:paraId="215A20E8" w14:textId="77777777" w:rsidR="00AB2A8A" w:rsidRDefault="00AB2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219E" w14:textId="77777777" w:rsidR="00AB2A8A" w:rsidRDefault="00AB2A8A" w:rsidP="00D05666">
      <w:r>
        <w:separator/>
      </w:r>
    </w:p>
  </w:footnote>
  <w:footnote w:type="continuationSeparator" w:id="0">
    <w:p w14:paraId="3DC8739B" w14:textId="77777777" w:rsidR="00AB2A8A" w:rsidRDefault="00AB2A8A" w:rsidP="00D05666">
      <w:r>
        <w:continuationSeparator/>
      </w:r>
    </w:p>
  </w:footnote>
  <w:footnote w:type="continuationNotice" w:id="1">
    <w:p w14:paraId="1CA0474D" w14:textId="77777777" w:rsidR="00AB2A8A" w:rsidRDefault="00AB2A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5"/>
  </w:num>
  <w:num w:numId="3" w16cid:durableId="138770985">
    <w:abstractNumId w:val="26"/>
  </w:num>
  <w:num w:numId="4" w16cid:durableId="219707255">
    <w:abstractNumId w:val="58"/>
  </w:num>
  <w:num w:numId="5" w16cid:durableId="2137720050">
    <w:abstractNumId w:val="6"/>
  </w:num>
  <w:num w:numId="6" w16cid:durableId="1882473578">
    <w:abstractNumId w:val="23"/>
  </w:num>
  <w:num w:numId="7" w16cid:durableId="742215806">
    <w:abstractNumId w:val="41"/>
  </w:num>
  <w:num w:numId="8" w16cid:durableId="581986730">
    <w:abstractNumId w:val="47"/>
  </w:num>
  <w:num w:numId="9" w16cid:durableId="1210533292">
    <w:abstractNumId w:val="4"/>
  </w:num>
  <w:num w:numId="10" w16cid:durableId="360207028">
    <w:abstractNumId w:val="10"/>
  </w:num>
  <w:num w:numId="11" w16cid:durableId="464082020">
    <w:abstractNumId w:val="50"/>
  </w:num>
  <w:num w:numId="12" w16cid:durableId="1510020379">
    <w:abstractNumId w:val="15"/>
  </w:num>
  <w:num w:numId="13" w16cid:durableId="1778215594">
    <w:abstractNumId w:val="30"/>
  </w:num>
  <w:num w:numId="14" w16cid:durableId="1652252092">
    <w:abstractNumId w:val="13"/>
  </w:num>
  <w:num w:numId="15" w16cid:durableId="2131630214">
    <w:abstractNumId w:val="19"/>
  </w:num>
  <w:num w:numId="16" w16cid:durableId="1098015114">
    <w:abstractNumId w:val="56"/>
  </w:num>
  <w:num w:numId="17" w16cid:durableId="1208252808">
    <w:abstractNumId w:val="55"/>
  </w:num>
  <w:num w:numId="18" w16cid:durableId="963148996">
    <w:abstractNumId w:val="7"/>
  </w:num>
  <w:num w:numId="19" w16cid:durableId="1873961101">
    <w:abstractNumId w:val="31"/>
  </w:num>
  <w:num w:numId="20" w16cid:durableId="1129662248">
    <w:abstractNumId w:val="28"/>
  </w:num>
  <w:num w:numId="21" w16cid:durableId="817724215">
    <w:abstractNumId w:val="27"/>
  </w:num>
  <w:num w:numId="22" w16cid:durableId="1993635468">
    <w:abstractNumId w:val="5"/>
  </w:num>
  <w:num w:numId="23" w16cid:durableId="1928659478">
    <w:abstractNumId w:val="57"/>
  </w:num>
  <w:num w:numId="24" w16cid:durableId="1250694197">
    <w:abstractNumId w:val="1"/>
  </w:num>
  <w:num w:numId="25" w16cid:durableId="681514953">
    <w:abstractNumId w:val="16"/>
  </w:num>
  <w:num w:numId="26" w16cid:durableId="2001343554">
    <w:abstractNumId w:val="24"/>
  </w:num>
  <w:num w:numId="27" w16cid:durableId="1828280303">
    <w:abstractNumId w:val="35"/>
  </w:num>
  <w:num w:numId="28" w16cid:durableId="2125803710">
    <w:abstractNumId w:val="32"/>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1"/>
  </w:num>
  <w:num w:numId="33" w16cid:durableId="341712434">
    <w:abstractNumId w:val="2"/>
  </w:num>
  <w:num w:numId="34" w16cid:durableId="419986092">
    <w:abstractNumId w:val="22"/>
  </w:num>
  <w:num w:numId="35" w16cid:durableId="989599647">
    <w:abstractNumId w:val="43"/>
  </w:num>
  <w:num w:numId="36" w16cid:durableId="134224949">
    <w:abstractNumId w:val="34"/>
  </w:num>
  <w:num w:numId="37" w16cid:durableId="801532550">
    <w:abstractNumId w:val="3"/>
  </w:num>
  <w:num w:numId="38" w16cid:durableId="777871533">
    <w:abstractNumId w:val="9"/>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20"/>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3"/>
  </w:num>
  <w:num w:numId="58" w16cid:durableId="1616060553">
    <w:abstractNumId w:val="44"/>
  </w:num>
  <w:num w:numId="59" w16cid:durableId="1875145153">
    <w:abstractNumId w:val="12"/>
  </w:num>
  <w:num w:numId="60" w16cid:durableId="1090274761">
    <w:abstractNumId w:val="36"/>
  </w:num>
  <w:num w:numId="61" w16cid:durableId="12070656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037"/>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1FB5"/>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1DF6"/>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40"/>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D9F"/>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A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A"/>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A4"/>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1"/>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72037"/>
    <w:rsid w:val="00295EF8"/>
    <w:rsid w:val="002C1509"/>
    <w:rsid w:val="003661A6"/>
    <w:rsid w:val="00414344"/>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014B1"/>
    <w:rsid w:val="00C13521"/>
    <w:rsid w:val="00C27E0B"/>
    <w:rsid w:val="00C334AF"/>
    <w:rsid w:val="00C64F5A"/>
    <w:rsid w:val="00CD27B6"/>
    <w:rsid w:val="00CE1721"/>
    <w:rsid w:val="00CF4CEB"/>
    <w:rsid w:val="00D04195"/>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16</Pages>
  <Words>15287</Words>
  <Characters>8714</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21</cp:revision>
  <cp:lastPrinted>2024-12-04T11:45:00Z</cp:lastPrinted>
  <dcterms:created xsi:type="dcterms:W3CDTF">2025-01-29T11:39:00Z</dcterms:created>
  <dcterms:modified xsi:type="dcterms:W3CDTF">2025-07-18T06:50:00Z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