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520EAAF2"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233427" w:rsidRPr="00233427">
        <w:t>Spausdintuvų kase</w:t>
      </w:r>
      <w:r w:rsidR="00233427">
        <w:t>tes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5FE9E30A"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233427">
        <w:rPr>
          <w:noProof/>
        </w:rPr>
        <w:t>p</w:t>
      </w:r>
      <w:r w:rsidR="00947087">
        <w:rPr>
          <w:noProof/>
        </w:rPr>
        <w:t xml:space="preserve">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7ED198B1"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71329E">
        <w:rPr>
          <w:b/>
          <w:bCs/>
          <w:noProof/>
        </w:rPr>
        <w:t>Spausdintuvų kasetes</w:t>
      </w:r>
      <w:r w:rsidR="003D72B8">
        <w:rPr>
          <w:b/>
          <w:bCs/>
          <w:noProof/>
        </w:rPr>
        <w:t xml:space="preserve"> </w:t>
      </w:r>
      <w:r w:rsidR="006659B6" w:rsidRPr="00010B31">
        <w:rPr>
          <w:b/>
          <w:bCs/>
          <w:noProof/>
        </w:rPr>
        <w:t>pagal techninę specifikaciją</w:t>
      </w:r>
      <w:r w:rsidR="007A49F7">
        <w:rPr>
          <w:b/>
          <w:bCs/>
          <w:noProof/>
        </w:rPr>
        <w:t>.</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7B47E6">
        <w:rPr>
          <w:b/>
          <w:bCs/>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w:t>
      </w:r>
      <w:r w:rsidRPr="009C30B4">
        <w:rPr>
          <w:noProof/>
        </w:rPr>
        <w:t xml:space="preserve">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AA0194E"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347C4D">
        <w:rPr>
          <w:noProof/>
        </w:rPr>
        <w:t>į</w:t>
      </w:r>
      <w:r w:rsidR="00090C59">
        <w:rPr>
          <w:noProof/>
        </w:rPr>
        <w:t>kain</w:t>
      </w:r>
      <w:r w:rsidR="00347C4D">
        <w:rPr>
          <w:noProof/>
        </w:rPr>
        <w:t>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1808F6F3" w:rsidR="003D72B8" w:rsidRPr="0045447A" w:rsidRDefault="00694434" w:rsidP="00D962D7">
      <w:pPr>
        <w:pStyle w:val="Style1"/>
        <w:numPr>
          <w:ilvl w:val="0"/>
          <w:numId w:val="0"/>
        </w:numPr>
        <w:spacing w:line="276" w:lineRule="auto"/>
        <w:ind w:left="567" w:hanging="567"/>
        <w:jc w:val="both"/>
        <w:rPr>
          <w:b/>
        </w:rPr>
      </w:pPr>
      <w:r w:rsidRPr="00010B31">
        <w:rPr>
          <w:noProof/>
        </w:rPr>
        <w:t>2.7</w:t>
      </w:r>
      <w:r w:rsidRPr="0045447A">
        <w:rPr>
          <w:noProof/>
        </w:rPr>
        <w:t xml:space="preserve">. </w:t>
      </w:r>
      <w:r w:rsidR="00E462FC" w:rsidRPr="0045447A">
        <w:rPr>
          <w:noProof/>
        </w:rPr>
        <w:t xml:space="preserve"> </w:t>
      </w:r>
      <w:r w:rsidR="00D962D7" w:rsidRPr="0045447A">
        <w:t>Prekės pristatomos</w:t>
      </w:r>
      <w:r w:rsidR="001E193B" w:rsidRPr="0045447A">
        <w:t xml:space="preserve"> </w:t>
      </w:r>
      <w:r w:rsidR="00104574" w:rsidRPr="0045447A">
        <w:t>adresu</w:t>
      </w:r>
      <w:r w:rsidR="009F05C0" w:rsidRPr="0045447A">
        <w:t xml:space="preserve"> – </w:t>
      </w:r>
      <w:r w:rsidR="003D72B8" w:rsidRPr="0045447A">
        <w:rPr>
          <w:b/>
        </w:rPr>
        <w:t>Trakų istorijos muziejaus administracija, Kęstučio g. 4, Trakų m., Trakų r.</w:t>
      </w:r>
      <w:r w:rsidR="00D962D7" w:rsidRPr="0045447A">
        <w:rPr>
          <w:b/>
        </w:rPr>
        <w:t xml:space="preserve"> </w:t>
      </w:r>
      <w:r w:rsidR="003D72B8" w:rsidRPr="0045447A">
        <w:rPr>
          <w:b/>
        </w:rPr>
        <w:t>sav.</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lastRenderedPageBreak/>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38695B4F" w:rsidR="002A4D83" w:rsidRPr="00A35463" w:rsidRDefault="008F6FC2" w:rsidP="00B861F5">
      <w:pPr>
        <w:tabs>
          <w:tab w:val="left" w:pos="993"/>
        </w:tabs>
        <w:autoSpaceDE w:val="0"/>
        <w:autoSpaceDN w:val="0"/>
        <w:adjustRightInd w:val="0"/>
        <w:jc w:val="both"/>
        <w:rPr>
          <w:b/>
          <w:bCs/>
          <w:iCs/>
          <w:noProof/>
        </w:rPr>
      </w:pPr>
      <w:r>
        <w:rPr>
          <w:iCs/>
          <w:noProof/>
        </w:rPr>
        <w:t xml:space="preserve">2.9. </w:t>
      </w:r>
      <w:r w:rsidRPr="00A35463">
        <w:rPr>
          <w:b/>
          <w:bCs/>
          <w:iCs/>
          <w:noProof/>
        </w:rPr>
        <w:t xml:space="preserve">Pirkimo biudžetas </w:t>
      </w:r>
      <w:r w:rsidR="006E3547" w:rsidRPr="00A35463">
        <w:rPr>
          <w:b/>
          <w:bCs/>
          <w:iCs/>
          <w:noProof/>
        </w:rPr>
        <w:t>–</w:t>
      </w:r>
      <w:r w:rsidRPr="00A35463">
        <w:rPr>
          <w:b/>
          <w:bCs/>
          <w:iCs/>
          <w:noProof/>
        </w:rPr>
        <w:t xml:space="preserve"> </w:t>
      </w:r>
      <w:r w:rsidR="0071329E" w:rsidRPr="00A35463">
        <w:rPr>
          <w:b/>
          <w:bCs/>
          <w:iCs/>
          <w:noProof/>
        </w:rPr>
        <w:t>15</w:t>
      </w:r>
      <w:r w:rsidR="00104574" w:rsidRPr="00A35463">
        <w:rPr>
          <w:b/>
          <w:bCs/>
          <w:iCs/>
          <w:noProof/>
        </w:rPr>
        <w:t>.000</w:t>
      </w:r>
      <w:r w:rsidRPr="00A35463">
        <w:rPr>
          <w:b/>
          <w:bCs/>
          <w:iCs/>
          <w:noProof/>
        </w:rPr>
        <w:t xml:space="preserve">,00 Eur be PVM. </w:t>
      </w:r>
      <w:bookmarkStart w:id="0" w:name="_Hlk197338980"/>
      <w:r w:rsidRPr="00A35463">
        <w:rPr>
          <w:b/>
          <w:bCs/>
          <w:iCs/>
          <w:noProof/>
        </w:rPr>
        <w:t xml:space="preserve">Viršijantis bus atmetami kaip nepriimtini, nes viršijo iš anksto nustatytą pirkimo biudžetą. </w:t>
      </w:r>
    </w:p>
    <w:p w14:paraId="3CD7FA6A" w14:textId="3EECEB70" w:rsidR="00B80948" w:rsidRPr="00A35463" w:rsidRDefault="00B80948" w:rsidP="0071329E">
      <w:pPr>
        <w:tabs>
          <w:tab w:val="left" w:pos="993"/>
        </w:tabs>
        <w:autoSpaceDE w:val="0"/>
        <w:autoSpaceDN w:val="0"/>
        <w:adjustRightInd w:val="0"/>
        <w:spacing w:line="259" w:lineRule="auto"/>
        <w:jc w:val="both"/>
        <w:rPr>
          <w:b/>
          <w:bCs/>
          <w:iCs/>
          <w:noProof/>
        </w:rPr>
      </w:pPr>
      <w:bookmarkStart w:id="1" w:name="_Hlk197338095"/>
      <w:bookmarkEnd w:id="0"/>
    </w:p>
    <w:p w14:paraId="2EB201DC" w14:textId="77777777" w:rsidR="008F6FC2" w:rsidRPr="009C30B4" w:rsidRDefault="008F6FC2" w:rsidP="00B861F5">
      <w:pPr>
        <w:tabs>
          <w:tab w:val="left" w:pos="993"/>
        </w:tabs>
        <w:autoSpaceDE w:val="0"/>
        <w:autoSpaceDN w:val="0"/>
        <w:adjustRightInd w:val="0"/>
        <w:jc w:val="both"/>
        <w:rPr>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3F13CAA1"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w:t>
      </w:r>
      <w:r w:rsidR="00CD3E96">
        <w:rPr>
          <w:color w:val="000000"/>
        </w:rPr>
        <w:t xml:space="preserve"> </w:t>
      </w:r>
      <w:r w:rsidR="0063221F" w:rsidRPr="0063221F">
        <w:rPr>
          <w:color w:val="000000"/>
        </w:rPr>
        <w:t>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lastRenderedPageBreak/>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B45082" w:rsidRDefault="006B08AB" w:rsidP="00B45082">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2" w:name="_Toc508975093"/>
      <w:r w:rsidRPr="009C30B4">
        <w:rPr>
          <w:b/>
          <w:noProof/>
        </w:rPr>
        <w:t xml:space="preserve">VII. </w:t>
      </w:r>
      <w:r w:rsidR="00A400CF" w:rsidRPr="009C30B4">
        <w:rPr>
          <w:b/>
          <w:noProof/>
        </w:rPr>
        <w:t>PASIŪLYMŲ ŠIFRAVIMAS</w:t>
      </w:r>
      <w:bookmarkEnd w:id="2"/>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w:t>
      </w:r>
      <w:r w:rsidRPr="009C30B4">
        <w:lastRenderedPageBreak/>
        <w:t xml:space="preserve">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ListParagraph"/>
        <w:widowControl w:val="0"/>
        <w:tabs>
          <w:tab w:val="num" w:pos="1276"/>
        </w:tabs>
        <w:spacing w:line="276" w:lineRule="auto"/>
        <w:ind w:left="567"/>
        <w:jc w:val="both"/>
        <w:rPr>
          <w:rFonts w:eastAsia="Calibri"/>
          <w:b/>
        </w:rPr>
      </w:pPr>
    </w:p>
    <w:p w14:paraId="663F543C" w14:textId="77777777" w:rsidR="001E193B" w:rsidRDefault="001E193B" w:rsidP="004B14E3">
      <w:pPr>
        <w:pStyle w:val="ListParagraph"/>
        <w:widowControl w:val="0"/>
        <w:tabs>
          <w:tab w:val="num" w:pos="1276"/>
        </w:tabs>
        <w:spacing w:line="276" w:lineRule="auto"/>
        <w:ind w:left="710"/>
        <w:jc w:val="center"/>
        <w:rPr>
          <w:b/>
        </w:rPr>
      </w:pPr>
      <w:bookmarkStart w:id="3" w:name="_Toc254354723"/>
      <w:bookmarkStart w:id="4"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3"/>
      <w:bookmarkEnd w:id="4"/>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5" w:name="_Toc508975095"/>
      <w:r w:rsidRPr="009C30B4">
        <w:rPr>
          <w:b/>
        </w:rPr>
        <w:t>I</w:t>
      </w:r>
      <w:r w:rsidR="006669B4" w:rsidRPr="009C30B4">
        <w:rPr>
          <w:b/>
        </w:rPr>
        <w:t xml:space="preserve">X. </w:t>
      </w:r>
      <w:r w:rsidR="00A400CF" w:rsidRPr="009C30B4">
        <w:rPr>
          <w:b/>
        </w:rPr>
        <w:t>KONKURSO SĄLYGŲ PAAIŠKINIMAS IR PATIKSLINIMAS</w:t>
      </w:r>
      <w:bookmarkEnd w:id="5"/>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w:t>
      </w:r>
      <w:r w:rsidRPr="009C30B4">
        <w:lastRenderedPageBreak/>
        <w:t xml:space="preserve">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6"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6"/>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7"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w:t>
      </w:r>
      <w:r w:rsidRPr="009C30B4">
        <w:lastRenderedPageBreak/>
        <w:t>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lastRenderedPageBreak/>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7"/>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lastRenderedPageBreak/>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8" w:name="_Toc185324051"/>
      <w:bookmarkStart w:id="9" w:name="_Toc257722228"/>
      <w:bookmarkStart w:id="10"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1" w:name="_Toc231271165"/>
      <w:bookmarkStart w:id="12" w:name="_Toc259711086"/>
      <w:bookmarkStart w:id="13" w:name="_Toc227553939"/>
      <w:bookmarkEnd w:id="8"/>
      <w:bookmarkEnd w:id="9"/>
      <w:bookmarkEnd w:id="10"/>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4" w:name="_Toc492385939"/>
      <w:bookmarkStart w:id="15" w:name="_Toc508975102"/>
      <w:bookmarkEnd w:id="11"/>
      <w:bookmarkEnd w:id="12"/>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4"/>
      <w:bookmarkEnd w:id="15"/>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3"/>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C000" w14:textId="77777777" w:rsidR="00901252" w:rsidRDefault="00901252" w:rsidP="00632805">
      <w:r>
        <w:separator/>
      </w:r>
    </w:p>
  </w:endnote>
  <w:endnote w:type="continuationSeparator" w:id="0">
    <w:p w14:paraId="58841916" w14:textId="77777777" w:rsidR="00901252" w:rsidRDefault="00901252"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6E38" w14:textId="77777777" w:rsidR="00901252" w:rsidRDefault="00901252" w:rsidP="00632805">
      <w:r>
        <w:separator/>
      </w:r>
    </w:p>
  </w:footnote>
  <w:footnote w:type="continuationSeparator" w:id="0">
    <w:p w14:paraId="3E161393" w14:textId="77777777" w:rsidR="00901252" w:rsidRDefault="00901252"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3427"/>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5087"/>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473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0634"/>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547"/>
    <w:rsid w:val="006E4257"/>
    <w:rsid w:val="006E48D5"/>
    <w:rsid w:val="006E4EB9"/>
    <w:rsid w:val="006E71BB"/>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29E"/>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47E6"/>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1252"/>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5463"/>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B7EAD"/>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260"/>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10</Pages>
  <Words>4612</Words>
  <Characters>26289</Characters>
  <Application>Microsoft Office Word</Application>
  <DocSecurity>0</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30840</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5</cp:revision>
  <cp:lastPrinted>2021-10-21T06:30:00Z</cp:lastPrinted>
  <dcterms:created xsi:type="dcterms:W3CDTF">2025-07-14T06:15:00Z</dcterms:created>
  <dcterms:modified xsi:type="dcterms:W3CDTF">2025-07-17T10:30:00Z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