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46A22" w14:textId="77777777" w:rsidR="009E4000" w:rsidRDefault="009E4000"/>
    <w:tbl>
      <w:tblPr>
        <w:tblW w:w="9639" w:type="dxa"/>
        <w:tblLook w:val="04A0" w:firstRow="1" w:lastRow="0" w:firstColumn="1" w:lastColumn="0" w:noHBand="0" w:noVBand="1"/>
      </w:tblPr>
      <w:tblGrid>
        <w:gridCol w:w="7938"/>
        <w:gridCol w:w="1701"/>
      </w:tblGrid>
      <w:tr w:rsidR="009E4000" w:rsidRPr="009E4000" w14:paraId="106F4253" w14:textId="77777777" w:rsidTr="00D20EFD">
        <w:tc>
          <w:tcPr>
            <w:tcW w:w="7938" w:type="dxa"/>
          </w:tcPr>
          <w:p w14:paraId="74788772" w14:textId="1C497D1D" w:rsidR="009E4000" w:rsidRPr="009E4000" w:rsidRDefault="009E4000">
            <w:r w:rsidRPr="009E4000">
              <w:t xml:space="preserve">Tiekėjams </w:t>
            </w:r>
          </w:p>
        </w:tc>
        <w:tc>
          <w:tcPr>
            <w:tcW w:w="1701" w:type="dxa"/>
          </w:tcPr>
          <w:p w14:paraId="4EF10C3C" w14:textId="6A9975CF" w:rsidR="009E4000" w:rsidRPr="009E4000" w:rsidRDefault="009E4000">
            <w:r w:rsidRPr="0062705B">
              <w:t>20</w:t>
            </w:r>
            <w:r w:rsidR="000C63F4" w:rsidRPr="0062705B">
              <w:t>2</w:t>
            </w:r>
            <w:r w:rsidR="00F5461D">
              <w:t>5</w:t>
            </w:r>
            <w:r w:rsidRPr="0062705B">
              <w:t>-</w:t>
            </w:r>
            <w:r w:rsidR="00D20EFD">
              <w:t>0</w:t>
            </w:r>
            <w:r w:rsidR="00F5461D">
              <w:t>7</w:t>
            </w:r>
            <w:r w:rsidRPr="0062705B">
              <w:t>-</w:t>
            </w:r>
            <w:r w:rsidR="00F5461D">
              <w:t>1</w:t>
            </w:r>
            <w:r w:rsidR="0044721A">
              <w:t>8</w:t>
            </w:r>
            <w:r w:rsidRPr="0062705B">
              <w:t xml:space="preserve"> </w:t>
            </w:r>
          </w:p>
        </w:tc>
      </w:tr>
    </w:tbl>
    <w:p w14:paraId="17502C8B" w14:textId="77777777" w:rsidR="009E4000" w:rsidRDefault="009E4000"/>
    <w:p w14:paraId="7BA57083" w14:textId="77777777" w:rsidR="006D7BCF" w:rsidRDefault="006D7BCF"/>
    <w:p w14:paraId="79C9816C" w14:textId="53765FD4" w:rsidR="009E4000" w:rsidRPr="0062705B" w:rsidRDefault="009E4000">
      <w:pPr>
        <w:rPr>
          <w:b/>
        </w:rPr>
      </w:pPr>
      <w:r w:rsidRPr="0062705B">
        <w:rPr>
          <w:b/>
        </w:rPr>
        <w:t xml:space="preserve">DĖL </w:t>
      </w:r>
      <w:r w:rsidR="0044721A">
        <w:rPr>
          <w:b/>
        </w:rPr>
        <w:t>GAUTŲ KLAUSIMŲ</w:t>
      </w:r>
    </w:p>
    <w:p w14:paraId="4276FD87" w14:textId="77777777" w:rsidR="009E4000" w:rsidRDefault="009E4000"/>
    <w:p w14:paraId="4F767B7F" w14:textId="68041AA6" w:rsidR="00AE5F64" w:rsidRPr="00AE5F64" w:rsidRDefault="00AE5F64" w:rsidP="00AE5F64">
      <w:pPr>
        <w:ind w:firstLine="851"/>
        <w:rPr>
          <w:rFonts w:eastAsia="Times New Roman"/>
          <w:color w:val="000000"/>
          <w:szCs w:val="24"/>
          <w:lang w:eastAsia="lt-LT"/>
        </w:rPr>
      </w:pPr>
      <w:r w:rsidRPr="00AE5F64">
        <w:rPr>
          <w:rFonts w:eastAsia="Times New Roman"/>
          <w:szCs w:val="24"/>
          <w:lang w:eastAsia="lt-LT"/>
        </w:rPr>
        <w:t xml:space="preserve">Šiaulių apskaitos centras vykdo </w:t>
      </w:r>
      <w:r w:rsidRPr="00AE5F64">
        <w:rPr>
          <w:rFonts w:eastAsia="Times New Roman"/>
          <w:color w:val="000000"/>
          <w:szCs w:val="24"/>
          <w:lang w:eastAsia="lt-LT"/>
        </w:rPr>
        <w:t>pirkimo</w:t>
      </w:r>
      <w:r w:rsidRPr="00AE5F64">
        <w:rPr>
          <w:rFonts w:eastAsia="Times New Roman"/>
          <w:i/>
          <w:iCs/>
          <w:szCs w:val="24"/>
          <w:lang w:eastAsia="lt-LT"/>
        </w:rPr>
        <w:t xml:space="preserve"> „</w:t>
      </w:r>
      <w:r>
        <w:rPr>
          <w:rFonts w:eastAsia="Times New Roman"/>
          <w:i/>
          <w:iCs/>
          <w:color w:val="000000"/>
          <w:szCs w:val="24"/>
          <w:lang w:eastAsia="lt-LT"/>
        </w:rPr>
        <w:t>Bilietų ir kvietimų platinimo paslauga</w:t>
      </w:r>
      <w:r w:rsidRPr="00AE5F64">
        <w:rPr>
          <w:rFonts w:eastAsia="Times New Roman"/>
          <w:i/>
          <w:iCs/>
          <w:color w:val="000000"/>
          <w:szCs w:val="24"/>
          <w:lang w:eastAsia="lt-LT"/>
        </w:rPr>
        <w:t>“</w:t>
      </w:r>
      <w:r w:rsidRPr="00AE5F64">
        <w:rPr>
          <w:rFonts w:eastAsia="Times New Roman"/>
          <w:color w:val="000000"/>
          <w:szCs w:val="24"/>
          <w:lang w:eastAsia="lt-LT"/>
        </w:rPr>
        <w:t xml:space="preserve"> (CVP IS pirkimo Nr.</w:t>
      </w:r>
      <w:r w:rsidRPr="00AE5F64">
        <w:rPr>
          <w:rFonts w:eastAsia="Times New Roman"/>
          <w:color w:val="333333"/>
          <w:szCs w:val="24"/>
          <w:shd w:val="clear" w:color="auto" w:fill="FFFFFF"/>
          <w:lang w:eastAsia="lt-LT"/>
        </w:rPr>
        <w:t xml:space="preserve"> </w:t>
      </w:r>
      <w:r w:rsidRPr="0095348B">
        <w:t>3611785</w:t>
      </w:r>
      <w:r w:rsidRPr="00AE5F64">
        <w:rPr>
          <w:rFonts w:eastAsia="Times New Roman"/>
          <w:color w:val="000000"/>
          <w:szCs w:val="24"/>
          <w:lang w:eastAsia="lt-LT"/>
        </w:rPr>
        <w:t>) procedūras.</w:t>
      </w:r>
    </w:p>
    <w:p w14:paraId="65B181A4" w14:textId="2ABB1BB2" w:rsidR="009E4000" w:rsidRDefault="00AE5F64" w:rsidP="00AE5F64">
      <w:pPr>
        <w:ind w:firstLine="851"/>
        <w:rPr>
          <w:rFonts w:eastAsia="Arial Unicode MS"/>
          <w:szCs w:val="24"/>
          <w:bdr w:val="nil"/>
          <w:lang w:eastAsia="lt-LT"/>
        </w:rPr>
      </w:pPr>
      <w:r w:rsidRPr="00AE5F64">
        <w:rPr>
          <w:rFonts w:eastAsia="Arial Unicode MS"/>
          <w:szCs w:val="24"/>
          <w:bdr w:val="nil"/>
          <w:lang w:eastAsia="lt-LT"/>
        </w:rPr>
        <w:t>CVP IS susirašinėjimo priemonėmis gaut</w:t>
      </w:r>
      <w:r w:rsidR="007A78B1">
        <w:rPr>
          <w:rFonts w:eastAsia="Arial Unicode MS"/>
          <w:szCs w:val="24"/>
          <w:bdr w:val="nil"/>
          <w:lang w:eastAsia="lt-LT"/>
        </w:rPr>
        <w:t xml:space="preserve">i </w:t>
      </w:r>
      <w:r w:rsidRPr="00AE5F64">
        <w:rPr>
          <w:rFonts w:eastAsia="Arial Unicode MS"/>
          <w:szCs w:val="24"/>
          <w:bdr w:val="nil"/>
          <w:lang w:eastAsia="lt-LT"/>
        </w:rPr>
        <w:t>tiekėjo klausim</w:t>
      </w:r>
      <w:r w:rsidR="007A78B1">
        <w:rPr>
          <w:rFonts w:eastAsia="Arial Unicode MS"/>
          <w:szCs w:val="24"/>
          <w:bdr w:val="nil"/>
          <w:lang w:eastAsia="lt-LT"/>
        </w:rPr>
        <w:t>ai</w:t>
      </w:r>
      <w:r w:rsidRPr="00AE5F64">
        <w:rPr>
          <w:rFonts w:eastAsia="Arial Unicode MS"/>
          <w:szCs w:val="24"/>
          <w:bdr w:val="nil"/>
          <w:lang w:eastAsia="lt-LT"/>
        </w:rPr>
        <w:t xml:space="preserve">. </w:t>
      </w:r>
      <w:r w:rsidRPr="00AE5F64">
        <w:rPr>
          <w:rFonts w:eastAsia="Times New Roman"/>
          <w:szCs w:val="20"/>
          <w:lang w:eastAsia="lt-LT"/>
        </w:rPr>
        <w:t>Vadovaujantis pirkimo sąlygų 1</w:t>
      </w:r>
      <w:r>
        <w:rPr>
          <w:rFonts w:eastAsia="Times New Roman"/>
          <w:szCs w:val="20"/>
          <w:lang w:eastAsia="lt-LT"/>
        </w:rPr>
        <w:t>0</w:t>
      </w:r>
      <w:r w:rsidRPr="00AE5F64">
        <w:rPr>
          <w:rFonts w:eastAsia="Times New Roman"/>
          <w:szCs w:val="20"/>
          <w:lang w:eastAsia="lt-LT"/>
        </w:rPr>
        <w:t xml:space="preserve"> sk. perkančioji organizacija atsako:</w:t>
      </w:r>
    </w:p>
    <w:p w14:paraId="4B970DB2" w14:textId="77777777" w:rsidR="00AE5F64" w:rsidRPr="00AE5F64" w:rsidRDefault="00AE5F64" w:rsidP="00AE5F64">
      <w:pPr>
        <w:ind w:firstLine="851"/>
        <w:rPr>
          <w:rFonts w:eastAsia="Arial Unicode MS"/>
          <w:szCs w:val="24"/>
          <w:bdr w:val="nil"/>
          <w:lang w:eastAsia="lt-LT"/>
        </w:rPr>
      </w:pPr>
    </w:p>
    <w:p w14:paraId="400C8671" w14:textId="4614C122" w:rsidR="00D20EFD" w:rsidRDefault="00D20EFD" w:rsidP="00D20EFD">
      <w:pPr>
        <w:ind w:firstLine="709"/>
        <w:rPr>
          <w:i/>
          <w:iCs/>
        </w:rPr>
      </w:pPr>
      <w:r>
        <w:rPr>
          <w:b/>
        </w:rPr>
        <w:t>1 </w:t>
      </w:r>
      <w:r w:rsidRPr="00CE51A6">
        <w:rPr>
          <w:b/>
        </w:rPr>
        <w:t>klausimas</w:t>
      </w:r>
      <w:r>
        <w:t xml:space="preserve"> (kalba netaisyta) „</w:t>
      </w:r>
      <w:r w:rsidRPr="00E146FA">
        <w:rPr>
          <w:i/>
          <w:iCs/>
        </w:rPr>
        <w:t>1</w:t>
      </w:r>
      <w:r w:rsidR="00F5461D">
        <w:t xml:space="preserve">. </w:t>
      </w:r>
      <w:r w:rsidR="00F5461D" w:rsidRPr="00F5461D">
        <w:rPr>
          <w:i/>
          <w:iCs/>
        </w:rPr>
        <w:t>Ar teisingai suprantame, kad Techninės specifikacijos punktas Nr. 1 ir Techninės specifikacijos III skyriaus reikalavimai darbo vietos techninei įrangai yra susiję? Ar techninė įranga galimai būtų statoma ir Rėkyvos kultūros namuose bei galerijoje „Laiptai“? Atkreipiame dėmesį, kad ne vienas iš Tiekėjų neturi oficialių kasų nurodytose aikštelėse, t. y. Rėkyvos kultūros namuose ir galerijoje „Laiptai“. Prašome patikslinti šių aikštelių kasų įgyvendinimą.</w:t>
      </w:r>
      <w:r w:rsidR="008142A2">
        <w:rPr>
          <w:i/>
          <w:iCs/>
        </w:rPr>
        <w:t>“</w:t>
      </w:r>
    </w:p>
    <w:p w14:paraId="0032BB04" w14:textId="77777777" w:rsidR="00D20EFD" w:rsidRDefault="00D20EFD" w:rsidP="00D20EFD">
      <w:pPr>
        <w:ind w:firstLine="709"/>
      </w:pPr>
      <w:r w:rsidRPr="00D20EFD">
        <w:rPr>
          <w:b/>
          <w:bCs/>
        </w:rPr>
        <w:t>Atsakymas.</w:t>
      </w:r>
      <w:r>
        <w:t xml:space="preserve"> </w:t>
      </w:r>
    </w:p>
    <w:p w14:paraId="0C3B42C0" w14:textId="25421F14" w:rsidR="00A91D13" w:rsidRDefault="006966F2" w:rsidP="00A91D13">
      <w:pPr>
        <w:ind w:firstLine="709"/>
        <w:rPr>
          <w:szCs w:val="24"/>
        </w:rPr>
      </w:pPr>
      <w:r>
        <w:t xml:space="preserve">Visi techninėje specifikacijoje (toliau – TS) numatyti reikalavimai yra susiję, neišimtis ir TS punktas Nr. 1 bei TS III skyrius. TS yra numatyta, kad Tiekėjas turi užtikrinti Perkančiajai organizacijai galimybę nuomotis trijų </w:t>
      </w:r>
      <w:r>
        <w:rPr>
          <w:szCs w:val="24"/>
        </w:rPr>
        <w:t>d</w:t>
      </w:r>
      <w:r w:rsidRPr="004A3FDC">
        <w:rPr>
          <w:szCs w:val="24"/>
        </w:rPr>
        <w:t>arbo viet</w:t>
      </w:r>
      <w:r>
        <w:rPr>
          <w:szCs w:val="24"/>
        </w:rPr>
        <w:t>ų</w:t>
      </w:r>
      <w:r w:rsidRPr="004A3FDC">
        <w:rPr>
          <w:szCs w:val="24"/>
        </w:rPr>
        <w:t xml:space="preserve"> technin</w:t>
      </w:r>
      <w:r>
        <w:rPr>
          <w:szCs w:val="24"/>
        </w:rPr>
        <w:t>ę</w:t>
      </w:r>
      <w:r w:rsidRPr="004A3FDC">
        <w:rPr>
          <w:szCs w:val="24"/>
        </w:rPr>
        <w:t xml:space="preserve"> įrang</w:t>
      </w:r>
      <w:r>
        <w:rPr>
          <w:szCs w:val="24"/>
        </w:rPr>
        <w:t>ą. Taip pat III skyriaus 5 punkte numatyta</w:t>
      </w:r>
      <w:r w:rsidR="00A91D13">
        <w:rPr>
          <w:szCs w:val="24"/>
        </w:rPr>
        <w:t>, kad „</w:t>
      </w:r>
      <w:r w:rsidRPr="006966F2">
        <w:rPr>
          <w:szCs w:val="24"/>
        </w:rPr>
        <w:t>Perkančioji organizacija turi teisę pasirinkti ar nuomosis vieną darbo vietos techninę įrangą ar kelias</w:t>
      </w:r>
      <w:r w:rsidR="00A91D13">
        <w:rPr>
          <w:szCs w:val="24"/>
        </w:rPr>
        <w:t xml:space="preserve">“. Vykdomas viešasis pirkimas ir yra skirtas </w:t>
      </w:r>
      <w:r w:rsidR="00973130">
        <w:t>b</w:t>
      </w:r>
      <w:r w:rsidR="00A91D13" w:rsidRPr="007E37F2">
        <w:t>ilietų ir kvietimų platinimo paslaug</w:t>
      </w:r>
      <w:r w:rsidR="00A91D13">
        <w:t xml:space="preserve">ai įsigyti, kurią pagal TS reikalavimus užtikrins Tiekėjas. </w:t>
      </w:r>
      <w:r w:rsidR="00A91D13" w:rsidRPr="002522E4">
        <w:t>Perkančio</w:t>
      </w:r>
      <w:r w:rsidR="00A91D13">
        <w:t>ji</w:t>
      </w:r>
      <w:r w:rsidR="00A91D13" w:rsidRPr="002522E4">
        <w:t xml:space="preserve"> organizacija</w:t>
      </w:r>
      <w:r w:rsidR="00A91D13">
        <w:t xml:space="preserve"> </w:t>
      </w:r>
      <w:r w:rsidR="00A91D13">
        <w:rPr>
          <w:szCs w:val="24"/>
        </w:rPr>
        <w:t xml:space="preserve">pažymi, kad </w:t>
      </w:r>
      <w:r w:rsidR="00973130">
        <w:rPr>
          <w:szCs w:val="24"/>
        </w:rPr>
        <w:t xml:space="preserve">TS numatytose </w:t>
      </w:r>
      <w:r w:rsidR="00A91D13" w:rsidRPr="002522E4">
        <w:t>kas</w:t>
      </w:r>
      <w:r w:rsidR="00A91D13">
        <w:t>oje(-se) (Šiaulių kultūros centras (Aušros al. 31), Rėkyvos kultūros namai (Energetikų g. 7), galerija „Laiptai“ (Žemaitės g. 83)</w:t>
      </w:r>
      <w:r w:rsidR="00973130">
        <w:t xml:space="preserve"> dirbs Šiaulių kultūros centro darbuotojai / kasininkai.</w:t>
      </w:r>
    </w:p>
    <w:p w14:paraId="20B4F416" w14:textId="77777777" w:rsidR="006966F2" w:rsidRDefault="006966F2" w:rsidP="00D20EFD">
      <w:pPr>
        <w:ind w:firstLine="709"/>
      </w:pPr>
    </w:p>
    <w:p w14:paraId="5D625F3E" w14:textId="5E03E47B" w:rsidR="008142A2" w:rsidRPr="00FE3A95" w:rsidRDefault="008142A2" w:rsidP="00FE3A95">
      <w:pPr>
        <w:pStyle w:val="Sraopastraipa"/>
        <w:ind w:left="0" w:firstLine="720"/>
      </w:pPr>
      <w:r>
        <w:rPr>
          <w:b/>
        </w:rPr>
        <w:t>2 </w:t>
      </w:r>
      <w:r w:rsidRPr="00CE51A6">
        <w:rPr>
          <w:b/>
        </w:rPr>
        <w:t>klausimas</w:t>
      </w:r>
      <w:r>
        <w:t xml:space="preserve"> (kalba netaisyta) </w:t>
      </w:r>
      <w:r w:rsidRPr="00FE3A95">
        <w:rPr>
          <w:i/>
          <w:iCs/>
        </w:rPr>
        <w:t>„</w:t>
      </w:r>
      <w:r w:rsidR="00FE3A95" w:rsidRPr="00FE3A95">
        <w:rPr>
          <w:i/>
          <w:iCs/>
        </w:rPr>
        <w:t>2. Konkurso sąlygose ir prieduose yra minima Trečioji šalis. Prašome perkančiosios organizacijos patikslinti, kas yra Trečioji šalis? Taip pat prašome paaiškinti, kokiu teisiniu pagrindu (teisės normos, sutarties ar kito sandorio pagrindu), į šio viešojo pirkimų sąlygas yra įtrauktos sąlygos, reguliuojančios santykius su trečiosiomis, šia viešojo pirkimų sutartimi nesusijusiomis, šalimis? Ar bus trečiosios šalys įpareigojamos sudaryti bilietų platinimo sutartis su tiekėju?</w:t>
      </w:r>
      <w:r w:rsidR="00973130">
        <w:rPr>
          <w:i/>
          <w:iCs/>
        </w:rPr>
        <w:t xml:space="preserve"> </w:t>
      </w:r>
      <w:r w:rsidR="00FE3A95" w:rsidRPr="00FE3A95">
        <w:rPr>
          <w:i/>
          <w:iCs/>
        </w:rPr>
        <w:t>Tuo pačiu prašome paaiškinti, ar komisinis mokestis būtų mokamas, jeigu su konkrečia trečiąja šalimi tiekėjas jau turėtų galiojančią bilietų platinimo sutartį ir bilietai būtų platinami jos pagrindu ir joje numatytomis sąlygomis</w:t>
      </w:r>
      <w:r w:rsidRPr="00FE3A95">
        <w:rPr>
          <w:i/>
          <w:iCs/>
        </w:rPr>
        <w:t>.“</w:t>
      </w:r>
    </w:p>
    <w:p w14:paraId="0748DEB5" w14:textId="21ECB873" w:rsidR="008142A2" w:rsidRDefault="008142A2" w:rsidP="008142A2">
      <w:pPr>
        <w:ind w:firstLine="709"/>
      </w:pPr>
      <w:r w:rsidRPr="00D20EFD">
        <w:rPr>
          <w:b/>
          <w:bCs/>
        </w:rPr>
        <w:t>Atsakymas.</w:t>
      </w:r>
    </w:p>
    <w:p w14:paraId="5E683521" w14:textId="77777777" w:rsidR="00D035D7" w:rsidRDefault="00D035D7" w:rsidP="00D035D7">
      <w:pPr>
        <w:ind w:firstLine="709"/>
      </w:pPr>
      <w:r>
        <w:t>1. VPĮ 2 straipsnio 44 dalyje yra nustatyta, kad:</w:t>
      </w:r>
    </w:p>
    <w:p w14:paraId="5ECB23D4" w14:textId="77777777" w:rsidR="00D035D7" w:rsidRDefault="00D035D7" w:rsidP="00D035D7">
      <w:pPr>
        <w:ind w:firstLine="709"/>
      </w:pPr>
      <w:r>
        <w:t>„</w:t>
      </w:r>
      <w:r w:rsidRPr="009914FF">
        <w:rPr>
          <w:i/>
          <w:iCs/>
        </w:rPr>
        <w:t>44. Viešojo pirkimo–pardavimo sutartis (toliau – pirkimo sutartis) – šio įstatymo nustatyta tvarka dėl ekonominės naudos vieno ar daugiau ūkio subjektų ir vienos ar kelių perkančiųjų organizacijų raštu, išskyrus šiame įstatyme nustatytus atvejus, kai pirkimo sutartis gali būti sudaroma žodžiu, sudaroma sutartis, kurios dalykas yra prekės, paslaugos ar darbai. Ekonomine nauda laikomas piniginis atlygis arba kitoks atlygis tiekėjui, pavyzdžiui, teisė nemokėti mokesčių, pasinaudoti pirkimo sutarties vykdymo rezultatu, galimybė gauti pajamas iš trečiųjų asmenų ir panašiai.“</w:t>
      </w:r>
    </w:p>
    <w:p w14:paraId="322A6AFC" w14:textId="77777777" w:rsidR="00D035D7" w:rsidRDefault="00D035D7" w:rsidP="00D035D7">
      <w:pPr>
        <w:ind w:firstLine="709"/>
      </w:pPr>
      <w:r>
        <w:t>2. VPĮ 2 straipsnio 44 dalies komentare yra nurodyta, kad:</w:t>
      </w:r>
    </w:p>
    <w:p w14:paraId="20571FC3" w14:textId="77777777" w:rsidR="00D035D7" w:rsidRPr="009914FF" w:rsidRDefault="00D035D7" w:rsidP="00D035D7">
      <w:pPr>
        <w:ind w:firstLine="709"/>
        <w:rPr>
          <w:i/>
          <w:iCs/>
        </w:rPr>
      </w:pPr>
      <w:r w:rsidRPr="009914FF">
        <w:rPr>
          <w:i/>
          <w:iCs/>
        </w:rPr>
        <w:t>„Pirmiausia svarbu paminėti, kad viešojo pirkimo-pardavimo sutartimi laikoma tokia sutartis, iš kurios tiek tiekėjas, tiek ir perkančioji organizacija gauna ekonominės naudos, t. y. tenkinamas abipusio atlygintinumo kriterijus, kai abi sutarties šalys iš sutarties gauna priešpriešinį patenkinimą.</w:t>
      </w:r>
    </w:p>
    <w:p w14:paraId="496A49FD" w14:textId="77777777" w:rsidR="00D035D7" w:rsidRPr="009914FF" w:rsidRDefault="00D035D7" w:rsidP="00D035D7">
      <w:pPr>
        <w:ind w:firstLine="709"/>
        <w:rPr>
          <w:i/>
          <w:iCs/>
        </w:rPr>
      </w:pPr>
      <w:r w:rsidRPr="009914FF">
        <w:rPr>
          <w:i/>
          <w:iCs/>
        </w:rPr>
        <w:t xml:space="preserve">Atitinkama sutartis negali nepatekti į viešojo pirkimo-pardavimo sutarties sąvoką vien todėl, kad nustatytą atlygį sudaro tik tiekiant prekes, teikiant paslaugą ar atliekant darbus patirtų išlaidų atlyginimas, arba todėl, kad ši sutartis sudaryta su pelno nesiekiančiu subjektu[188]. Kaip išsamiai </w:t>
      </w:r>
      <w:r w:rsidRPr="009914FF">
        <w:rPr>
          <w:i/>
          <w:iCs/>
        </w:rPr>
        <w:lastRenderedPageBreak/>
        <w:t>nurodyta toliau, viešojo pirkimo-pardavimo sutartimi yra laikoma sutartis, iš kurios gaunamas atlyginimas ne tik pinigų forma[189].</w:t>
      </w:r>
    </w:p>
    <w:p w14:paraId="0DA55A10" w14:textId="77777777" w:rsidR="00D035D7" w:rsidRPr="009914FF" w:rsidRDefault="00D035D7" w:rsidP="00D035D7">
      <w:pPr>
        <w:ind w:firstLine="709"/>
        <w:rPr>
          <w:i/>
          <w:iCs/>
        </w:rPr>
      </w:pPr>
      <w:r w:rsidRPr="009914FF">
        <w:rPr>
          <w:i/>
          <w:iCs/>
        </w:rPr>
        <w:t>Taip pat sutartis, pagal kurią numatyta mainais atlikti tam tikrus veiksmus, patenka į viešojo pirkimo-pardavimo sutarties sąvoką, net jeigu joje numatytas atlygis skirtas tik daliai dėl sutartos paslaugos teikimo patirtų išlaidų atlyginti[190],[191].</w:t>
      </w:r>
    </w:p>
    <w:p w14:paraId="1B7CC18D" w14:textId="77777777" w:rsidR="00D035D7" w:rsidRPr="009914FF" w:rsidRDefault="00D035D7" w:rsidP="00D035D7">
      <w:pPr>
        <w:ind w:firstLine="709"/>
        <w:rPr>
          <w:i/>
          <w:iCs/>
        </w:rPr>
      </w:pPr>
      <w:r w:rsidRPr="009914FF">
        <w:rPr>
          <w:i/>
          <w:iCs/>
        </w:rPr>
        <w:t>Antra, vertinant perkančiosios organizacijos gaunamą ekonominę naudą, ESTT praktikoje pažymima, kad atitinkamo sandorio kvalifikavimas viešojo pirkimo-pardavimo sutartimi priklauso nuo pirkimo objekto, o ne nuo jo paskirties. Nedaromas skirtumas tarp viešojo pirkimo sutarčių, kurias perkančioji organizacija sudarė įgyvendindama užduotį tenkinti viešojo intereso poreikius, ir sutarčių, kurios visiškai nesusijusios su tokia užduotimi[192]. Viešosios pirkimo-pardavimo sutarties kvalifikavimui nėra reikšminga aplinkybė, ar visą galutinę naudą iš jos gauna ar gaus perkančioji organizacija. Tai, kad perkančioji organizacija negauna (ar ne visada gauna) tiesioginės naudos iš viešojo pirkimo sutarties, kaip jos rezultato (ypač kai atlieka viešąsias, įstatymų deleguotas funkcijas), nereiškia, kad tokios sutarties sudarymas neturi ekonominės vertės, nes būtent viešojo pirkimo sutarties sudarymas jai leidžia pirmiau nurodytas funkcijas įgyvendinti.</w:t>
      </w:r>
    </w:p>
    <w:p w14:paraId="1C19F85F" w14:textId="77777777" w:rsidR="00D035D7" w:rsidRPr="009914FF" w:rsidRDefault="00D035D7" w:rsidP="00D035D7">
      <w:pPr>
        <w:ind w:firstLine="709"/>
        <w:rPr>
          <w:i/>
          <w:iCs/>
        </w:rPr>
      </w:pPr>
      <w:r w:rsidRPr="009914FF">
        <w:rPr>
          <w:i/>
          <w:iCs/>
        </w:rPr>
        <w:t>Ekonominė vertė taip pat gali būti išreikšta ekonomine nauda, kurią galės gauti perkančioji organizacija naudodama darbo rezultatą arba jį perleisdama ateityje, taip pat tuo, kad ji finansavo atliktą darbą arba prisiėmė riziką, jei darbas ekonomiškai nepasiteisino[193], [194].</w:t>
      </w:r>
    </w:p>
    <w:p w14:paraId="2B5A0631" w14:textId="77777777" w:rsidR="00D035D7" w:rsidRPr="009914FF" w:rsidRDefault="00D035D7" w:rsidP="00D035D7">
      <w:pPr>
        <w:ind w:firstLine="709"/>
        <w:rPr>
          <w:i/>
          <w:iCs/>
        </w:rPr>
      </w:pPr>
      <w:r w:rsidRPr="009914FF">
        <w:rPr>
          <w:i/>
          <w:iCs/>
        </w:rPr>
        <w:t>Trečia, vertinant tiekėjo iš viešojo pirkimo-pardavimo sutarties gaunamą ekonominę naudą, pažymėtina, kad ši nauda pirmiausia yra finansinė, t. y. piniginė[195]. Tačiau jau anksčiau minėta, jog ekonominė nauda pasižymi (gali pasižymėti) ne tik tiesiogine finansine nauda – pinigais. Kitaip tariant, ekonominė nauda suprantama plačiai ir ja yra laikoma piniginis arba kitoks atlygis tiekėjui, pavyzdžiui, teisė nemokėti mokesčių, pasinaudoti pirkimo sutarties vykdymo rezultatu, galimybė gauti pajamas iš trečiųjų asmenų ir panašiai. Taigi ekonominė nauda tiekėjui – pirmiausia finansinė, nepriklausomai nuo lėšų gavimo šaltinio ar būdo[196]. Net ir tais atvejais, kai tiekėjas, teikdamas prekes, paslaugas ar atlikdamas darbus, iš to gauna papildomą pirkimo sutartyje tiesiogiai nenustatytą atlyginimą iš trečiųjų asmenų arba realiai egzistuoja priešpriešinis interesų patenkinimas, su perkančiąja organizacija sudaryta sutartis nepraranda viešojo pirkimo-pardavimo sutarties požymių[197].</w:t>
      </w:r>
    </w:p>
    <w:p w14:paraId="37AC49B0" w14:textId="77777777" w:rsidR="00D035D7" w:rsidRPr="009914FF" w:rsidRDefault="00D035D7" w:rsidP="00D035D7">
      <w:pPr>
        <w:ind w:firstLine="709"/>
        <w:rPr>
          <w:i/>
          <w:iCs/>
        </w:rPr>
      </w:pPr>
      <w:r w:rsidRPr="009914FF">
        <w:rPr>
          <w:i/>
          <w:iCs/>
        </w:rPr>
        <w:t>Abipusio atlygintinumo principas reiškia, kad tiekėjas viešojo pirkimo sutartimi gali siekti ne tik piniginės ir ne tik tiesioginės finansinės naudos, bet gali turėti ir tikslą didinti konkurencingumą ir savo žinomumą, iš viešojo pirkimo sutarties vykdymo gauti netiesioginių pajamų[198],[199]. Vis dėlto netiesioginis (nepiniginis) atlygis ar jo dalis kaip ekonominė viešojo pirkimo-pardavimo sutarties nauda gali būti prisiimama paties tiekėjo valia, o ne pirkimo dokumentuose nustatytu perkančiosios organizacijos sprendimu[200].</w:t>
      </w:r>
    </w:p>
    <w:p w14:paraId="6793AE24" w14:textId="77777777" w:rsidR="00D035D7" w:rsidRPr="009914FF" w:rsidRDefault="00D035D7" w:rsidP="00D035D7">
      <w:pPr>
        <w:ind w:firstLine="709"/>
        <w:rPr>
          <w:i/>
          <w:iCs/>
        </w:rPr>
      </w:pPr>
      <w:r w:rsidRPr="009914FF">
        <w:rPr>
          <w:i/>
          <w:iCs/>
        </w:rPr>
        <w:t>Atsižvelgiant į tai, abipusio atlygintinumo kriterijus iš esmės apima tiek tiesiogiai perkančiajai organizacijai, tiek ir ne perkančiajai organizacijai tiekiamas prekes, paslaugas ar darbus, o tiekėjo gaunama nauda gali pasireikšti tiek atlyginimu pinigais, tiek ir netiesiogine nauda, neturinčia konkrečios tiesioginės piniginės išraiškos (didinamas konkurencingumas, žinomumas, pasiekiama masto ekonomija ir kita).“</w:t>
      </w:r>
    </w:p>
    <w:p w14:paraId="278C86AD" w14:textId="16C09F91" w:rsidR="00D035D7" w:rsidRPr="00044A35" w:rsidRDefault="00D035D7" w:rsidP="00D035D7">
      <w:pPr>
        <w:ind w:firstLine="709"/>
        <w:rPr>
          <w:szCs w:val="24"/>
        </w:rPr>
      </w:pPr>
      <w:r>
        <w:t xml:space="preserve">3. Perkančioji organizacija paaiškina, kad ji šį pirkimą atlieka trečiųjų asmenų naudai, todėl šiam pirkimo objektui taikomos VPĮ normos. Taip pat VPT yra paaiškinusi, kad </w:t>
      </w:r>
      <w:r>
        <w:rPr>
          <w:szCs w:val="24"/>
        </w:rPr>
        <w:t xml:space="preserve">Perkančiosios organizacijos į </w:t>
      </w:r>
      <w:r w:rsidRPr="00044A35">
        <w:rPr>
          <w:szCs w:val="24"/>
        </w:rPr>
        <w:t>numatomo pirkimo vertę įskaičiuojamas ir (komisinis) mokestis, kuris bus mokamas vartotojų tiesiogiai tiekėjui.</w:t>
      </w:r>
      <w:r w:rsidRPr="00EA2A57">
        <w:rPr>
          <w:szCs w:val="24"/>
        </w:rPr>
        <w:t xml:space="preserve"> </w:t>
      </w:r>
      <w:r>
        <w:rPr>
          <w:szCs w:val="24"/>
        </w:rPr>
        <w:t>N</w:t>
      </w:r>
      <w:r w:rsidRPr="00044A35">
        <w:rPr>
          <w:szCs w:val="24"/>
        </w:rPr>
        <w:t xml:space="preserve">et ir tais atvejais, kuomet tiekėjas teikdamas paslaugas, tiekdamas prekes ar atlikdamas darbus ekonominę naudą gauna iš trečiųjų asmenų, su </w:t>
      </w:r>
      <w:r w:rsidR="00973130">
        <w:rPr>
          <w:szCs w:val="24"/>
        </w:rPr>
        <w:t>P</w:t>
      </w:r>
      <w:r w:rsidRPr="00044A35">
        <w:rPr>
          <w:szCs w:val="24"/>
        </w:rPr>
        <w:t>erkančiąja organizacija sudaroma sutartis nepraranda viešojo pirkimo sutarties požymių.</w:t>
      </w:r>
    </w:p>
    <w:p w14:paraId="55176E64" w14:textId="77777777" w:rsidR="00D035D7" w:rsidRDefault="00D035D7" w:rsidP="00D035D7">
      <w:pPr>
        <w:ind w:firstLine="709"/>
        <w:rPr>
          <w:szCs w:val="24"/>
        </w:rPr>
      </w:pPr>
      <w:r w:rsidRPr="00044A35">
        <w:rPr>
          <w:szCs w:val="24"/>
        </w:rPr>
        <w:t>Įstatymo 2 straipsnio 44 dalis nustato, kad viešojo pirkimo – pardavimo sutartimi laikoma šio Įstatymo tvarka dėl ekonominės naudos vieno ar daugiau ūkio subjektų ir vienos ar kelių perkančiųjų organizacijų &lt;...&gt; sudaryta sutartis, kurios dalykas yra prekės, paslaugos ar darbai.</w:t>
      </w:r>
    </w:p>
    <w:p w14:paraId="72FA9C18" w14:textId="116E4482" w:rsidR="00D035D7" w:rsidRDefault="00AE5F64" w:rsidP="002540A5">
      <w:pPr>
        <w:ind w:firstLine="709"/>
      </w:pPr>
      <w:r>
        <w:t>4</w:t>
      </w:r>
      <w:r w:rsidR="00D035D7">
        <w:t xml:space="preserve">. Perkančioji organizacija </w:t>
      </w:r>
      <w:r w:rsidR="00BC1B5F">
        <w:t xml:space="preserve">vykdydama viešąjį pirkimą įsivertino visų pirkimo dalyvių galimą finansinę naudą ir tai numatyta bendroje pirkimo vertėje. </w:t>
      </w:r>
      <w:r w:rsidR="00CE4928">
        <w:t xml:space="preserve">Taip pat atkreipiame dėmesį, kad Perkančioji organizacija nevertina Tiekėjo ir Trečiosios šalies susitarimų, kurie buvo sudaryti prieš </w:t>
      </w:r>
      <w:r w:rsidR="00CE4928">
        <w:lastRenderedPageBreak/>
        <w:t>šį „Bilietų ir kvietimų platinimo paslauga“ pirkimą. Visiems kitiems susitarimas, kurie numatomi po sutarties „Bilietų ir kvietimų platinimo paslauga“ pasirašymo bus taikom</w:t>
      </w:r>
      <w:r w:rsidR="002540A5">
        <w:t>i</w:t>
      </w:r>
      <w:r w:rsidR="00CE4928">
        <w:t xml:space="preserve"> Tiekėjo su pasiūlymo forma pateikt</w:t>
      </w:r>
      <w:r w:rsidR="002540A5">
        <w:t>i įkainiai</w:t>
      </w:r>
      <w:r w:rsidR="00CE4928">
        <w:t xml:space="preserve">. Sutartys su Trečiosiomis šalimis bus sudaromos tarp Tiekėjo ir Trečiosiomis šalies vadovaujantis </w:t>
      </w:r>
      <w:r w:rsidR="002540A5">
        <w:t>pirkimo dokumentuose numatytais įkainiais</w:t>
      </w:r>
      <w:r w:rsidR="00747A06">
        <w:t xml:space="preserve"> ir sąlygomis. Perkančioji organizacija neturi galios įpareigoti Trečiąsias šalis </w:t>
      </w:r>
      <w:r w:rsidR="00747A06" w:rsidRPr="00747A06">
        <w:t>sudaryti bilietų platinimo sutarti</w:t>
      </w:r>
      <w:r w:rsidR="00747A06">
        <w:t>s</w:t>
      </w:r>
      <w:r w:rsidR="00747A06" w:rsidRPr="00747A06">
        <w:t xml:space="preserve"> su tiekėju</w:t>
      </w:r>
      <w:r w:rsidR="00747A06">
        <w:t xml:space="preserve">, Perkančioji organizacija tik informuos Trečiąja šalį apie galimybę sudaryti tokią sutartį. Perkančioji organizacija paaiškina, kad esant </w:t>
      </w:r>
      <w:r w:rsidR="00FC4B86">
        <w:t xml:space="preserve">minėtai </w:t>
      </w:r>
      <w:r w:rsidR="00747A06">
        <w:t xml:space="preserve">sutarčiai vykdomi šiame viešajame pirkime numatyti reikalavimai. Jei sutartis nepasirašoma, Perkančiosios organizacijos kasose </w:t>
      </w:r>
      <w:r w:rsidR="00FC4B86">
        <w:t xml:space="preserve">negalimas kito Tiekėjo </w:t>
      </w:r>
      <w:r w:rsidR="00747A06">
        <w:t>bilietų platinimas.</w:t>
      </w:r>
      <w:r w:rsidR="00FC4B86">
        <w:t xml:space="preserve"> Trečioji šalis bilietų platinimą gali organizuoti savo Tiekėjo kasose bei internetinėje erdvėje.</w:t>
      </w:r>
      <w:r w:rsidR="00747A06">
        <w:t xml:space="preserve"> </w:t>
      </w:r>
    </w:p>
    <w:p w14:paraId="67CDD98D" w14:textId="77777777" w:rsidR="00E146FA" w:rsidRDefault="00E146FA" w:rsidP="006D7BCF"/>
    <w:p w14:paraId="15E5864D" w14:textId="77777777" w:rsidR="00AE5F64" w:rsidRDefault="00AE5F64" w:rsidP="00AE5F64">
      <w:pPr>
        <w:pBdr>
          <w:top w:val="nil"/>
          <w:left w:val="nil"/>
          <w:bottom w:val="nil"/>
          <w:right w:val="nil"/>
          <w:between w:val="nil"/>
          <w:bar w:val="nil"/>
        </w:pBdr>
        <w:ind w:firstLine="709"/>
        <w:rPr>
          <w:rFonts w:eastAsia="Arial Unicode MS"/>
          <w:szCs w:val="24"/>
          <w:bdr w:val="nil"/>
        </w:rPr>
      </w:pPr>
      <w:r w:rsidRPr="006301B0">
        <w:rPr>
          <w:rFonts w:eastAsia="Arial Unicode MS"/>
          <w:szCs w:val="24"/>
          <w:bdr w:val="nil"/>
        </w:rPr>
        <w:t>Šis raštas bus siunčiamas visiems prie pirkimo prisijungusiems tiekėjams.</w:t>
      </w:r>
    </w:p>
    <w:p w14:paraId="2F6026A8" w14:textId="77777777" w:rsidR="00AE5F64" w:rsidRPr="006301B0" w:rsidRDefault="00AE5F64" w:rsidP="00AE5F64">
      <w:pPr>
        <w:pBdr>
          <w:top w:val="nil"/>
          <w:left w:val="nil"/>
          <w:bottom w:val="nil"/>
          <w:right w:val="nil"/>
          <w:between w:val="nil"/>
          <w:bar w:val="nil"/>
        </w:pBdr>
        <w:ind w:firstLine="709"/>
        <w:rPr>
          <w:rFonts w:eastAsia="Arial Unicode MS"/>
          <w:szCs w:val="24"/>
          <w:bdr w:val="nil"/>
        </w:rPr>
      </w:pPr>
    </w:p>
    <w:p w14:paraId="215DEDB3" w14:textId="77777777" w:rsidR="00AE5F64" w:rsidRPr="006301B0" w:rsidRDefault="00AE5F64" w:rsidP="00AE5F64">
      <w:pPr>
        <w:pBdr>
          <w:top w:val="nil"/>
          <w:left w:val="nil"/>
          <w:bottom w:val="nil"/>
          <w:right w:val="nil"/>
          <w:between w:val="nil"/>
          <w:bar w:val="nil"/>
        </w:pBdr>
        <w:rPr>
          <w:rFonts w:eastAsia="Arial Unicode MS"/>
          <w:szCs w:val="24"/>
          <w:bdr w:val="nil"/>
        </w:rPr>
      </w:pPr>
    </w:p>
    <w:p w14:paraId="2B74A892" w14:textId="77777777" w:rsidR="00AE5F64" w:rsidRPr="008F77BE" w:rsidRDefault="00AE5F64" w:rsidP="00AE5F64">
      <w:pPr>
        <w:pBdr>
          <w:top w:val="nil"/>
          <w:left w:val="nil"/>
          <w:bottom w:val="nil"/>
          <w:right w:val="nil"/>
          <w:between w:val="nil"/>
          <w:bar w:val="nil"/>
        </w:pBdr>
        <w:rPr>
          <w:rFonts w:eastAsia="Arial Unicode MS"/>
          <w:szCs w:val="24"/>
          <w:bdr w:val="nil"/>
        </w:rPr>
      </w:pPr>
      <w:r w:rsidRPr="006301B0">
        <w:rPr>
          <w:rFonts w:eastAsia="Arial Unicode MS"/>
          <w:szCs w:val="24"/>
          <w:bdr w:val="nil"/>
        </w:rPr>
        <w:t>Viešojo pirkimo komisija</w:t>
      </w:r>
    </w:p>
    <w:p w14:paraId="33135D9C" w14:textId="77777777" w:rsidR="009E4000" w:rsidRDefault="009E4000" w:rsidP="00AE5F64"/>
    <w:p w14:paraId="44279CEC" w14:textId="77777777" w:rsidR="009E4000" w:rsidRDefault="009E4000"/>
    <w:sectPr w:rsidR="009E4000" w:rsidSect="007555FE">
      <w:headerReference w:type="default" r:id="rId7"/>
      <w:pgSz w:w="11906" w:h="16838"/>
      <w:pgMar w:top="1134" w:right="566"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6E22F" w14:textId="77777777" w:rsidR="00F900C3" w:rsidRDefault="00F900C3" w:rsidP="009E4000">
      <w:r>
        <w:separator/>
      </w:r>
    </w:p>
  </w:endnote>
  <w:endnote w:type="continuationSeparator" w:id="0">
    <w:p w14:paraId="13F3F5EE" w14:textId="77777777" w:rsidR="00F900C3" w:rsidRDefault="00F900C3" w:rsidP="009E4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29B3C" w14:textId="77777777" w:rsidR="00F900C3" w:rsidRDefault="00F900C3" w:rsidP="009E4000">
      <w:r>
        <w:separator/>
      </w:r>
    </w:p>
  </w:footnote>
  <w:footnote w:type="continuationSeparator" w:id="0">
    <w:p w14:paraId="2BEEECE6" w14:textId="77777777" w:rsidR="00F900C3" w:rsidRDefault="00F900C3" w:rsidP="009E4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76681" w14:textId="77777777" w:rsidR="009E4000" w:rsidRDefault="009E4000" w:rsidP="009E4000">
    <w:pPr>
      <w:pStyle w:val="Antrats"/>
      <w:jc w:val="center"/>
    </w:pPr>
    <w:r>
      <w:fldChar w:fldCharType="begin"/>
    </w:r>
    <w:r>
      <w:instrText xml:space="preserve"> PAGE   \* MERGEFORMAT </w:instrText>
    </w:r>
    <w:r>
      <w:fldChar w:fldCharType="separate"/>
    </w:r>
    <w:r w:rsidR="0015017C">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2665C"/>
    <w:multiLevelType w:val="multilevel"/>
    <w:tmpl w:val="6B620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DDF7AB0"/>
    <w:multiLevelType w:val="hybridMultilevel"/>
    <w:tmpl w:val="C400CD92"/>
    <w:lvl w:ilvl="0" w:tplc="2CE80A20">
      <w:start w:val="1"/>
      <w:numFmt w:val="lowerRoman"/>
      <w:lvlText w:val="(%1)"/>
      <w:lvlJc w:val="left"/>
      <w:pPr>
        <w:ind w:left="1489" w:hanging="720"/>
      </w:pPr>
      <w:rPr>
        <w:rFonts w:hint="default"/>
      </w:rPr>
    </w:lvl>
    <w:lvl w:ilvl="1" w:tplc="04090019" w:tentative="1">
      <w:start w:val="1"/>
      <w:numFmt w:val="lowerLetter"/>
      <w:lvlText w:val="%2."/>
      <w:lvlJc w:val="left"/>
      <w:pPr>
        <w:ind w:left="1849" w:hanging="360"/>
      </w:pPr>
    </w:lvl>
    <w:lvl w:ilvl="2" w:tplc="0409001B" w:tentative="1">
      <w:start w:val="1"/>
      <w:numFmt w:val="lowerRoman"/>
      <w:lvlText w:val="%3."/>
      <w:lvlJc w:val="right"/>
      <w:pPr>
        <w:ind w:left="2569" w:hanging="180"/>
      </w:pPr>
    </w:lvl>
    <w:lvl w:ilvl="3" w:tplc="0409000F" w:tentative="1">
      <w:start w:val="1"/>
      <w:numFmt w:val="decimal"/>
      <w:lvlText w:val="%4."/>
      <w:lvlJc w:val="left"/>
      <w:pPr>
        <w:ind w:left="3289" w:hanging="360"/>
      </w:pPr>
    </w:lvl>
    <w:lvl w:ilvl="4" w:tplc="04090019" w:tentative="1">
      <w:start w:val="1"/>
      <w:numFmt w:val="lowerLetter"/>
      <w:lvlText w:val="%5."/>
      <w:lvlJc w:val="left"/>
      <w:pPr>
        <w:ind w:left="4009" w:hanging="360"/>
      </w:pPr>
    </w:lvl>
    <w:lvl w:ilvl="5" w:tplc="0409001B" w:tentative="1">
      <w:start w:val="1"/>
      <w:numFmt w:val="lowerRoman"/>
      <w:lvlText w:val="%6."/>
      <w:lvlJc w:val="right"/>
      <w:pPr>
        <w:ind w:left="4729" w:hanging="180"/>
      </w:pPr>
    </w:lvl>
    <w:lvl w:ilvl="6" w:tplc="0409000F" w:tentative="1">
      <w:start w:val="1"/>
      <w:numFmt w:val="decimal"/>
      <w:lvlText w:val="%7."/>
      <w:lvlJc w:val="left"/>
      <w:pPr>
        <w:ind w:left="5449" w:hanging="360"/>
      </w:pPr>
    </w:lvl>
    <w:lvl w:ilvl="7" w:tplc="04090019" w:tentative="1">
      <w:start w:val="1"/>
      <w:numFmt w:val="lowerLetter"/>
      <w:lvlText w:val="%8."/>
      <w:lvlJc w:val="left"/>
      <w:pPr>
        <w:ind w:left="6169" w:hanging="360"/>
      </w:pPr>
    </w:lvl>
    <w:lvl w:ilvl="8" w:tplc="0409001B" w:tentative="1">
      <w:start w:val="1"/>
      <w:numFmt w:val="lowerRoman"/>
      <w:lvlText w:val="%9."/>
      <w:lvlJc w:val="right"/>
      <w:pPr>
        <w:ind w:left="6889" w:hanging="180"/>
      </w:pPr>
    </w:lvl>
  </w:abstractNum>
  <w:abstractNum w:abstractNumId="2" w15:restartNumberingAfterBreak="0">
    <w:nsid w:val="7EE0338F"/>
    <w:multiLevelType w:val="multilevel"/>
    <w:tmpl w:val="79621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5031801">
    <w:abstractNumId w:val="0"/>
  </w:num>
  <w:num w:numId="2" w16cid:durableId="589853003">
    <w:abstractNumId w:val="2"/>
  </w:num>
  <w:num w:numId="3" w16cid:durableId="1487436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E8D"/>
    <w:rsid w:val="00012E19"/>
    <w:rsid w:val="00054E8D"/>
    <w:rsid w:val="000C63F4"/>
    <w:rsid w:val="000D2E85"/>
    <w:rsid w:val="000E485C"/>
    <w:rsid w:val="00100897"/>
    <w:rsid w:val="00135388"/>
    <w:rsid w:val="0015017C"/>
    <w:rsid w:val="00192787"/>
    <w:rsid w:val="001E2A1A"/>
    <w:rsid w:val="0022218A"/>
    <w:rsid w:val="00234048"/>
    <w:rsid w:val="0025207F"/>
    <w:rsid w:val="002540A5"/>
    <w:rsid w:val="00257D40"/>
    <w:rsid w:val="0027585F"/>
    <w:rsid w:val="002823D1"/>
    <w:rsid w:val="00296C69"/>
    <w:rsid w:val="002B08E9"/>
    <w:rsid w:val="00385210"/>
    <w:rsid w:val="003C0925"/>
    <w:rsid w:val="003C210D"/>
    <w:rsid w:val="0044721A"/>
    <w:rsid w:val="004651A6"/>
    <w:rsid w:val="00474C21"/>
    <w:rsid w:val="00486FBE"/>
    <w:rsid w:val="004B7398"/>
    <w:rsid w:val="004D7E47"/>
    <w:rsid w:val="0051213C"/>
    <w:rsid w:val="005273F0"/>
    <w:rsid w:val="00581DB5"/>
    <w:rsid w:val="005B334C"/>
    <w:rsid w:val="005D4219"/>
    <w:rsid w:val="005F6383"/>
    <w:rsid w:val="00620198"/>
    <w:rsid w:val="00624B01"/>
    <w:rsid w:val="0062705B"/>
    <w:rsid w:val="00666281"/>
    <w:rsid w:val="006966F2"/>
    <w:rsid w:val="006B1C7B"/>
    <w:rsid w:val="006D7BCF"/>
    <w:rsid w:val="007207C8"/>
    <w:rsid w:val="00747A06"/>
    <w:rsid w:val="007555FE"/>
    <w:rsid w:val="007A78B1"/>
    <w:rsid w:val="007E37F2"/>
    <w:rsid w:val="007E473D"/>
    <w:rsid w:val="007F7907"/>
    <w:rsid w:val="008142A2"/>
    <w:rsid w:val="008171C6"/>
    <w:rsid w:val="008658AF"/>
    <w:rsid w:val="00866E65"/>
    <w:rsid w:val="00876E42"/>
    <w:rsid w:val="00876E73"/>
    <w:rsid w:val="00880CED"/>
    <w:rsid w:val="0089509E"/>
    <w:rsid w:val="00897E89"/>
    <w:rsid w:val="008A46A6"/>
    <w:rsid w:val="008C0277"/>
    <w:rsid w:val="008D0A7A"/>
    <w:rsid w:val="008E727A"/>
    <w:rsid w:val="009209F1"/>
    <w:rsid w:val="0094622B"/>
    <w:rsid w:val="00957C2D"/>
    <w:rsid w:val="00973130"/>
    <w:rsid w:val="00975382"/>
    <w:rsid w:val="00984140"/>
    <w:rsid w:val="009914FF"/>
    <w:rsid w:val="009E4000"/>
    <w:rsid w:val="00A33F9E"/>
    <w:rsid w:val="00A507CE"/>
    <w:rsid w:val="00A53110"/>
    <w:rsid w:val="00A91D13"/>
    <w:rsid w:val="00A93123"/>
    <w:rsid w:val="00AE5F64"/>
    <w:rsid w:val="00B64AA3"/>
    <w:rsid w:val="00BA3ABF"/>
    <w:rsid w:val="00BC1B5F"/>
    <w:rsid w:val="00BC2652"/>
    <w:rsid w:val="00BD0A6B"/>
    <w:rsid w:val="00C731BA"/>
    <w:rsid w:val="00CC0F77"/>
    <w:rsid w:val="00CC78F6"/>
    <w:rsid w:val="00CE4928"/>
    <w:rsid w:val="00D035D7"/>
    <w:rsid w:val="00D14E22"/>
    <w:rsid w:val="00D20EFD"/>
    <w:rsid w:val="00D625D8"/>
    <w:rsid w:val="00D710DE"/>
    <w:rsid w:val="00DA6273"/>
    <w:rsid w:val="00E03EE2"/>
    <w:rsid w:val="00E146FA"/>
    <w:rsid w:val="00E449D3"/>
    <w:rsid w:val="00E62042"/>
    <w:rsid w:val="00E7526C"/>
    <w:rsid w:val="00EA32E9"/>
    <w:rsid w:val="00F465DD"/>
    <w:rsid w:val="00F5461D"/>
    <w:rsid w:val="00F61B03"/>
    <w:rsid w:val="00F75D1E"/>
    <w:rsid w:val="00F900C3"/>
    <w:rsid w:val="00FC1BA1"/>
    <w:rsid w:val="00FC4B86"/>
    <w:rsid w:val="00FE1C1C"/>
    <w:rsid w:val="00FE35FA"/>
    <w:rsid w:val="00FE3A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F28BE"/>
  <w15:chartTrackingRefBased/>
  <w15:docId w15:val="{0ADB42DE-22C3-4081-A5AB-E45F0CA3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42A2"/>
    <w:pPr>
      <w:jc w:val="both"/>
    </w:pPr>
    <w:rPr>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9E4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List Paragraph111,Bullet EY,Sąrašo pastraipa1,List Paragraph Red,Buletai,List Paragraph21,List Paragraph2,lp1,Bullet 1,Use Case List Paragraph,List Paragraph1,Lentele"/>
    <w:basedOn w:val="prastasis"/>
    <w:link w:val="SraopastraipaDiagrama"/>
    <w:uiPriority w:val="34"/>
    <w:qFormat/>
    <w:rsid w:val="009E4000"/>
    <w:pPr>
      <w:ind w:left="720"/>
      <w:contextualSpacing/>
    </w:pPr>
  </w:style>
  <w:style w:type="paragraph" w:styleId="Antrats">
    <w:name w:val="header"/>
    <w:basedOn w:val="prastasis"/>
    <w:link w:val="AntratsDiagrama"/>
    <w:uiPriority w:val="99"/>
    <w:unhideWhenUsed/>
    <w:rsid w:val="009E4000"/>
    <w:pPr>
      <w:tabs>
        <w:tab w:val="center" w:pos="4819"/>
        <w:tab w:val="right" w:pos="9638"/>
      </w:tabs>
    </w:pPr>
  </w:style>
  <w:style w:type="character" w:customStyle="1" w:styleId="AntratsDiagrama">
    <w:name w:val="Antraštės Diagrama"/>
    <w:basedOn w:val="Numatytasispastraiposriftas"/>
    <w:link w:val="Antrats"/>
    <w:uiPriority w:val="99"/>
    <w:rsid w:val="009E4000"/>
  </w:style>
  <w:style w:type="paragraph" w:styleId="Porat">
    <w:name w:val="footer"/>
    <w:basedOn w:val="prastasis"/>
    <w:link w:val="PoratDiagrama"/>
    <w:uiPriority w:val="99"/>
    <w:unhideWhenUsed/>
    <w:rsid w:val="009E4000"/>
    <w:pPr>
      <w:tabs>
        <w:tab w:val="center" w:pos="4819"/>
        <w:tab w:val="right" w:pos="9638"/>
      </w:tabs>
    </w:pPr>
  </w:style>
  <w:style w:type="character" w:customStyle="1" w:styleId="PoratDiagrama">
    <w:name w:val="Poraštė Diagrama"/>
    <w:basedOn w:val="Numatytasispastraiposriftas"/>
    <w:link w:val="Porat"/>
    <w:uiPriority w:val="99"/>
    <w:rsid w:val="009E4000"/>
  </w:style>
  <w:style w:type="character" w:customStyle="1" w:styleId="SraopastraipaDiagrama">
    <w:name w:val="Sąrašo pastraipa Diagrama"/>
    <w:aliases w:val="Numbering Diagrama,ERP-List Paragraph Diagrama,List Paragraph11 Diagrama,List Paragraph111 Diagrama,Bullet EY Diagrama,Sąrašo pastraipa1 Diagrama,List Paragraph Red Diagrama,Buletai Diagrama,List Paragraph21 Diagrama"/>
    <w:link w:val="Sraopastraipa"/>
    <w:uiPriority w:val="34"/>
    <w:locked/>
    <w:rsid w:val="008E727A"/>
    <w:rPr>
      <w:sz w:val="24"/>
      <w:szCs w:val="22"/>
      <w:lang w:eastAsia="en-US"/>
    </w:rPr>
  </w:style>
  <w:style w:type="character" w:styleId="Hipersaitas">
    <w:name w:val="Hyperlink"/>
    <w:basedOn w:val="Numatytasispastraiposriftas"/>
    <w:uiPriority w:val="99"/>
    <w:unhideWhenUsed/>
    <w:rsid w:val="00F5461D"/>
    <w:rPr>
      <w:color w:val="0563C1" w:themeColor="hyperlink"/>
      <w:u w:val="single"/>
    </w:rPr>
  </w:style>
  <w:style w:type="character" w:styleId="Neapdorotaspaminjimas">
    <w:name w:val="Unresolved Mention"/>
    <w:basedOn w:val="Numatytasispastraiposriftas"/>
    <w:uiPriority w:val="99"/>
    <w:semiHidden/>
    <w:unhideWhenUsed/>
    <w:rsid w:val="00F546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1758">
      <w:bodyDiv w:val="1"/>
      <w:marLeft w:val="0"/>
      <w:marRight w:val="0"/>
      <w:marTop w:val="0"/>
      <w:marBottom w:val="0"/>
      <w:divBdr>
        <w:top w:val="none" w:sz="0" w:space="0" w:color="auto"/>
        <w:left w:val="none" w:sz="0" w:space="0" w:color="auto"/>
        <w:bottom w:val="none" w:sz="0" w:space="0" w:color="auto"/>
        <w:right w:val="none" w:sz="0" w:space="0" w:color="auto"/>
      </w:divBdr>
    </w:div>
    <w:div w:id="597177378">
      <w:bodyDiv w:val="1"/>
      <w:marLeft w:val="0"/>
      <w:marRight w:val="0"/>
      <w:marTop w:val="0"/>
      <w:marBottom w:val="0"/>
      <w:divBdr>
        <w:top w:val="none" w:sz="0" w:space="0" w:color="auto"/>
        <w:left w:val="none" w:sz="0" w:space="0" w:color="auto"/>
        <w:bottom w:val="none" w:sz="0" w:space="0" w:color="auto"/>
        <w:right w:val="none" w:sz="0" w:space="0" w:color="auto"/>
      </w:divBdr>
    </w:div>
    <w:div w:id="1276521286">
      <w:bodyDiv w:val="1"/>
      <w:marLeft w:val="0"/>
      <w:marRight w:val="0"/>
      <w:marTop w:val="0"/>
      <w:marBottom w:val="0"/>
      <w:divBdr>
        <w:top w:val="none" w:sz="0" w:space="0" w:color="auto"/>
        <w:left w:val="none" w:sz="0" w:space="0" w:color="auto"/>
        <w:bottom w:val="none" w:sz="0" w:space="0" w:color="auto"/>
        <w:right w:val="none" w:sz="0" w:space="0" w:color="auto"/>
      </w:divBdr>
      <w:divsChild>
        <w:div w:id="121192708">
          <w:marLeft w:val="0"/>
          <w:marRight w:val="0"/>
          <w:marTop w:val="0"/>
          <w:marBottom w:val="0"/>
          <w:divBdr>
            <w:top w:val="none" w:sz="0" w:space="0" w:color="auto"/>
            <w:left w:val="none" w:sz="0" w:space="0" w:color="auto"/>
            <w:bottom w:val="none" w:sz="0" w:space="0" w:color="auto"/>
            <w:right w:val="none" w:sz="0" w:space="0" w:color="auto"/>
          </w:divBdr>
        </w:div>
        <w:div w:id="1525433975">
          <w:marLeft w:val="0"/>
          <w:marRight w:val="0"/>
          <w:marTop w:val="0"/>
          <w:marBottom w:val="0"/>
          <w:divBdr>
            <w:top w:val="none" w:sz="0" w:space="0" w:color="auto"/>
            <w:left w:val="none" w:sz="0" w:space="0" w:color="auto"/>
            <w:bottom w:val="none" w:sz="0" w:space="0" w:color="auto"/>
            <w:right w:val="none" w:sz="0" w:space="0" w:color="auto"/>
          </w:divBdr>
        </w:div>
        <w:div w:id="1737975505">
          <w:marLeft w:val="0"/>
          <w:marRight w:val="0"/>
          <w:marTop w:val="0"/>
          <w:marBottom w:val="0"/>
          <w:divBdr>
            <w:top w:val="none" w:sz="0" w:space="0" w:color="auto"/>
            <w:left w:val="none" w:sz="0" w:space="0" w:color="auto"/>
            <w:bottom w:val="none" w:sz="0" w:space="0" w:color="auto"/>
            <w:right w:val="none" w:sz="0" w:space="0" w:color="auto"/>
          </w:divBdr>
        </w:div>
        <w:div w:id="360134925">
          <w:marLeft w:val="0"/>
          <w:marRight w:val="0"/>
          <w:marTop w:val="0"/>
          <w:marBottom w:val="0"/>
          <w:divBdr>
            <w:top w:val="none" w:sz="0" w:space="0" w:color="auto"/>
            <w:left w:val="none" w:sz="0" w:space="0" w:color="auto"/>
            <w:bottom w:val="none" w:sz="0" w:space="0" w:color="auto"/>
            <w:right w:val="none" w:sz="0" w:space="0" w:color="auto"/>
          </w:divBdr>
        </w:div>
        <w:div w:id="862405669">
          <w:marLeft w:val="0"/>
          <w:marRight w:val="0"/>
          <w:marTop w:val="0"/>
          <w:marBottom w:val="0"/>
          <w:divBdr>
            <w:top w:val="none" w:sz="0" w:space="0" w:color="auto"/>
            <w:left w:val="none" w:sz="0" w:space="0" w:color="auto"/>
            <w:bottom w:val="none" w:sz="0" w:space="0" w:color="auto"/>
            <w:right w:val="none" w:sz="0" w:space="0" w:color="auto"/>
          </w:divBdr>
        </w:div>
      </w:divsChild>
    </w:div>
    <w:div w:id="175816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5921</Words>
  <Characters>3375</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Deimante</dc:creator>
  <cp:keywords/>
  <cp:lastModifiedBy>PC31</cp:lastModifiedBy>
  <cp:revision>3</cp:revision>
  <dcterms:created xsi:type="dcterms:W3CDTF">2025-07-18T06:09:00Z</dcterms:created>
  <dcterms:modified xsi:type="dcterms:W3CDTF">2025-07-18T06:22:00Z</dcterms:modified>
  <cp:contentStatus/>
</cp:coreProperties>
</file>