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959B" w14:textId="77777777" w:rsidR="00B41381" w:rsidRDefault="00B41381" w:rsidP="00B41381">
      <w:pPr>
        <w:pStyle w:val="Header"/>
        <w:jc w:val="center"/>
        <w:rPr>
          <w:b/>
          <w:color w:val="002060"/>
          <w:szCs w:val="24"/>
        </w:rPr>
      </w:pPr>
    </w:p>
    <w:p w14:paraId="1B748533" w14:textId="3E41A2FA" w:rsidR="00B41381" w:rsidRDefault="00B41381" w:rsidP="00B41381">
      <w:pPr>
        <w:pStyle w:val="Header"/>
        <w:jc w:val="center"/>
        <w:rPr>
          <w:b/>
          <w:color w:val="002060"/>
          <w:szCs w:val="24"/>
        </w:rPr>
      </w:pPr>
    </w:p>
    <w:p w14:paraId="4722B20B" w14:textId="77777777" w:rsidR="00B41381" w:rsidRDefault="00B41381" w:rsidP="00B41381">
      <w:pPr>
        <w:pStyle w:val="Header"/>
        <w:jc w:val="center"/>
        <w:rPr>
          <w:b/>
          <w:color w:val="002060"/>
          <w:szCs w:val="24"/>
        </w:rPr>
      </w:pPr>
    </w:p>
    <w:p w14:paraId="3334AD9A" w14:textId="6026AF5F" w:rsidR="00B41381" w:rsidRDefault="00B41381" w:rsidP="00B41381">
      <w:pPr>
        <w:pStyle w:val="Header"/>
        <w:jc w:val="center"/>
        <w:rPr>
          <w:b/>
          <w:color w:val="002060"/>
          <w:szCs w:val="24"/>
        </w:rPr>
      </w:pPr>
      <w:r>
        <w:rPr>
          <w:b/>
          <w:color w:val="002060"/>
          <w:szCs w:val="24"/>
        </w:rPr>
        <w:t>NACIONALINIS VĖŽIO INSTITUTAS</w:t>
      </w:r>
    </w:p>
    <w:p w14:paraId="06F4B4F5" w14:textId="282CC349" w:rsidR="00B41381" w:rsidRDefault="00B41381" w:rsidP="00B41381">
      <w:pPr>
        <w:pStyle w:val="Header"/>
        <w:jc w:val="center"/>
        <w:rPr>
          <w:color w:val="002060"/>
          <w:sz w:val="16"/>
          <w:szCs w:val="16"/>
        </w:rPr>
      </w:pPr>
      <w:r>
        <w:rPr>
          <w:noProof/>
        </w:rPr>
        <w:drawing>
          <wp:inline distT="0" distB="0" distL="0" distR="0" wp14:anchorId="584C9718" wp14:editId="0D4D49D1">
            <wp:extent cx="1614805" cy="659130"/>
            <wp:effectExtent l="0" t="0" r="4445" b="7620"/>
            <wp:docPr id="7"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NVI.jpg"/>
                    <pic:cNvPicPr>
                      <a:picLocks noChangeAspect="1"/>
                    </pic:cNvPicPr>
                  </pic:nvPicPr>
                  <pic:blipFill>
                    <a:blip r:embed="rId8">
                      <a:lum contrast="10000"/>
                    </a:blip>
                    <a:srcRect/>
                    <a:stretch>
                      <a:fillRect/>
                    </a:stretch>
                  </pic:blipFill>
                  <pic:spPr bwMode="auto">
                    <a:xfrm>
                      <a:off x="0" y="0"/>
                      <a:ext cx="1614805" cy="659130"/>
                    </a:xfrm>
                    <a:prstGeom prst="rect">
                      <a:avLst/>
                    </a:prstGeom>
                    <a:noFill/>
                    <a:ln w="9525">
                      <a:noFill/>
                      <a:miter lim="800000"/>
                      <a:headEnd/>
                      <a:tailEnd/>
                    </a:ln>
                  </pic:spPr>
                </pic:pic>
              </a:graphicData>
            </a:graphic>
          </wp:inline>
        </w:drawing>
      </w:r>
    </w:p>
    <w:p w14:paraId="74CEBD78" w14:textId="420A57F7" w:rsidR="00B41381" w:rsidRPr="00B41381" w:rsidRDefault="00B41381" w:rsidP="00B41381">
      <w:pPr>
        <w:pStyle w:val="Header"/>
        <w:pBdr>
          <w:bottom w:val="single" w:sz="12" w:space="1" w:color="auto"/>
        </w:pBdr>
        <w:jc w:val="center"/>
        <w:rPr>
          <w:color w:val="002060"/>
          <w:sz w:val="22"/>
        </w:rPr>
      </w:pPr>
      <w:r w:rsidRPr="00B41381">
        <w:rPr>
          <w:color w:val="002060"/>
          <w:sz w:val="22"/>
        </w:rPr>
        <w:t>Viešoji įstaiga, Santariškių  g. 1, LT-08406 Vilnius, tel.</w:t>
      </w:r>
      <w:r w:rsidRPr="00B41381">
        <w:rPr>
          <w:noProof/>
          <w:sz w:val="22"/>
        </w:rPr>
        <w:t xml:space="preserve"> </w:t>
      </w:r>
      <w:r w:rsidRPr="00B41381">
        <w:rPr>
          <w:color w:val="002060"/>
          <w:sz w:val="22"/>
        </w:rPr>
        <w:t xml:space="preserve">+370 5 278 6700, faks.+370 5 272 0164, </w:t>
      </w:r>
    </w:p>
    <w:p w14:paraId="3A4793B7" w14:textId="77777777" w:rsidR="00B41381" w:rsidRPr="00B41381" w:rsidRDefault="00B41381" w:rsidP="00B41381">
      <w:pPr>
        <w:pStyle w:val="Header"/>
        <w:pBdr>
          <w:bottom w:val="single" w:sz="12" w:space="1" w:color="auto"/>
        </w:pBdr>
        <w:jc w:val="center"/>
        <w:rPr>
          <w:color w:val="002060"/>
          <w:sz w:val="22"/>
        </w:rPr>
      </w:pPr>
      <w:r w:rsidRPr="00B41381">
        <w:rPr>
          <w:color w:val="002060"/>
          <w:sz w:val="22"/>
        </w:rPr>
        <w:t>el.p. administracija</w:t>
      </w:r>
      <w:r w:rsidRPr="00B41381">
        <w:rPr>
          <w:color w:val="002060"/>
          <w:sz w:val="22"/>
          <w:lang w:val="en-US"/>
        </w:rPr>
        <w:t xml:space="preserve">@nvi.lt </w:t>
      </w:r>
    </w:p>
    <w:p w14:paraId="66FA9557" w14:textId="77777777" w:rsidR="00B41381" w:rsidRPr="00B41381" w:rsidRDefault="00B41381" w:rsidP="00B41381">
      <w:pPr>
        <w:pStyle w:val="Header"/>
        <w:pBdr>
          <w:bottom w:val="single" w:sz="12" w:space="1" w:color="auto"/>
        </w:pBdr>
        <w:jc w:val="center"/>
        <w:rPr>
          <w:color w:val="002060"/>
          <w:sz w:val="22"/>
        </w:rPr>
      </w:pPr>
      <w:r w:rsidRPr="00B41381">
        <w:rPr>
          <w:color w:val="002060"/>
          <w:sz w:val="22"/>
        </w:rPr>
        <w:t>Duomenys kaupiami ir saugomi Juridinių asmenų registre, kodas 111959420</w:t>
      </w:r>
    </w:p>
    <w:p w14:paraId="48C843CE" w14:textId="2A537028" w:rsidR="002F07BC" w:rsidRDefault="002F07BC" w:rsidP="00202898">
      <w:pPr>
        <w:tabs>
          <w:tab w:val="center" w:pos="4819"/>
          <w:tab w:val="right" w:pos="9638"/>
        </w:tabs>
        <w:spacing w:after="0" w:line="240" w:lineRule="auto"/>
        <w:jc w:val="center"/>
        <w:rPr>
          <w:b/>
        </w:rPr>
      </w:pPr>
    </w:p>
    <w:p w14:paraId="48AAEDEB" w14:textId="77777777" w:rsidR="00202898" w:rsidRPr="00202898" w:rsidRDefault="00202898" w:rsidP="00B41381">
      <w:pPr>
        <w:spacing w:after="0" w:line="240" w:lineRule="auto"/>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5E27A9E1" w:rsidR="00202898" w:rsidRPr="00202898" w:rsidRDefault="00202898" w:rsidP="00202898">
      <w:pPr>
        <w:tabs>
          <w:tab w:val="left" w:pos="6930"/>
        </w:tabs>
        <w:spacing w:after="0" w:line="240" w:lineRule="auto"/>
        <w:ind w:left="6096" w:right="-1066"/>
        <w:rPr>
          <w:i/>
        </w:rPr>
      </w:pPr>
      <w:r w:rsidRPr="00202898">
        <w:rPr>
          <w:rFonts w:cs="Calibri"/>
          <w:szCs w:val="24"/>
        </w:rPr>
        <w:t>2025-0</w:t>
      </w:r>
      <w:r w:rsidR="009963E8">
        <w:rPr>
          <w:rFonts w:cs="Calibri"/>
          <w:szCs w:val="24"/>
        </w:rPr>
        <w:t>7-14</w:t>
      </w:r>
      <w:r w:rsidRPr="00202898">
        <w:rPr>
          <w:rFonts w:cs="Calibri"/>
          <w:szCs w:val="24"/>
        </w:rPr>
        <w:t xml:space="preserve"> protokolu Nr. V31-</w:t>
      </w:r>
      <w:r w:rsidR="009963E8">
        <w:rPr>
          <w:rFonts w:cs="Calibri"/>
          <w:szCs w:val="24"/>
        </w:rPr>
        <w:t>6</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3F276E5C" w:rsidR="00202898" w:rsidRPr="009963E8" w:rsidRDefault="00202898" w:rsidP="009963E8">
      <w:pPr>
        <w:spacing w:after="0" w:line="240" w:lineRule="auto"/>
        <w:jc w:val="center"/>
        <w:rPr>
          <w:b/>
          <w:szCs w:val="24"/>
        </w:rPr>
      </w:pPr>
      <w:r w:rsidRPr="00202898">
        <w:rPr>
          <w:b/>
          <w:bCs/>
          <w:color w:val="000000"/>
          <w:szCs w:val="24"/>
        </w:rPr>
        <w:t>„</w:t>
      </w:r>
      <w:r w:rsidR="009963E8" w:rsidRPr="009963E8">
        <w:rPr>
          <w:b/>
          <w:szCs w:val="24"/>
        </w:rPr>
        <w:t xml:space="preserve">PASTATO TECHNINĖS PRIEŽIŪROS IR REMONTO PASLAUGOS </w:t>
      </w:r>
      <w:r w:rsidR="00722E0C" w:rsidRPr="00722E0C">
        <w:rPr>
          <w:b/>
          <w:szCs w:val="24"/>
        </w:rPr>
        <w:t>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468E16F" w14:textId="684391D1" w:rsidR="00202898" w:rsidRPr="00202898" w:rsidRDefault="00202898" w:rsidP="00EE73D7">
      <w:pPr>
        <w:tabs>
          <w:tab w:val="center" w:pos="4822"/>
          <w:tab w:val="left" w:pos="6298"/>
        </w:tabs>
        <w:spacing w:after="0" w:line="240" w:lineRule="auto"/>
        <w:rPr>
          <w:szCs w:val="24"/>
        </w:rPr>
      </w:pPr>
      <w:r w:rsidRPr="00202898">
        <w:rPr>
          <w:szCs w:val="24"/>
        </w:rPr>
        <w:tab/>
        <w:t>2025-</w:t>
      </w:r>
      <w:r w:rsidR="0001022D">
        <w:rPr>
          <w:szCs w:val="24"/>
        </w:rPr>
        <w:t>0</w:t>
      </w:r>
      <w:r w:rsidR="009963E8">
        <w:rPr>
          <w:szCs w:val="24"/>
        </w:rPr>
        <w:t>7-1</w:t>
      </w:r>
      <w:r w:rsidR="00EE73D7">
        <w:rPr>
          <w:szCs w:val="24"/>
        </w:rPr>
        <w:t>6</w:t>
      </w:r>
      <w:r w:rsidRPr="00202898">
        <w:rPr>
          <w:szCs w:val="24"/>
        </w:rPr>
        <w:t xml:space="preserve"> Nr. V30-</w:t>
      </w:r>
      <w:r w:rsidR="00EE73D7">
        <w:rPr>
          <w:szCs w:val="24"/>
        </w:rPr>
        <w:t>7</w:t>
      </w: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04769505" w:rsidR="00FA1349" w:rsidRPr="00A61252" w:rsidRDefault="00FA1349" w:rsidP="000F79DD">
            <w:pPr>
              <w:spacing w:after="0" w:line="240" w:lineRule="auto"/>
              <w:rPr>
                <w:b/>
              </w:rPr>
            </w:pPr>
            <w:r w:rsidRPr="00A46309">
              <w:t>PASIŪLYMŲ GALIOJIMO UŽTIKRINIMAS</w:t>
            </w:r>
            <w:r>
              <w:t>................................................................. 1</w:t>
            </w:r>
            <w:r w:rsidR="00D23931">
              <w:t>2</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277643EB"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w:t>
            </w:r>
            <w:r w:rsidR="00D23931">
              <w:rPr>
                <w:szCs w:val="24"/>
              </w:rPr>
              <w:t>5</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63AB1096" w:rsidR="00FA1349" w:rsidRPr="00765E25" w:rsidRDefault="00FA1349" w:rsidP="000F79DD">
            <w:pPr>
              <w:spacing w:after="0" w:line="240" w:lineRule="auto"/>
              <w:rPr>
                <w:bCs/>
              </w:rPr>
            </w:pPr>
            <w:r>
              <w:rPr>
                <w:bCs/>
              </w:rPr>
              <w:t>PRETENZIJŲ IR SKUNDŲ NAGRINĖJIMAS.......</w:t>
            </w:r>
            <w:r w:rsidRPr="00765E25">
              <w:rPr>
                <w:bCs/>
              </w:rPr>
              <w:t>.........................................................</w:t>
            </w:r>
            <w:r>
              <w:rPr>
                <w:bCs/>
              </w:rPr>
              <w:t xml:space="preserve"> 1</w:t>
            </w:r>
            <w:r w:rsidR="00D23931">
              <w:rPr>
                <w:bCs/>
              </w:rPr>
              <w:t>6</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23D4B449" w14:textId="2B67A50A" w:rsidR="002F07BC" w:rsidRPr="002F07BC" w:rsidRDefault="002F07BC" w:rsidP="0001022D">
      <w:pPr>
        <w:keepNext/>
        <w:spacing w:after="0" w:line="240" w:lineRule="auto"/>
        <w:jc w:val="both"/>
        <w:rPr>
          <w:sz w:val="22"/>
        </w:rPr>
      </w:pPr>
      <w:r>
        <w:rPr>
          <w:sz w:val="22"/>
        </w:rPr>
        <w:t xml:space="preserve">1.1. </w:t>
      </w:r>
      <w:r w:rsidR="009963E8">
        <w:rPr>
          <w:sz w:val="22"/>
        </w:rPr>
        <w:t>Nacionalinis vėžio institutas, Santariškių g. 1, LT-08406 Vilnius, kodas 111959420 (toliau vadinamas – perkančioji organizacija ir NVI), vykdydamas viešąjį pirkimą (toliau – pirkimas)</w:t>
      </w:r>
      <w:r w:rsidRPr="002F07BC">
        <w:rPr>
          <w:sz w:val="22"/>
        </w:rPr>
        <w:t xml:space="preserve">,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3F3DB1A9" w14:textId="16C609C3" w:rsidR="002050AE" w:rsidRDefault="00722E0C" w:rsidP="00722E0C">
      <w:pPr>
        <w:spacing w:after="0" w:line="240" w:lineRule="auto"/>
        <w:jc w:val="both"/>
        <w:rPr>
          <w:color w:val="000000" w:themeColor="text1"/>
          <w:sz w:val="22"/>
        </w:rPr>
      </w:pPr>
      <w:r w:rsidRPr="00722E0C">
        <w:rPr>
          <w:color w:val="000000" w:themeColor="text1"/>
          <w:sz w:val="22"/>
        </w:rPr>
        <w:t xml:space="preserve">2.4. </w:t>
      </w:r>
      <w:r w:rsidR="002F1E01" w:rsidRPr="002F1E01">
        <w:rPr>
          <w:color w:val="000000" w:themeColor="text1"/>
          <w:sz w:val="22"/>
        </w:rPr>
        <w:t>Tiekėjas pasiūlym</w:t>
      </w:r>
      <w:r w:rsidR="002F1E01">
        <w:rPr>
          <w:color w:val="000000" w:themeColor="text1"/>
          <w:sz w:val="22"/>
        </w:rPr>
        <w:t>ą</w:t>
      </w:r>
      <w:r w:rsidR="002F1E01" w:rsidRPr="002F1E01">
        <w:rPr>
          <w:color w:val="000000" w:themeColor="text1"/>
          <w:sz w:val="22"/>
        </w:rPr>
        <w:t xml:space="preserve"> teik</w:t>
      </w:r>
      <w:r w:rsidR="002F1E01">
        <w:rPr>
          <w:color w:val="000000" w:themeColor="text1"/>
          <w:sz w:val="22"/>
        </w:rPr>
        <w:t>ia</w:t>
      </w:r>
      <w:r w:rsidR="002050AE">
        <w:rPr>
          <w:color w:val="000000" w:themeColor="text1"/>
          <w:sz w:val="22"/>
        </w:rPr>
        <w:t xml:space="preserve"> </w:t>
      </w:r>
      <w:r w:rsidR="002F1E01" w:rsidRPr="002F1E01">
        <w:rPr>
          <w:color w:val="000000" w:themeColor="text1"/>
          <w:sz w:val="22"/>
        </w:rPr>
        <w:t>užpildy</w:t>
      </w:r>
      <w:r w:rsidR="002050AE">
        <w:rPr>
          <w:color w:val="000000" w:themeColor="text1"/>
          <w:sz w:val="22"/>
        </w:rPr>
        <w:t>damas</w:t>
      </w:r>
      <w:r w:rsidR="002F1E01" w:rsidRPr="002F1E01">
        <w:rPr>
          <w:color w:val="000000" w:themeColor="text1"/>
          <w:sz w:val="22"/>
        </w:rPr>
        <w:t xml:space="preserve"> </w:t>
      </w:r>
      <w:r w:rsidR="002050AE">
        <w:rPr>
          <w:color w:val="000000" w:themeColor="text1"/>
          <w:sz w:val="22"/>
        </w:rPr>
        <w:t>SPS 2 priedą</w:t>
      </w:r>
      <w:r w:rsidR="002F1E01" w:rsidRPr="002F1E01">
        <w:rPr>
          <w:color w:val="000000" w:themeColor="text1"/>
          <w:sz w:val="22"/>
        </w:rPr>
        <w:t xml:space="preserve">. Dokumentų pateikimo tvarka nurodyta SPS </w:t>
      </w:r>
      <w:r w:rsidR="002050AE">
        <w:rPr>
          <w:color w:val="000000" w:themeColor="text1"/>
          <w:sz w:val="22"/>
        </w:rPr>
        <w:t>22</w:t>
      </w:r>
      <w:r w:rsidR="002F1E01" w:rsidRPr="002F1E01">
        <w:rPr>
          <w:color w:val="000000" w:themeColor="text1"/>
          <w:sz w:val="22"/>
        </w:rPr>
        <w:t xml:space="preserve"> p.</w:t>
      </w:r>
    </w:p>
    <w:p w14:paraId="421C98E0" w14:textId="763DE316"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5E21AE4D" w:rsidR="00051C24" w:rsidRDefault="00722E0C" w:rsidP="00722E0C">
      <w:pPr>
        <w:spacing w:after="0" w:line="240" w:lineRule="auto"/>
        <w:jc w:val="both"/>
        <w:rPr>
          <w:color w:val="000000" w:themeColor="text1"/>
          <w:sz w:val="22"/>
        </w:rPr>
      </w:pPr>
      <w:r w:rsidRPr="00722E0C">
        <w:rPr>
          <w:color w:val="000000" w:themeColor="text1"/>
          <w:sz w:val="22"/>
        </w:rPr>
        <w:t>2.6. Tiekėjo įsipareigojimų įvykdymo vieta yra nurodyta SPS 8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arba jo atsakingas asmuo, nurodytas VPĮ 46 straipsnio 2 dalies 2 punkte, nuteistas už šią nusikalstamą </w:t>
            </w:r>
            <w:r w:rsidRPr="00D018DF">
              <w:rPr>
                <w:rFonts w:ascii="Times New Roman" w:hAnsi="Times New Roman" w:cs="Times New Roman"/>
                <w:sz w:val="22"/>
                <w:szCs w:val="22"/>
                <w:lang w:eastAsia="en-US"/>
              </w:rPr>
              <w:lastRenderedPageBreak/>
              <w:t>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w:t>
            </w:r>
            <w:r w:rsidRPr="00D018DF">
              <w:rPr>
                <w:rFonts w:ascii="Times New Roman" w:hAnsi="Times New Roman" w:cs="Times New Roman"/>
                <w:bCs/>
                <w:sz w:val="22"/>
                <w:szCs w:val="22"/>
                <w:lang w:eastAsia="en-US"/>
              </w:rPr>
              <w:lastRenderedPageBreak/>
              <w:t>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lastRenderedPageBreak/>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lastRenderedPageBreak/>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 xml:space="preserve">išrašo iš teismo sprendimo </w:t>
            </w:r>
            <w:r w:rsidRPr="00D018DF">
              <w:rPr>
                <w:rFonts w:ascii="Times New Roman" w:hAnsi="Times New Roman" w:cs="Times New Roman"/>
                <w:sz w:val="22"/>
                <w:szCs w:val="22"/>
              </w:rPr>
              <w:lastRenderedPageBreak/>
              <w:t>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 xml:space="preserve">buvo priimtas ir įsiteisėjęs apkaltinamasis teismo nuosprendis arba VPĮ 46 straipsnio 3 dalies atveju – </w:t>
            </w:r>
            <w:r w:rsidRPr="00D018DF">
              <w:rPr>
                <w:rFonts w:ascii="Times New Roman" w:hAnsi="Times New Roman" w:cs="Times New Roman"/>
                <w:sz w:val="22"/>
                <w:szCs w:val="22"/>
                <w:lang w:eastAsia="en-US"/>
              </w:rPr>
              <w:lastRenderedPageBreak/>
              <w:t>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w:t>
            </w:r>
            <w:r w:rsidRPr="00D018DF">
              <w:rPr>
                <w:rFonts w:ascii="Times New Roman" w:hAnsi="Times New Roman" w:cs="Times New Roman"/>
                <w:bCs/>
                <w:sz w:val="22"/>
                <w:szCs w:val="22"/>
              </w:rPr>
              <w:lastRenderedPageBreak/>
              <w:t xml:space="preserve">Respublikoje, iš jo 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0362B7CA"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lastRenderedPageBreak/>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D018DF">
              <w:rPr>
                <w:rFonts w:ascii="Times New Roman" w:hAnsi="Times New Roman" w:cs="Times New Roman"/>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D018DF">
              <w:rPr>
                <w:sz w:val="22"/>
              </w:rPr>
              <w:lastRenderedPageBreak/>
              <w:t xml:space="preserve">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lastRenderedPageBreak/>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w:t>
      </w:r>
      <w:r w:rsidRPr="00D65CCD">
        <w:rPr>
          <w:rFonts w:eastAsiaTheme="minorHAnsi"/>
          <w:bCs/>
          <w:iCs/>
          <w:sz w:val="22"/>
        </w:rPr>
        <w:lastRenderedPageBreak/>
        <w:t>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yperlink"/>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0B21C92F" w14:textId="77777777" w:rsidR="00D23931" w:rsidRPr="00340BFF" w:rsidRDefault="00D23931" w:rsidP="00051C24">
      <w:pPr>
        <w:pStyle w:val="Body2"/>
        <w:rPr>
          <w:color w:val="000000" w:themeColor="text1"/>
          <w:lang w:val="lt-LT"/>
        </w:rPr>
      </w:pPr>
    </w:p>
    <w:p w14:paraId="5F00563E" w14:textId="77777777" w:rsidR="00051C24" w:rsidRDefault="00051C24" w:rsidP="00F27217">
      <w:pPr>
        <w:pStyle w:val="Heading"/>
        <w:jc w:val="center"/>
        <w:rPr>
          <w:color w:val="000000" w:themeColor="text1"/>
          <w:lang w:val="lt-LT"/>
        </w:rPr>
      </w:pPr>
      <w:bookmarkStart w:id="5" w:name="_Toc510091706"/>
      <w:r w:rsidRPr="00C37077">
        <w:rPr>
          <w:color w:val="000000" w:themeColor="text1"/>
          <w:lang w:val="lt-LT"/>
        </w:rPr>
        <w:t>7. PASIŪLYMŲ GALIOJIMO UŽTIKRINIMAS</w:t>
      </w:r>
      <w:bookmarkEnd w:id="5"/>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w:t>
      </w:r>
      <w:r w:rsidRPr="00DF3FF4">
        <w:rPr>
          <w:color w:val="000000" w:themeColor="text1"/>
          <w:lang w:val="lt-LT"/>
        </w:rPr>
        <w:lastRenderedPageBreak/>
        <w:t>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w:t>
      </w:r>
      <w:r w:rsidR="00051C24" w:rsidRPr="0091483A">
        <w:rPr>
          <w:color w:val="000000" w:themeColor="text1"/>
          <w:lang w:val="lt-LT"/>
        </w:rPr>
        <w:lastRenderedPageBreak/>
        <w:t xml:space="preserve">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lastRenderedPageBreak/>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D23931">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46F4" w14:textId="77777777" w:rsidR="0050167A" w:rsidRDefault="0050167A" w:rsidP="000D0909">
      <w:pPr>
        <w:spacing w:after="0" w:line="240" w:lineRule="auto"/>
      </w:pPr>
      <w:r>
        <w:separator/>
      </w:r>
    </w:p>
  </w:endnote>
  <w:endnote w:type="continuationSeparator" w:id="0">
    <w:p w14:paraId="0C776A98" w14:textId="77777777" w:rsidR="0050167A" w:rsidRDefault="0050167A"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B9A1" w14:textId="77777777" w:rsidR="0050167A" w:rsidRDefault="0050167A" w:rsidP="000D0909">
      <w:pPr>
        <w:spacing w:after="0" w:line="240" w:lineRule="auto"/>
      </w:pPr>
      <w:r>
        <w:separator/>
      </w:r>
    </w:p>
  </w:footnote>
  <w:footnote w:type="continuationSeparator" w:id="0">
    <w:p w14:paraId="2DB81FEB" w14:textId="77777777" w:rsidR="0050167A" w:rsidRDefault="0050167A"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9A2"/>
    <w:rsid w:val="00085663"/>
    <w:rsid w:val="000A638A"/>
    <w:rsid w:val="000C687C"/>
    <w:rsid w:val="000D0909"/>
    <w:rsid w:val="000D19F2"/>
    <w:rsid w:val="000D413B"/>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50AE"/>
    <w:rsid w:val="0020619C"/>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1E01"/>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A1C76"/>
    <w:rsid w:val="004B2612"/>
    <w:rsid w:val="004C034B"/>
    <w:rsid w:val="004C4B46"/>
    <w:rsid w:val="004C58FC"/>
    <w:rsid w:val="004D2CEC"/>
    <w:rsid w:val="004D3B12"/>
    <w:rsid w:val="004D7BB0"/>
    <w:rsid w:val="004E73DD"/>
    <w:rsid w:val="0050167A"/>
    <w:rsid w:val="0052405A"/>
    <w:rsid w:val="0052412D"/>
    <w:rsid w:val="00531450"/>
    <w:rsid w:val="0054127F"/>
    <w:rsid w:val="0055150C"/>
    <w:rsid w:val="005541F4"/>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1626E"/>
    <w:rsid w:val="00722E0C"/>
    <w:rsid w:val="007276EA"/>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73D0"/>
    <w:rsid w:val="00940456"/>
    <w:rsid w:val="0094789E"/>
    <w:rsid w:val="00953C88"/>
    <w:rsid w:val="00974380"/>
    <w:rsid w:val="00981624"/>
    <w:rsid w:val="00982BDF"/>
    <w:rsid w:val="00991197"/>
    <w:rsid w:val="00994CFB"/>
    <w:rsid w:val="009963E8"/>
    <w:rsid w:val="0099727F"/>
    <w:rsid w:val="009A654D"/>
    <w:rsid w:val="009B0F3C"/>
    <w:rsid w:val="009B3387"/>
    <w:rsid w:val="009D5ED0"/>
    <w:rsid w:val="009D7BDD"/>
    <w:rsid w:val="009E2070"/>
    <w:rsid w:val="009E6308"/>
    <w:rsid w:val="009E722F"/>
    <w:rsid w:val="009E7294"/>
    <w:rsid w:val="00A01395"/>
    <w:rsid w:val="00A10CBB"/>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437"/>
    <w:rsid w:val="00B157BD"/>
    <w:rsid w:val="00B23C6D"/>
    <w:rsid w:val="00B272BA"/>
    <w:rsid w:val="00B4112F"/>
    <w:rsid w:val="00B41381"/>
    <w:rsid w:val="00B4437A"/>
    <w:rsid w:val="00B45544"/>
    <w:rsid w:val="00B64E21"/>
    <w:rsid w:val="00BC35C8"/>
    <w:rsid w:val="00BC428C"/>
    <w:rsid w:val="00BD06B5"/>
    <w:rsid w:val="00BD241F"/>
    <w:rsid w:val="00BF262C"/>
    <w:rsid w:val="00BF2FAD"/>
    <w:rsid w:val="00BF3B5A"/>
    <w:rsid w:val="00C02167"/>
    <w:rsid w:val="00C13064"/>
    <w:rsid w:val="00C5679F"/>
    <w:rsid w:val="00C63016"/>
    <w:rsid w:val="00C64BCB"/>
    <w:rsid w:val="00C661A2"/>
    <w:rsid w:val="00C701A2"/>
    <w:rsid w:val="00C8337A"/>
    <w:rsid w:val="00C83881"/>
    <w:rsid w:val="00C8427A"/>
    <w:rsid w:val="00C91CBF"/>
    <w:rsid w:val="00CB2234"/>
    <w:rsid w:val="00CC1D51"/>
    <w:rsid w:val="00CE2C8B"/>
    <w:rsid w:val="00CF3023"/>
    <w:rsid w:val="00CF7C75"/>
    <w:rsid w:val="00D16F29"/>
    <w:rsid w:val="00D17157"/>
    <w:rsid w:val="00D20535"/>
    <w:rsid w:val="00D20DAD"/>
    <w:rsid w:val="00D23931"/>
    <w:rsid w:val="00D477B1"/>
    <w:rsid w:val="00D532FB"/>
    <w:rsid w:val="00D57069"/>
    <w:rsid w:val="00D6485C"/>
    <w:rsid w:val="00D86BB5"/>
    <w:rsid w:val="00DA0FB8"/>
    <w:rsid w:val="00DA7DDB"/>
    <w:rsid w:val="00DB1C38"/>
    <w:rsid w:val="00DB518D"/>
    <w:rsid w:val="00DD12DF"/>
    <w:rsid w:val="00E00329"/>
    <w:rsid w:val="00E142FD"/>
    <w:rsid w:val="00E21F1F"/>
    <w:rsid w:val="00E42CD7"/>
    <w:rsid w:val="00E43FA4"/>
    <w:rsid w:val="00E449FF"/>
    <w:rsid w:val="00E5391D"/>
    <w:rsid w:val="00E610C3"/>
    <w:rsid w:val="00E960FA"/>
    <w:rsid w:val="00EB1180"/>
    <w:rsid w:val="00EC363E"/>
    <w:rsid w:val="00ED42DD"/>
    <w:rsid w:val="00EE73D7"/>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A2D47"/>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41947</Words>
  <Characters>23910</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Liutauras Barila</cp:lastModifiedBy>
  <cp:revision>35</cp:revision>
  <cp:lastPrinted>2025-04-25T11:20:00Z</cp:lastPrinted>
  <dcterms:created xsi:type="dcterms:W3CDTF">2023-02-22T06:43:00Z</dcterms:created>
  <dcterms:modified xsi:type="dcterms:W3CDTF">2025-07-18T07:46:00Z</dcterms:modified>
</cp:coreProperties>
</file>