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7A588A" w:rsidP="007A58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Pr>
                    <w:rFonts w:ascii="Times New Roman" w:hAnsi="Times New Roman" w:cs="Times New Roman"/>
                    <w:sz w:val="24"/>
                    <w:szCs w:val="24"/>
                  </w:rPr>
                  <w:t>liepos</w:t>
                </w:r>
                <w:r w:rsidR="00DB22A6">
                  <w:rPr>
                    <w:rFonts w:ascii="Times New Roman" w:hAnsi="Times New Roman" w:cs="Times New Roman"/>
                    <w:sz w:val="24"/>
                    <w:szCs w:val="24"/>
                  </w:rPr>
                  <w:t xml:space="preserve"> </w:t>
                </w:r>
                <w:r w:rsidR="00D71ABC">
                  <w:rPr>
                    <w:rFonts w:ascii="Times New Roman" w:hAnsi="Times New Roman" w:cs="Times New Roman"/>
                    <w:sz w:val="24"/>
                    <w:szCs w:val="24"/>
                  </w:rPr>
                  <w:t xml:space="preserve"> </w:t>
                </w:r>
                <w:r w:rsidR="00E32FB4">
                  <w:rPr>
                    <w:rFonts w:ascii="Times New Roman" w:hAnsi="Times New Roman" w:cs="Times New Roman"/>
                    <w:sz w:val="24"/>
                    <w:szCs w:val="24"/>
                  </w:rPr>
                  <w:t>16</w:t>
                </w:r>
                <w:r w:rsidR="00D71ABC">
                  <w:rPr>
                    <w:rFonts w:ascii="Times New Roman" w:hAnsi="Times New Roman" w:cs="Times New Roman"/>
                    <w:sz w:val="24"/>
                    <w:szCs w:val="24"/>
                  </w:rPr>
                  <w:t xml:space="preserve"> </w:t>
                </w:r>
                <w:r w:rsidR="00517BED">
                  <w:rPr>
                    <w:rFonts w:ascii="Times New Roman" w:hAnsi="Times New Roman" w:cs="Times New Roman"/>
                    <w:sz w:val="24"/>
                    <w:szCs w:val="24"/>
                  </w:rPr>
                  <w:t xml:space="preserve"> </w:t>
                </w:r>
                <w:r w:rsidR="002A746C" w:rsidRPr="00CF0528">
                  <w:rPr>
                    <w:rFonts w:ascii="Times New Roman" w:hAnsi="Times New Roman" w:cs="Times New Roman"/>
                    <w:sz w:val="24"/>
                    <w:szCs w:val="24"/>
                  </w:rPr>
                  <w:t>d. Nr.V42E-</w:t>
                </w:r>
                <w:r w:rsidR="00E32FB4">
                  <w:rPr>
                    <w:rFonts w:ascii="Times New Roman" w:hAnsi="Times New Roman" w:cs="Times New Roman"/>
                    <w:sz w:val="24"/>
                    <w:szCs w:val="24"/>
                  </w:rPr>
                  <w:t>66</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D71ABC" w:rsidP="00CD53ED">
          <w:pPr>
            <w:spacing w:after="120" w:line="20" w:lineRule="atLeast"/>
            <w:contextualSpacing/>
            <w:jc w:val="center"/>
            <w:rPr>
              <w:rFonts w:ascii="Times New Roman" w:hAnsi="Times New Roman" w:cs="Times New Roman"/>
              <w:b/>
              <w:bCs/>
              <w:sz w:val="24"/>
              <w:szCs w:val="24"/>
            </w:rPr>
          </w:pPr>
          <w:r w:rsidRPr="00D71ABC">
            <w:rPr>
              <w:rFonts w:ascii="Times New Roman" w:eastAsia="Times New Roman" w:hAnsi="Times New Roman" w:cs="Times New Roman"/>
              <w:b/>
              <w:sz w:val="24"/>
              <w:szCs w:val="20"/>
              <w:lang w:eastAsia="en-US"/>
            </w:rPr>
            <w:t>ŽELDYNŲ IR ŽELDINIŲ BŪKLĖS EKSPERTIZĖS ATLIKIMO IR GYDYMO SKLYPE (UN. NR. 4400-2898-8805) PASLAUGŲ</w:t>
          </w:r>
          <w:r w:rsidRPr="00D71ABC">
            <w:rPr>
              <w:rFonts w:ascii="Times New Roman" w:eastAsia="Times New Roman" w:hAnsi="Times New Roman" w:cs="Times New Roman"/>
              <w:sz w:val="24"/>
              <w:szCs w:val="20"/>
              <w:lang w:eastAsia="en-US"/>
            </w:rPr>
            <w:t xml:space="preserve"> </w:t>
          </w:r>
          <w:r w:rsidR="00680576" w:rsidRPr="0014232A">
            <w:rPr>
              <w:rFonts w:ascii="Times New Roman" w:hAnsi="Times New Roman" w:cs="Times New Roman"/>
              <w:b/>
              <w:sz w:val="24"/>
              <w:szCs w:val="24"/>
              <w:shd w:val="clear" w:color="auto" w:fill="FFFFFF"/>
            </w:rPr>
            <w:t xml:space="preserve">PIRKIMO SUPAPRASTINTO </w:t>
          </w:r>
          <w:r w:rsidR="00680576" w:rsidRPr="0014232A">
            <w:rPr>
              <w:rFonts w:ascii="Times New Roman" w:hAnsi="Times New Roman" w:cs="Times New Roman"/>
              <w:b/>
              <w:caps/>
              <w:sz w:val="24"/>
              <w:szCs w:val="24"/>
            </w:rPr>
            <w:t xml:space="preserve">ATVIRO 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D71ABC" w:rsidP="007A588A">
              <w:pPr>
                <w:tabs>
                  <w:tab w:val="center" w:pos="4513"/>
                  <w:tab w:val="right" w:pos="9026"/>
                </w:tabs>
                <w:jc w:val="center"/>
                <w:rPr>
                  <w:rFonts w:ascii="Times New Roman" w:hAnsi="Times New Roman" w:cs="Times New Roman"/>
                  <w:sz w:val="24"/>
                  <w:szCs w:val="24"/>
                </w:rPr>
              </w:pPr>
              <w:r w:rsidRPr="00D71ABC">
                <w:rPr>
                  <w:rFonts w:ascii="Times New Roman" w:eastAsia="Times New Roman" w:hAnsi="Times New Roman" w:cs="Times New Roman"/>
                  <w:b/>
                  <w:bCs/>
                  <w:kern w:val="24"/>
                  <w:sz w:val="24"/>
                  <w:szCs w:val="24"/>
                  <w:lang w:eastAsia="ar-SA"/>
                </w:rPr>
                <w:lastRenderedPageBreak/>
                <w:t xml:space="preserve">ŽELDYNŲ IR ŽELDINIŲ BŪKLĖS EKSPERTIZĖS ATLIKIMO IR GYDYMO SKLYPE (UN. NR. 4400-2898-8805) PASLAUGŲ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205105"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205105" w:rsidP="00DB22A6">
              <w:pPr>
                <w:pStyle w:val="Turinys1"/>
                <w:rPr>
                  <w:rFonts w:ascii="Times New Roman" w:hAnsi="Times New Roman" w:cs="Times New Roman"/>
                  <w:sz w:val="22"/>
                  <w:szCs w:val="22"/>
                  <w:lang w:val="en-US"/>
                </w:rPr>
              </w:pPr>
              <w:r w:rsidRPr="00205105">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205105">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DB22A6" w:rsidRPr="0050746A" w:rsidRDefault="00205105"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Pr="0050746A">
                  <w:rPr>
                    <w:rFonts w:ascii="Times New Roman" w:hAnsi="Times New Roman" w:cs="Times New Roman"/>
                    <w:webHidden/>
                  </w:rPr>
                  <w:fldChar w:fldCharType="end"/>
                </w:r>
              </w:hyperlink>
            </w:p>
            <w:p w:rsidR="00DB22A6" w:rsidRPr="0050746A" w:rsidRDefault="00205105"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proofErr w:type="spellStart"/>
          <w:r w:rsidRPr="0050746A">
            <w:rPr>
              <w:rFonts w:ascii="Times New Roman" w:hAnsi="Times New Roman" w:cs="Times New Roman"/>
              <w:b/>
            </w:rPr>
            <w:t>Subtiekėjas</w:t>
          </w:r>
          <w:proofErr w:type="spellEnd"/>
          <w:r w:rsidRPr="0050746A">
            <w:rPr>
              <w:rFonts w:ascii="Times New Roman" w:hAnsi="Times New Roman" w:cs="Times New Roman"/>
              <w:b/>
            </w:rPr>
            <w:t xml:space="preserve"> </w:t>
          </w:r>
          <w:r w:rsidRPr="0050746A">
            <w:rPr>
              <w:rFonts w:ascii="Times New Roman" w:hAnsi="Times New Roman" w:cs="Times New Roman"/>
            </w:rPr>
            <w:t xml:space="preserve">– </w:t>
          </w:r>
          <w:proofErr w:type="spellStart"/>
          <w:r w:rsidRPr="0050746A">
            <w:rPr>
              <w:rFonts w:ascii="Times New Roman" w:hAnsi="Times New Roman" w:cs="Times New Roman"/>
            </w:rPr>
            <w:t>subtiekėjas</w:t>
          </w:r>
          <w:proofErr w:type="spellEnd"/>
          <w:r w:rsidRPr="0050746A">
            <w:rPr>
              <w:rFonts w:ascii="Times New Roman" w:hAnsi="Times New Roman" w:cs="Times New Roman"/>
            </w:rPr>
            <w:t xml:space="preserve">, </w:t>
          </w:r>
          <w:proofErr w:type="spellStart"/>
          <w:r w:rsidRPr="0050746A">
            <w:rPr>
              <w:rFonts w:ascii="Times New Roman" w:hAnsi="Times New Roman" w:cs="Times New Roman"/>
            </w:rPr>
            <w:t>subteikėjas</w:t>
          </w:r>
          <w:proofErr w:type="spellEnd"/>
          <w:r w:rsidRPr="0050746A">
            <w:rPr>
              <w:rFonts w:ascii="Times New Roman" w:hAnsi="Times New Roman" w:cs="Times New Roman"/>
            </w:rPr>
            <w:t>,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proofErr w:type="spellStart"/>
          <w:r w:rsidRPr="0050746A">
            <w:rPr>
              <w:rFonts w:ascii="Times New Roman" w:hAnsi="Times New Roman" w:cs="Times New Roman"/>
              <w:b/>
            </w:rPr>
            <w:t>Kvazisubtiekėjas</w:t>
          </w:r>
          <w:proofErr w:type="spellEnd"/>
          <w:r w:rsidRPr="0050746A">
            <w:rPr>
              <w:rFonts w:ascii="Times New Roman" w:hAnsi="Times New Roman" w:cs="Times New Roman"/>
              <w:b/>
            </w:rPr>
            <w:t xml:space="preserve">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w:t>
          </w:r>
          <w:r w:rsidRPr="0050746A">
            <w:rPr>
              <w:rFonts w:ascii="Times New Roman" w:hAnsi="Times New Roman" w:cs="Times New Roman"/>
            </w:rPr>
            <w:lastRenderedPageBreak/>
            <w:t>atstovai savo iniciatyva gali dalyvauti 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19"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6"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6"/>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7" w:name="part_c8889be5d523482e81bb176e6fe56cd2"/>
          <w:bookmarkStart w:id="28" w:name="part_da460e3efffa45688cb920cd281c7959"/>
          <w:bookmarkStart w:id="29" w:name="part_2d694ec0bf4747a2ace8bc3a118ff44f"/>
          <w:bookmarkEnd w:id="27"/>
          <w:bookmarkEnd w:id="28"/>
          <w:bookmarkEnd w:id="29"/>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0" w:name="part_b3f278cdbcbe467a8b3f1d6ea4ea85f8"/>
          <w:bookmarkEnd w:id="30"/>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472a163f4f844a9297cdf9e29b7fb942"/>
          <w:bookmarkEnd w:id="31"/>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lastRenderedPageBreak/>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2"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2"/>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7"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7"/>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312"/>
          <w:r w:rsidRPr="0050746A">
            <w:rPr>
              <w:rFonts w:ascii="Times New Roman" w:hAnsi="Times New Roman" w:cs="Times New Roman"/>
            </w:rPr>
            <w:t>fiziniai asmenys, kuriuos tiekėjas ketina įdarbinti Pirkimo laimėjimo atveju ir kurių pajėgumais tiekėjas remiasi pagal VPĮ 49 (</w:t>
          </w:r>
          <w:proofErr w:type="spellStart"/>
          <w:r w:rsidRPr="0050746A">
            <w:rPr>
              <w:rFonts w:ascii="Times New Roman" w:hAnsi="Times New Roman" w:cs="Times New Roman"/>
            </w:rPr>
            <w:t>kvazisubtiekėjai</w:t>
          </w:r>
          <w:proofErr w:type="spellEnd"/>
          <w:r w:rsidRPr="0050746A">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746A">
            <w:rPr>
              <w:rFonts w:ascii="Times New Roman" w:hAnsi="Times New Roman" w:cs="Times New Roman"/>
              <w:i/>
              <w:iCs/>
            </w:rPr>
            <w:t>Apostille</w:t>
          </w:r>
          <w:proofErr w:type="spellEnd"/>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746A">
            <w:rPr>
              <w:rFonts w:ascii="Times New Roman" w:hAnsi="Times New Roman" w:cs="Times New Roman"/>
              <w:i/>
              <w:iCs/>
            </w:rPr>
            <w:t>Apostille</w:t>
          </w:r>
          <w:proofErr w:type="spellEnd"/>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t>Rėmimasis ūkio subjektų pajėgumais</w:t>
          </w:r>
          <w:bookmarkEnd w:id="39"/>
          <w:bookmarkEnd w:id="40"/>
        </w:p>
        <w:bookmarkEnd w:id="41"/>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w:t>
          </w:r>
          <w:proofErr w:type="spellStart"/>
          <w:r w:rsidRPr="0050746A">
            <w:rPr>
              <w:rFonts w:ascii="Times New Roman" w:hAnsi="Times New Roman" w:cs="Times New Roman"/>
            </w:rPr>
            <w:t>kvazisubtiekėjai</w:t>
          </w:r>
          <w:proofErr w:type="spellEnd"/>
          <w:r w:rsidRPr="0050746A">
            <w:rPr>
              <w:rFonts w:ascii="Times New Roman" w:hAnsi="Times New Roman" w:cs="Times New Roman"/>
            </w:rPr>
            <w:t>).</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w:t>
          </w:r>
          <w:r w:rsidRPr="0050746A">
            <w:rPr>
              <w:rFonts w:cs="Times New Roman"/>
              <w:lang w:val="lt-LT"/>
            </w:rPr>
            <w:lastRenderedPageBreak/>
            <w:t xml:space="preserve">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8"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lastRenderedPageBreak/>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2" w:name="_Ref39754676"/>
          <w:bookmarkEnd w:id="81"/>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2"/>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3"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3"/>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4"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4"/>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lastRenderedPageBreak/>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5"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5"/>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1" w:name="_Ref39756072"/>
          <w:bookmarkEnd w:id="90"/>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t>Elektroninis aukcionas</w:t>
          </w:r>
          <w:bookmarkEnd w:id="93"/>
          <w:bookmarkEnd w:id="94"/>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lastRenderedPageBreak/>
            <w:t>Pasiūlymų vertinimas</w:t>
          </w:r>
          <w:bookmarkEnd w:id="95"/>
          <w:bookmarkEnd w:id="96"/>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7" w:name="_Hlk505013401"/>
          <w:r w:rsidRPr="0050746A">
            <w:rPr>
              <w:rFonts w:ascii="Times New Roman" w:hAnsi="Times New Roman" w:cs="Times New Roman"/>
            </w:rPr>
            <w:t xml:space="preserve">tiekėjams ir (ar) jų įgaliotiesiems atstovams </w:t>
          </w:r>
          <w:bookmarkEnd w:id="97"/>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lastRenderedPageBreak/>
            <w:t xml:space="preserve">Pasiūlymų atmetimo </w:t>
          </w:r>
          <w:bookmarkEnd w:id="98"/>
          <w:r w:rsidRPr="0050746A">
            <w:rPr>
              <w:rFonts w:ascii="Times New Roman" w:hAnsi="Times New Roman" w:cs="Times New Roman"/>
              <w:color w:val="auto"/>
            </w:rPr>
            <w:t>pagrindai</w:t>
          </w:r>
          <w:bookmarkEnd w:id="99"/>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w:t>
          </w:r>
          <w:proofErr w:type="spellStart"/>
          <w:r w:rsidRPr="0050746A">
            <w:rPr>
              <w:rFonts w:ascii="Times New Roman" w:hAnsi="Times New Roman" w:cs="Times New Roman"/>
            </w:rPr>
            <w:t>subtiekėją</w:t>
          </w:r>
          <w:proofErr w:type="spellEnd"/>
          <w:r w:rsidRPr="0050746A">
            <w:rPr>
              <w:rFonts w:ascii="Times New Roman" w:hAnsi="Times New Roman" w:cs="Times New Roman"/>
            </w:rPr>
            <w:t xml:space="preserve">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lastRenderedPageBreak/>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Pr="0050746A">
            <w:rPr>
              <w:rFonts w:ascii="Times New Roman" w:eastAsia="Times New Roman" w:hAnsi="Times New Roman" w:cs="Times New Roman"/>
              <w:color w:val="000000" w:themeColor="text1"/>
            </w:rPr>
            <w:lastRenderedPageBreak/>
            <w:t xml:space="preserve">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D71ABC" w:rsidP="00E87E06">
          <w:pPr>
            <w:spacing w:after="120" w:line="20" w:lineRule="atLeast"/>
            <w:contextualSpacing/>
            <w:jc w:val="center"/>
            <w:rPr>
              <w:rFonts w:ascii="Times New Roman" w:hAnsi="Times New Roman" w:cs="Times New Roman"/>
              <w:b/>
              <w:bCs/>
              <w:sz w:val="24"/>
              <w:szCs w:val="24"/>
            </w:rPr>
          </w:pPr>
          <w:r w:rsidRPr="00D71ABC">
            <w:rPr>
              <w:rFonts w:ascii="Times New Roman" w:eastAsia="Times New Roman" w:hAnsi="Times New Roman" w:cs="Times New Roman"/>
              <w:b/>
              <w:bCs/>
              <w:kern w:val="24"/>
              <w:sz w:val="24"/>
              <w:szCs w:val="24"/>
              <w:lang w:eastAsia="ar-SA"/>
            </w:rPr>
            <w:t xml:space="preserve">ŽELDYNŲ IR ŽELDINIŲ BŪKLĖS EKSPERTIZĖS ATLIKIMO IR GYDYMO SKLYPE (UN. NR. 4400-2898-8805) PASLAUGŲ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205105" w:rsidP="007E0A9D">
              <w:pPr>
                <w:pStyle w:val="Turinys1"/>
                <w:rPr>
                  <w:noProof/>
                  <w:sz w:val="22"/>
                  <w:szCs w:val="22"/>
                  <w:lang w:val="en-US" w:eastAsia="en-US"/>
                </w:rPr>
              </w:pPr>
              <w:r w:rsidRPr="00205105">
                <w:rPr>
                  <w:rFonts w:cstheme="minorHAnsi"/>
                  <w:color w:val="2B579A"/>
                  <w:shd w:val="clear" w:color="auto" w:fill="E6E6E6"/>
                </w:rPr>
                <w:fldChar w:fldCharType="begin"/>
              </w:r>
              <w:r w:rsidR="001C24BC" w:rsidRPr="00F0499F">
                <w:rPr>
                  <w:rFonts w:cstheme="minorHAnsi"/>
                </w:rPr>
                <w:instrText xml:space="preserve"> TOC \o "1-3" \h \z \u </w:instrText>
              </w:r>
              <w:r w:rsidRPr="00205105">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205105"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205105"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205105"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205105"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205105"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205105"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205105"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205105"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205105"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205105"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205105">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205105">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205105">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205105">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205105"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205105"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205105"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D71ABC" w:rsidRPr="00D71ABC">
        <w:rPr>
          <w:rFonts w:ascii="Times New Roman" w:eastAsia="Times New Roman" w:hAnsi="Times New Roman" w:cs="Times New Roman"/>
          <w:i/>
          <w:sz w:val="24"/>
          <w:szCs w:val="20"/>
          <w:lang w:eastAsia="en-US"/>
        </w:rPr>
        <w:t>Želdynų ir želdinių būklės ekspertizės atlikimo ir gydymo sklype (</w:t>
      </w:r>
      <w:proofErr w:type="spellStart"/>
      <w:r w:rsidR="00D71ABC" w:rsidRPr="00D71ABC">
        <w:rPr>
          <w:rFonts w:ascii="Times New Roman" w:eastAsia="Times New Roman" w:hAnsi="Times New Roman" w:cs="Times New Roman"/>
          <w:i/>
          <w:sz w:val="24"/>
          <w:szCs w:val="20"/>
          <w:lang w:eastAsia="en-US"/>
        </w:rPr>
        <w:t>un</w:t>
      </w:r>
      <w:proofErr w:type="spellEnd"/>
      <w:r w:rsidR="00D71ABC" w:rsidRPr="00D71ABC">
        <w:rPr>
          <w:rFonts w:ascii="Times New Roman" w:eastAsia="Times New Roman" w:hAnsi="Times New Roman" w:cs="Times New Roman"/>
          <w:i/>
          <w:sz w:val="24"/>
          <w:szCs w:val="20"/>
          <w:lang w:eastAsia="en-US"/>
        </w:rPr>
        <w:t>. Nr. 4400-2898-8805)</w:t>
      </w:r>
      <w:r w:rsidR="00D71ABC">
        <w:rPr>
          <w:rFonts w:ascii="Times New Roman" w:eastAsia="Times New Roman" w:hAnsi="Times New Roman" w:cs="Times New Roman"/>
          <w:i/>
          <w:sz w:val="24"/>
          <w:szCs w:val="20"/>
          <w:lang w:eastAsia="en-US"/>
        </w:rPr>
        <w:t xml:space="preserve"> paslaugas</w:t>
      </w:r>
      <w:r w:rsidR="00193A6A" w:rsidRPr="00193A6A">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5" w:name="_Toc126333930"/>
      <w:r w:rsidRPr="00D24970">
        <w:rPr>
          <w:rFonts w:asciiTheme="minorHAnsi" w:hAnsiTheme="minorHAnsi" w:cstheme="minorHAnsi"/>
        </w:rPr>
        <w:t>3.</w:t>
      </w:r>
      <w:r w:rsidR="00D24970">
        <w:rPr>
          <w:rFonts w:asciiTheme="minorHAnsi" w:hAnsiTheme="minorHAnsi" w:cstheme="minorHAnsi"/>
        </w:rPr>
        <w:t xml:space="preserve"> </w:t>
      </w:r>
      <w:bookmarkStart w:id="116" w:name="_Ref39427921"/>
      <w:bookmarkStart w:id="117" w:name="_Ref39427927"/>
      <w:bookmarkStart w:id="118" w:name="_Ref39740354"/>
      <w:r w:rsidR="00D22226" w:rsidRPr="00D24970">
        <w:rPr>
          <w:rFonts w:asciiTheme="minorHAnsi" w:hAnsiTheme="minorHAnsi" w:cstheme="minorHAnsi"/>
        </w:rPr>
        <w:t>Susitikimai su tiekėjais</w:t>
      </w:r>
      <w:bookmarkEnd w:id="116"/>
      <w:bookmarkEnd w:id="117"/>
      <w:r w:rsidR="003B6924" w:rsidRPr="00D24970">
        <w:rPr>
          <w:rFonts w:asciiTheme="minorHAnsi" w:hAnsiTheme="minorHAnsi" w:cstheme="minorHAnsi"/>
        </w:rPr>
        <w:t xml:space="preserve"> ir objekto apžiūra</w:t>
      </w:r>
      <w:bookmarkEnd w:id="115"/>
      <w:bookmarkEnd w:id="118"/>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19" w:name="_Ref39473754"/>
      <w:bookmarkStart w:id="120" w:name="_Ref39473761"/>
      <w:bookmarkStart w:id="121" w:name="_Ref39474188"/>
      <w:bookmarkStart w:id="122"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9"/>
      <w:bookmarkEnd w:id="120"/>
      <w:bookmarkEnd w:id="121"/>
      <w:r w:rsidR="00975F1F" w:rsidRPr="00D24970">
        <w:rPr>
          <w:rFonts w:asciiTheme="minorHAnsi" w:hAnsiTheme="minorHAnsi" w:cstheme="minorHAnsi"/>
        </w:rPr>
        <w:t xml:space="preserve"> ir kvalifikacijos reikalavimai</w:t>
      </w:r>
      <w:bookmarkEnd w:id="122"/>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3" w:name="_Toc126333932"/>
      <w:r w:rsidRPr="005E6E36">
        <w:rPr>
          <w:rFonts w:ascii="Times New Roman" w:hAnsi="Times New Roman" w:cs="Times New Roman"/>
          <w:sz w:val="24"/>
          <w:szCs w:val="24"/>
        </w:rPr>
        <w:t>4.1. Reikalavimai dėl tiekėjo ir</w:t>
      </w:r>
      <w:bookmarkStart w:id="124" w:name="_Hlk41039660"/>
      <w:r w:rsidRPr="005E6E36">
        <w:rPr>
          <w:rFonts w:ascii="Times New Roman" w:hAnsi="Times New Roman" w:cs="Times New Roman"/>
          <w:sz w:val="24"/>
          <w:szCs w:val="24"/>
        </w:rPr>
        <w:t xml:space="preserve"> subtiekėjų (jei taikoma), ūkio subjektų, kurių pajėgumais tiekėjas remiasi, </w:t>
      </w:r>
      <w:bookmarkEnd w:id="124"/>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3"/>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5" w:name="_Ref39666794"/>
      <w:bookmarkStart w:id="126" w:name="_Ref39666796"/>
      <w:bookmarkStart w:id="12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5"/>
      <w:bookmarkEnd w:id="126"/>
      <w:bookmarkEnd w:id="127"/>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F0499F">
        <w:rPr>
          <w:rFonts w:asciiTheme="minorHAnsi" w:hAnsiTheme="minorHAnsi" w:cstheme="minorHAnsi"/>
        </w:rPr>
        <w:t>Pasiūlymo galiojimo užtikrinimas</w:t>
      </w:r>
      <w:bookmarkEnd w:id="133"/>
      <w:bookmarkEnd w:id="134"/>
      <w:bookmarkEnd w:id="135"/>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FD51C2">
        <w:rPr>
          <w:rFonts w:asciiTheme="minorHAnsi" w:hAnsiTheme="minorHAnsi" w:cstheme="minorHAnsi"/>
        </w:rPr>
        <w:t>Elektroninis aukcionas</w:t>
      </w:r>
      <w:bookmarkEnd w:id="136"/>
      <w:bookmarkEnd w:id="137"/>
      <w:bookmarkEnd w:id="138"/>
      <w:bookmarkEnd w:id="139"/>
      <w:bookmarkEnd w:id="140"/>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3" w:name="_Ref39667303"/>
      <w:bookmarkStart w:id="144" w:name="_Ref39667308"/>
      <w:bookmarkStart w:id="1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1"/>
      <w:bookmarkEnd w:id="142"/>
      <w:bookmarkEnd w:id="143"/>
      <w:bookmarkEnd w:id="144"/>
      <w:bookmarkEnd w:id="145"/>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6" w:name="_Hlk91157291"/>
      <w:r w:rsidRPr="0077694B">
        <w:rPr>
          <w:rFonts w:ascii="Times New Roman" w:eastAsia="Calibri" w:hAnsi="Times New Roman" w:cs="Times New Roman"/>
          <w:sz w:val="24"/>
          <w:szCs w:val="24"/>
        </w:rPr>
        <w:t xml:space="preserve">specialiųjų pirkimo sąlygų </w:t>
      </w:r>
      <w:bookmarkEnd w:id="146"/>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7" w:name="_Ref39425999"/>
      <w:bookmarkStart w:id="148" w:name="_Ref39426005"/>
      <w:bookmarkStart w:id="14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7"/>
      <w:bookmarkEnd w:id="148"/>
      <w:bookmarkEnd w:id="149"/>
    </w:p>
    <w:bookmarkEnd w:id="111"/>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0"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0"/>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w:t>
            </w:r>
            <w:r w:rsidRPr="00926BC4">
              <w:rPr>
                <w:rFonts w:ascii="Times New Roman" w:hAnsi="Times New Roman" w:cs="Times New Roman"/>
                <w:sz w:val="24"/>
                <w:szCs w:val="24"/>
              </w:rPr>
              <w:lastRenderedPageBreak/>
              <w:t xml:space="preserve">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26BC4">
              <w:rPr>
                <w:rFonts w:ascii="Times New Roman" w:hAnsi="Times New Roman" w:cs="Times New Roman"/>
                <w:i/>
                <w:iCs/>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F0499F" w:rsidRDefault="00281735" w:rsidP="0044012E">
      <w:pPr>
        <w:rPr>
          <w:rFonts w:cstheme="minorHAnsi"/>
          <w:b/>
          <w:bCs/>
        </w:rPr>
      </w:pPr>
    </w:p>
    <w:p w:rsidR="008D704D" w:rsidRPr="0044012E" w:rsidRDefault="00281735" w:rsidP="00BE1858">
      <w:pPr>
        <w:pStyle w:val="Antrinispavadinimas"/>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6" w:name="_Ref38285444"/>
      <w:bookmarkStart w:id="157" w:name="_Ref38291496"/>
      <w:bookmarkStart w:id="158"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6"/>
      <w:bookmarkEnd w:id="157"/>
      <w:bookmarkEnd w:id="158"/>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34237">
              <w:rPr>
                <w:rFonts w:ascii="Times New Roman" w:hAnsi="Times New Roman" w:cs="Times New Roman"/>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w:t>
            </w:r>
            <w:r w:rsidRPr="00E34237">
              <w:rPr>
                <w:rFonts w:ascii="Times New Roman" w:hAnsi="Times New Roman" w:cs="Times New Roman"/>
                <w:sz w:val="22"/>
                <w:szCs w:val="22"/>
                <w:lang w:eastAsia="en-US"/>
              </w:rPr>
              <w:lastRenderedPageBreak/>
              <w:t>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w:t>
            </w:r>
            <w:r w:rsidRPr="00E34237">
              <w:rPr>
                <w:rFonts w:ascii="Times New Roman" w:hAnsi="Times New Roman" w:cs="Times New Roman"/>
                <w:i/>
                <w:iCs/>
                <w:color w:val="000000" w:themeColor="text1"/>
                <w:sz w:val="22"/>
                <w:szCs w:val="22"/>
              </w:rPr>
              <w:lastRenderedPageBreak/>
              <w:t xml:space="preserve">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59"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w:t>
            </w:r>
            <w:r w:rsidRPr="00E34237">
              <w:rPr>
                <w:rFonts w:ascii="Times New Roman" w:hAnsi="Times New Roman" w:cs="Times New Roman"/>
                <w:bCs/>
                <w:sz w:val="22"/>
                <w:szCs w:val="22"/>
                <w:lang w:eastAsia="en-US"/>
              </w:rPr>
              <w:lastRenderedPageBreak/>
              <w:t>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w:t>
            </w:r>
            <w:r w:rsidRPr="00E34237">
              <w:rPr>
                <w:rFonts w:ascii="Times New Roman" w:hAnsi="Times New Roman" w:cs="Times New Roman"/>
                <w:bCs/>
                <w:sz w:val="22"/>
                <w:szCs w:val="22"/>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ne Lietuvoje įsteigtų subjektų </w:t>
            </w:r>
            <w:r w:rsidRPr="00E34237">
              <w:rPr>
                <w:rFonts w:ascii="Times New Roman" w:hAnsi="Times New Roman" w:cs="Times New Roman"/>
                <w:sz w:val="22"/>
                <w:szCs w:val="22"/>
                <w:lang w:eastAsia="en-US"/>
              </w:rPr>
              <w:lastRenderedPageBreak/>
              <w:t>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34237">
              <w:rPr>
                <w:rFonts w:ascii="Times New Roman" w:hAnsi="Times New Roman" w:cs="Times New Roman"/>
                <w:bCs/>
                <w:sz w:val="22"/>
                <w:szCs w:val="22"/>
              </w:rPr>
              <w:lastRenderedPageBreak/>
              <w:t xml:space="preserve">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59"/>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w:t>
            </w:r>
            <w:r w:rsidRPr="00E34237">
              <w:rPr>
                <w:rFonts w:ascii="Times New Roman" w:hAnsi="Times New Roman" w:cs="Times New Roman"/>
                <w:sz w:val="22"/>
                <w:szCs w:val="22"/>
              </w:rPr>
              <w:lastRenderedPageBreak/>
              <w:t xml:space="preserve">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 xml:space="preserve">VPĮ 46 straipsnio 4 </w:t>
            </w:r>
            <w:r w:rsidRPr="00E34237">
              <w:rPr>
                <w:rFonts w:ascii="Times New Roman" w:eastAsia="Yu Mincho" w:hAnsi="Times New Roman" w:cs="Times New Roman"/>
                <w:b/>
                <w:bCs/>
                <w:sz w:val="22"/>
                <w:szCs w:val="22"/>
              </w:rPr>
              <w:lastRenderedPageBreak/>
              <w:t>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w:t>
            </w:r>
            <w:r w:rsidRPr="00E34237">
              <w:rPr>
                <w:rFonts w:ascii="Times New Roman" w:hAnsi="Times New Roman" w:cs="Times New Roman"/>
                <w:sz w:val="22"/>
                <w:szCs w:val="22"/>
                <w:lang w:eastAsia="en-US"/>
              </w:rPr>
              <w:lastRenderedPageBreak/>
              <w:t>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w:t>
            </w:r>
            <w:r w:rsidRPr="00E34237">
              <w:rPr>
                <w:rFonts w:ascii="Times New Roman" w:hAnsi="Times New Roman" w:cs="Times New Roman"/>
                <w:bCs/>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205105"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w:t>
            </w:r>
            <w:r w:rsidRPr="00E34237">
              <w:rPr>
                <w:rFonts w:ascii="Times New Roman" w:hAnsi="Times New Roman" w:cs="Times New Roman"/>
                <w:sz w:val="22"/>
                <w:szCs w:val="22"/>
              </w:rPr>
              <w:lastRenderedPageBreak/>
              <w:t xml:space="preserve">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E34237">
              <w:rPr>
                <w:rFonts w:ascii="Times New Roman" w:hAnsi="Times New Roman" w:cs="Times New Roman"/>
                <w:sz w:val="22"/>
                <w:szCs w:val="22"/>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205105"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205105"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0" w:name="part_030e6c6c64ba4f96a23474e439d1b80c"/>
            <w:bookmarkEnd w:id="160"/>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205105"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C11 </w:t>
            </w:r>
            <w:r w:rsidRPr="00E34237">
              <w:rPr>
                <w:rFonts w:ascii="Times New Roman" w:eastAsia="Yu Mincho" w:hAnsi="Times New Roman" w:cs="Times New Roman"/>
                <w:sz w:val="22"/>
                <w:szCs w:val="22"/>
              </w:rPr>
              <w:lastRenderedPageBreak/>
              <w:t>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3B436B" w:rsidRPr="00E34237" w:rsidRDefault="00205105"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1"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E34237">
              <w:rPr>
                <w:rFonts w:ascii="Times New Roman" w:hAnsi="Times New Roman" w:cs="Times New Roman"/>
                <w:sz w:val="22"/>
                <w:szCs w:val="22"/>
              </w:rPr>
              <w:lastRenderedPageBreak/>
              <w:t xml:space="preserve">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205105"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w:t>
            </w:r>
            <w:r w:rsidRPr="00E34237">
              <w:rPr>
                <w:rFonts w:ascii="Times New Roman" w:hAnsi="Times New Roman" w:cs="Times New Roman"/>
                <w:sz w:val="22"/>
                <w:szCs w:val="22"/>
              </w:rPr>
              <w:lastRenderedPageBreak/>
              <w:t xml:space="preserve">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w:t>
            </w:r>
            <w:r w:rsidRPr="00E34237">
              <w:rPr>
                <w:rFonts w:ascii="Times New Roman" w:hAnsi="Times New Roman" w:cs="Times New Roman"/>
                <w:sz w:val="22"/>
                <w:szCs w:val="22"/>
              </w:rPr>
              <w:lastRenderedPageBreak/>
              <w:t>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2"/>
      <w:bookmarkEnd w:id="163"/>
      <w:bookmarkEnd w:id="164"/>
      <w:bookmarkEnd w:id="165"/>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83"/>
        <w:gridCol w:w="3085"/>
        <w:gridCol w:w="3362"/>
        <w:gridCol w:w="315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0F5F4E" w:rsidRPr="000F5F4E" w:rsidRDefault="000F5F4E" w:rsidP="000F5F4E">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w:t>
            </w:r>
            <w:proofErr w:type="spellStart"/>
            <w:r w:rsidRPr="000F5F4E">
              <w:rPr>
                <w:rFonts w:eastAsia="Montserrat"/>
                <w:sz w:val="24"/>
                <w:szCs w:val="24"/>
                <w:lang w:val="en-GB"/>
              </w:rPr>
              <w:t>želdinių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medžių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ir</w:t>
            </w:r>
            <w:proofErr w:type="spellEnd"/>
            <w:r w:rsidRPr="000F5F4E">
              <w:rPr>
                <w:rFonts w:eastAsia="Montserrat"/>
                <w:sz w:val="24"/>
                <w:szCs w:val="24"/>
                <w:lang w:val="en-GB"/>
              </w:rPr>
              <w:t xml:space="preserve"> (</w:t>
            </w:r>
            <w:proofErr w:type="spellStart"/>
            <w:r w:rsidRPr="000F5F4E">
              <w:rPr>
                <w:rFonts w:eastAsia="Montserrat"/>
                <w:sz w:val="24"/>
                <w:szCs w:val="24"/>
                <w:lang w:val="en-GB"/>
              </w:rPr>
              <w:t>ar</w:t>
            </w:r>
            <w:proofErr w:type="spellEnd"/>
            <w:r w:rsidRPr="000F5F4E">
              <w:rPr>
                <w:rFonts w:eastAsia="Montserrat"/>
                <w:sz w:val="24"/>
                <w:szCs w:val="24"/>
                <w:lang w:val="en-GB"/>
              </w:rPr>
              <w:t xml:space="preserve">) </w:t>
            </w:r>
            <w:proofErr w:type="spellStart"/>
            <w:r w:rsidRPr="000F5F4E">
              <w:rPr>
                <w:rFonts w:eastAsia="Montserrat"/>
                <w:sz w:val="24"/>
                <w:szCs w:val="24"/>
                <w:lang w:val="en-GB"/>
              </w:rPr>
              <w:t>krūmų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priežiūros</w:t>
            </w:r>
            <w:proofErr w:type="spellEnd"/>
            <w:r w:rsidRPr="000F5F4E">
              <w:rPr>
                <w:rFonts w:eastAsia="Montserrat"/>
                <w:sz w:val="24"/>
                <w:szCs w:val="24"/>
                <w:lang w:val="en-GB"/>
              </w:rPr>
              <w:t xml:space="preserve"> </w:t>
            </w:r>
            <w:proofErr w:type="spellStart"/>
            <w:r w:rsidRPr="000F5F4E">
              <w:rPr>
                <w:rFonts w:eastAsia="Montserrat"/>
                <w:sz w:val="24"/>
                <w:szCs w:val="24"/>
                <w:lang w:val="en-GB"/>
              </w:rPr>
              <w:t>paslaugas</w:t>
            </w:r>
            <w:proofErr w:type="spellEnd"/>
            <w:r w:rsidRPr="000F5F4E">
              <w:rPr>
                <w:rFonts w:eastAsia="Montserrat"/>
                <w:sz w:val="24"/>
                <w:szCs w:val="24"/>
                <w:lang w:val="en-GB"/>
              </w:rPr>
              <w:t xml:space="preserve">, </w:t>
            </w:r>
            <w:proofErr w:type="spellStart"/>
            <w:r w:rsidRPr="000F5F4E">
              <w:rPr>
                <w:rFonts w:eastAsia="Montserrat"/>
                <w:sz w:val="24"/>
                <w:szCs w:val="24"/>
                <w:lang w:val="en-GB"/>
              </w:rPr>
              <w:t>kurių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bendra</w:t>
            </w:r>
            <w:proofErr w:type="spellEnd"/>
            <w:r w:rsidRPr="000F5F4E">
              <w:rPr>
                <w:rFonts w:eastAsia="Montserrat"/>
                <w:sz w:val="24"/>
                <w:szCs w:val="24"/>
                <w:lang w:val="en-GB"/>
              </w:rPr>
              <w:t xml:space="preserve"> </w:t>
            </w:r>
            <w:proofErr w:type="spellStart"/>
            <w:r w:rsidRPr="000F5F4E">
              <w:rPr>
                <w:rFonts w:eastAsia="Montserrat"/>
                <w:sz w:val="24"/>
                <w:szCs w:val="24"/>
                <w:lang w:val="en-GB"/>
              </w:rPr>
              <w:t>vertė</w:t>
            </w:r>
            <w:proofErr w:type="spellEnd"/>
            <w:r w:rsidRPr="000F5F4E">
              <w:rPr>
                <w:rFonts w:eastAsia="Montserrat"/>
                <w:sz w:val="24"/>
                <w:szCs w:val="24"/>
                <w:lang w:val="en-GB"/>
              </w:rPr>
              <w:t xml:space="preserve"> ne </w:t>
            </w:r>
            <w:proofErr w:type="spellStart"/>
            <w:r w:rsidRPr="000F5F4E">
              <w:rPr>
                <w:rFonts w:eastAsia="Montserrat"/>
                <w:sz w:val="24"/>
                <w:szCs w:val="24"/>
                <w:lang w:val="en-GB"/>
              </w:rPr>
              <w:t>mažesnė</w:t>
            </w:r>
            <w:proofErr w:type="spellEnd"/>
            <w:r w:rsidRPr="000F5F4E">
              <w:rPr>
                <w:rFonts w:eastAsia="Montserrat"/>
                <w:sz w:val="24"/>
                <w:szCs w:val="24"/>
                <w:lang w:val="en-GB"/>
              </w:rPr>
              <w:t xml:space="preserve"> </w:t>
            </w:r>
            <w:proofErr w:type="spellStart"/>
            <w:r w:rsidRPr="000F5F4E">
              <w:rPr>
                <w:rFonts w:eastAsia="Montserrat"/>
                <w:sz w:val="24"/>
                <w:szCs w:val="24"/>
                <w:lang w:val="en-GB"/>
              </w:rPr>
              <w:t>kaip</w:t>
            </w:r>
            <w:proofErr w:type="spellEnd"/>
            <w:r w:rsidRPr="000F5F4E">
              <w:rPr>
                <w:rFonts w:eastAsia="Montserrat"/>
                <w:sz w:val="24"/>
                <w:szCs w:val="24"/>
                <w:lang w:val="en-GB"/>
              </w:rPr>
              <w:t>:</w:t>
            </w:r>
          </w:p>
          <w:p w:rsidR="000F5F4E" w:rsidRPr="000F5F4E" w:rsidRDefault="000F5F4E" w:rsidP="000F5F4E">
            <w:pPr>
              <w:jc w:val="both"/>
              <w:rPr>
                <w:rFonts w:eastAsia="Montserrat"/>
                <w:sz w:val="24"/>
                <w:szCs w:val="24"/>
              </w:rPr>
            </w:pPr>
            <w:r>
              <w:rPr>
                <w:rFonts w:eastAsia="Montserrat"/>
                <w:sz w:val="24"/>
                <w:szCs w:val="24"/>
                <w:lang w:val="en-GB"/>
              </w:rPr>
              <w:t>9 700</w:t>
            </w:r>
            <w:r w:rsidRPr="000F5F4E">
              <w:rPr>
                <w:rFonts w:eastAsia="Montserrat"/>
                <w:sz w:val="24"/>
                <w:szCs w:val="24"/>
                <w:lang w:val="en-GB"/>
              </w:rPr>
              <w:t xml:space="preserve"> EUR be PVM</w:t>
            </w:r>
            <w:r>
              <w:rPr>
                <w:rFonts w:eastAsia="Montserrat"/>
                <w:sz w:val="24"/>
                <w:szCs w:val="24"/>
                <w:lang w:val="en-GB"/>
              </w:rPr>
              <w:t>.</w:t>
            </w: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1. P</w:t>
            </w:r>
            <w:r w:rsidRPr="000F5F4E">
              <w:rPr>
                <w:color w:val="000000"/>
                <w:sz w:val="24"/>
                <w:szCs w:val="24"/>
              </w:rPr>
              <w:t>agrindinių per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0F5F4E" w:rsidP="000F5F4E">
            <w:pPr>
              <w:autoSpaceDE w:val="0"/>
              <w:autoSpaceDN w:val="0"/>
              <w:adjustRightInd w:val="0"/>
              <w:jc w:val="both"/>
              <w:rPr>
                <w:color w:val="000000"/>
                <w:sz w:val="24"/>
                <w:szCs w:val="24"/>
              </w:rPr>
            </w:pPr>
            <w:r>
              <w:rPr>
                <w:sz w:val="24"/>
                <w:szCs w:val="24"/>
              </w:rPr>
              <w:t>Perkamoms</w:t>
            </w:r>
            <w:r w:rsidR="00325F1F" w:rsidRPr="008A43E2">
              <w:rPr>
                <w:sz w:val="24"/>
                <w:szCs w:val="24"/>
              </w:rPr>
              <w:t xml:space="preserve"> </w:t>
            </w:r>
            <w:r>
              <w:rPr>
                <w:sz w:val="24"/>
                <w:szCs w:val="24"/>
              </w:rPr>
              <w:t>paslaugoms</w:t>
            </w:r>
            <w:r w:rsidR="007F12C8">
              <w:rPr>
                <w:sz w:val="24"/>
                <w:szCs w:val="24"/>
              </w:rPr>
              <w:t xml:space="preserve"> </w:t>
            </w:r>
            <w:r w:rsidR="007F12C8" w:rsidRPr="007D2271">
              <w:rPr>
                <w:color w:val="000000"/>
                <w:sz w:val="22"/>
                <w:szCs w:val="22"/>
                <w:lang w:eastAsia="ar-SA"/>
              </w:rPr>
              <w:t>(</w:t>
            </w:r>
            <w:bookmarkStart w:id="166" w:name="_GoBack"/>
            <w:bookmarkEnd w:id="166"/>
            <w:r w:rsidR="007D2271" w:rsidRPr="007D2271">
              <w:rPr>
                <w:sz w:val="24"/>
                <w:szCs w:val="24"/>
              </w:rPr>
              <w:t>želdinių priežiūra ar medžių ir kitų</w:t>
            </w:r>
            <w:r w:rsidR="007D2271" w:rsidRPr="007D2271">
              <w:rPr>
                <w:sz w:val="24"/>
                <w:szCs w:val="24"/>
              </w:rPr>
              <w:br/>
              <w:t>augalų priežiūra</w:t>
            </w:r>
            <w:r w:rsidR="007F12C8"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 xml:space="preserve">tiekėjas taiko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D71ABC" w:rsidP="00101775">
      <w:pPr>
        <w:suppressAutoHyphens/>
        <w:spacing w:after="0" w:line="240" w:lineRule="auto"/>
        <w:jc w:val="center"/>
        <w:rPr>
          <w:rFonts w:ascii="Times New Roman" w:hAnsi="Times New Roman" w:cs="Times New Roman"/>
          <w:b/>
          <w:bCs/>
          <w:iCs/>
          <w:caps/>
          <w:sz w:val="24"/>
          <w:szCs w:val="24"/>
          <w:lang w:eastAsia="en-US"/>
        </w:rPr>
      </w:pPr>
      <w:r w:rsidRPr="00D71ABC">
        <w:rPr>
          <w:rFonts w:ascii="Times New Roman" w:hAnsi="Times New Roman" w:cs="Times New Roman"/>
          <w:b/>
          <w:bCs/>
          <w:sz w:val="24"/>
          <w:szCs w:val="24"/>
          <w:shd w:val="clear" w:color="auto" w:fill="FFFFFF"/>
        </w:rPr>
        <w:t>ŽELDYNŲ IR ŽELDINIŲ BŪKLĖS EKSPERTIZĖS ATLIKIMO IR GYDYMO SKLYPE (UN. NR. 4400-2898-8805) PASLAUGŲ</w:t>
      </w:r>
      <w:r w:rsidR="00CD53ED" w:rsidRPr="00CD53ED">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tblPr>
      <w:tblGrid>
        <w:gridCol w:w="597"/>
        <w:gridCol w:w="4348"/>
        <w:gridCol w:w="2549"/>
        <w:gridCol w:w="269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865A40"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01775"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1ABC" w:rsidRDefault="00D71ABC" w:rsidP="00AB1ED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Ž</w:t>
            </w:r>
            <w:r w:rsidRPr="00D71ABC">
              <w:rPr>
                <w:rFonts w:ascii="Times New Roman" w:eastAsia="Times New Roman" w:hAnsi="Times New Roman" w:cs="Times New Roman"/>
                <w:bCs/>
                <w:sz w:val="24"/>
                <w:szCs w:val="24"/>
              </w:rPr>
              <w:t>eldynų ir želdinių būklės ekspertizės atlikimo ir gydymo sklype (</w:t>
            </w:r>
            <w:proofErr w:type="spellStart"/>
            <w:r>
              <w:rPr>
                <w:rFonts w:ascii="Times New Roman" w:eastAsia="Times New Roman" w:hAnsi="Times New Roman" w:cs="Times New Roman"/>
                <w:bCs/>
                <w:sz w:val="24"/>
                <w:szCs w:val="24"/>
              </w:rPr>
              <w:t>un</w:t>
            </w:r>
            <w:proofErr w:type="spellEnd"/>
            <w:r>
              <w:rPr>
                <w:rFonts w:ascii="Times New Roman" w:eastAsia="Times New Roman" w:hAnsi="Times New Roman" w:cs="Times New Roman"/>
                <w:bCs/>
                <w:sz w:val="24"/>
                <w:szCs w:val="24"/>
              </w:rPr>
              <w:t>. nr. 4400-2898-8805) paslaugos</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p w:rsidR="00F410AF" w:rsidRPr="00CA19BB" w:rsidRDefault="00F410AF"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D71ABC" w:rsidRDefault="00D71ABC"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7CE" w:rsidRDefault="00F617CE" w:rsidP="00D05666">
      <w:r>
        <w:separator/>
      </w:r>
    </w:p>
  </w:endnote>
  <w:endnote w:type="continuationSeparator" w:id="0">
    <w:p w:rsidR="00F617CE" w:rsidRDefault="00F617CE" w:rsidP="00D05666">
      <w:r>
        <w:continuationSeparator/>
      </w:r>
    </w:p>
  </w:endnote>
  <w:endnote w:type="continuationNotice" w:id="1">
    <w:p w:rsidR="00F617CE" w:rsidRDefault="00F617C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 w:name="Montserrat">
    <w:charset w:val="BA"/>
    <w:family w:val="auto"/>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501555" w:rsidRDefault="00205105">
        <w:pPr>
          <w:pStyle w:val="Porat"/>
          <w:jc w:val="right"/>
        </w:pPr>
        <w:r>
          <w:rPr>
            <w:noProof/>
          </w:rPr>
          <w:fldChar w:fldCharType="begin"/>
        </w:r>
        <w:r w:rsidR="00501555">
          <w:rPr>
            <w:noProof/>
          </w:rPr>
          <w:instrText xml:space="preserve"> PAGE   \* MERGEFORMAT </w:instrText>
        </w:r>
        <w:r>
          <w:rPr>
            <w:noProof/>
          </w:rPr>
          <w:fldChar w:fldCharType="separate"/>
        </w:r>
        <w:r w:rsidR="00E32FB4">
          <w:rPr>
            <w:noProof/>
          </w:rPr>
          <w:t>29</w:t>
        </w:r>
        <w:r>
          <w:rPr>
            <w:noProof/>
          </w:rPr>
          <w:fldChar w:fldCharType="end"/>
        </w:r>
      </w:p>
    </w:sdtContent>
  </w:sdt>
  <w:p w:rsidR="00501555" w:rsidRDefault="00501555">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501555">
    <w:pPr>
      <w:pStyle w:val="Porat"/>
      <w:jc w:val="right"/>
    </w:pPr>
  </w:p>
  <w:p w:rsidR="00501555" w:rsidRDefault="00501555">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205105">
    <w:pPr>
      <w:pStyle w:val="Porat"/>
      <w:jc w:val="right"/>
    </w:pPr>
    <w:r>
      <w:rPr>
        <w:noProof/>
      </w:rPr>
      <w:fldChar w:fldCharType="begin"/>
    </w:r>
    <w:r w:rsidR="00501555">
      <w:rPr>
        <w:noProof/>
      </w:rPr>
      <w:instrText xml:space="preserve"> PAGE   \* MERGEFORMAT </w:instrText>
    </w:r>
    <w:r>
      <w:rPr>
        <w:noProof/>
      </w:rPr>
      <w:fldChar w:fldCharType="separate"/>
    </w:r>
    <w:r w:rsidR="00E32FB4">
      <w:rPr>
        <w:noProof/>
      </w:rPr>
      <w:t>22</w:t>
    </w:r>
    <w:r>
      <w:rPr>
        <w:noProof/>
      </w:rPr>
      <w:fldChar w:fldCharType="end"/>
    </w:r>
  </w:p>
  <w:p w:rsidR="00501555" w:rsidRDefault="00501555">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7CE" w:rsidRDefault="00F617CE" w:rsidP="00D05666">
      <w:r>
        <w:separator/>
      </w:r>
    </w:p>
  </w:footnote>
  <w:footnote w:type="continuationSeparator" w:id="0">
    <w:p w:rsidR="00F617CE" w:rsidRDefault="00F617CE" w:rsidP="00D05666">
      <w:r>
        <w:continuationSeparator/>
      </w:r>
    </w:p>
  </w:footnote>
  <w:footnote w:type="continuationNotice" w:id="1">
    <w:p w:rsidR="00F617CE" w:rsidRDefault="00F617CE">
      <w:pPr>
        <w:spacing w:after="0" w:line="240" w:lineRule="auto"/>
      </w:pPr>
    </w:p>
  </w:footnote>
  <w:footnote w:id="2">
    <w:p w:rsidR="00501555" w:rsidRPr="00A55027" w:rsidRDefault="00501555"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501555" w:rsidRPr="00427C59" w:rsidRDefault="00501555" w:rsidP="00DB22A6">
      <w:pPr>
        <w:pStyle w:val="Puslapioinaostekstas"/>
        <w:spacing w:after="0"/>
      </w:pPr>
    </w:p>
  </w:footnote>
  <w:footnote w:id="3">
    <w:p w:rsidR="00501555" w:rsidRPr="00A55027" w:rsidRDefault="00501555"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501555" w:rsidRPr="00427C59" w:rsidRDefault="00501555" w:rsidP="00DB22A6">
      <w:pPr>
        <w:pStyle w:val="Puslapioinaostekstas"/>
        <w:spacing w:after="0" w:line="240" w:lineRule="auto"/>
      </w:pPr>
    </w:p>
  </w:footnote>
  <w:footnote w:id="4">
    <w:p w:rsidR="00501555" w:rsidRPr="00906304" w:rsidRDefault="00501555"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501555" w:rsidRPr="00A55027" w:rsidRDefault="00501555"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501555" w:rsidRPr="001620D3" w:rsidRDefault="00501555"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501555" w:rsidRPr="001620D3" w:rsidRDefault="0050155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501555" w:rsidRPr="001620D3" w:rsidRDefault="0050155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501555" w:rsidRDefault="00501555"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501555">
    <w:pPr>
      <w:pStyle w:val="Antrats"/>
      <w:jc w:val="right"/>
    </w:pPr>
  </w:p>
  <w:p w:rsidR="00501555" w:rsidRDefault="0050155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1296"/>
  <w:hyphenationZone w:val="396"/>
  <w:characterSpacingControl w:val="doNotCompress"/>
  <w:hdrShapeDefaults>
    <o:shapedefaults v:ext="edit" spidmax="17410"/>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87FFC3B-1321-4E52-9236-DA3CECCF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71791</Words>
  <Characters>40922</Characters>
  <Application>Microsoft Office Word</Application>
  <DocSecurity>0</DocSecurity>
  <Lines>341</Lines>
  <Paragraphs>224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2025-07-02T06:37:00Z</dcterms:created>
  <dcterms:modified xsi:type="dcterms:W3CDTF">2025-07-18T12:24:00Z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