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FF1E" w14:textId="5B26CD57" w:rsidR="0017585F" w:rsidRPr="008F27C1" w:rsidRDefault="00126A71" w:rsidP="008F27C1">
      <w:pPr>
        <w:pStyle w:val="Antrat1"/>
      </w:pPr>
      <w:bookmarkStart w:id="0" w:name="_GoBack"/>
      <w:bookmarkEnd w:id="0"/>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4003637E" w:rsidR="0017585F" w:rsidRPr="006E0709" w:rsidRDefault="00E064F1" w:rsidP="00E064F1">
            <w:pPr>
              <w:spacing w:line="276" w:lineRule="auto"/>
              <w:jc w:val="both"/>
              <w:rPr>
                <w:kern w:val="2"/>
                <w:szCs w:val="24"/>
                <w:highlight w:val="green"/>
              </w:rPr>
            </w:pPr>
            <w:r w:rsidRPr="00420D35">
              <w:t>Želdynų ir želdinių būklės ekspertizės atlikim</w:t>
            </w:r>
            <w:r w:rsidR="005B2567">
              <w:t>o</w:t>
            </w:r>
            <w:r w:rsidRPr="00420D35">
              <w:t xml:space="preserve"> ir gydym</w:t>
            </w:r>
            <w:r w:rsidR="005B2567">
              <w:t>o</w:t>
            </w:r>
            <w:r w:rsidRPr="00420D35">
              <w:t xml:space="preserve"> sklype (un. Nr. 4400-2898-8805)</w:t>
            </w:r>
            <w:r w:rsidR="00C50A70" w:rsidRPr="00420D35">
              <w:t xml:space="preserve">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D74BCF" w:rsidP="00C50A70">
            <w:pPr>
              <w:spacing w:line="276" w:lineRule="auto"/>
              <w:jc w:val="center"/>
              <w:rPr>
                <w:kern w:val="2"/>
                <w:szCs w:val="24"/>
              </w:rPr>
            </w:pPr>
            <w:hyperlink r:id="rId11" w:history="1">
              <w:r w:rsidR="00C50A70" w:rsidRPr="003D7A8D">
                <w:rPr>
                  <w:rStyle w:val="Hipersaitas"/>
                  <w:kern w:val="2"/>
                  <w:szCs w:val="24"/>
                </w:rPr>
                <w:t>dokumentai@kaisiadorys.lt</w:t>
              </w:r>
            </w:hyperlink>
            <w:r w:rsidR="00C50A70"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D74BCF" w:rsidP="00780F97">
            <w:pPr>
              <w:spacing w:line="276" w:lineRule="auto"/>
            </w:pPr>
            <w:hyperlink r:id="rId12" w:history="1">
              <w:r w:rsidR="00E064F1"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D74BCF" w:rsidP="00780F97">
            <w:pPr>
              <w:spacing w:line="276" w:lineRule="auto"/>
              <w:rPr>
                <w:rStyle w:val="email"/>
                <w:rFonts w:eastAsia="Arial"/>
              </w:rPr>
            </w:pPr>
            <w:hyperlink r:id="rId13" w:history="1">
              <w:r w:rsidR="003D7A8D"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7EB634BC"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Želdynų ir želdinių būklės ekspertizės atlikimą ir gydymą sklype (un. Nr. 4400-2898-8805</w:t>
            </w:r>
            <w:r w:rsidR="00C50A70" w:rsidRPr="00420D35">
              <w:rPr>
                <w:shd w:val="clear" w:color="auto" w:fill="FFFFFF" w:themeFill="background1"/>
              </w:rPr>
              <w:t xml:space="preserve"> </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69FC10DE"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278F9EEA" w14:textId="77777777"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14:paraId="4BD0459B" w14:textId="77777777" w:rsidR="00F52209" w:rsidRPr="00F52209" w:rsidRDefault="00F52209" w:rsidP="00F52209">
            <w:pPr>
              <w:spacing w:line="276" w:lineRule="auto"/>
              <w:rPr>
                <w:color w:val="000000" w:themeColor="text1"/>
                <w:szCs w:val="24"/>
              </w:rPr>
            </w:pPr>
            <w:r w:rsidRPr="00F52209">
              <w:rPr>
                <w:color w:val="000000" w:themeColor="text1"/>
                <w:szCs w:val="24"/>
              </w:rPr>
              <w:t>2. Augaviečių revitalizacija;</w:t>
            </w:r>
          </w:p>
          <w:p w14:paraId="100B39E8" w14:textId="77777777" w:rsidR="00F52209" w:rsidRPr="00F52209" w:rsidRDefault="00F52209" w:rsidP="00F52209">
            <w:pPr>
              <w:spacing w:line="276" w:lineRule="auto"/>
              <w:rPr>
                <w:color w:val="000000" w:themeColor="text1"/>
                <w:szCs w:val="24"/>
              </w:rPr>
            </w:pPr>
            <w:r w:rsidRPr="00F52209">
              <w:rPr>
                <w:color w:val="000000" w:themeColor="text1"/>
                <w:szCs w:val="24"/>
              </w:rPr>
              <w:t>3.Aukštuminės arboristikos priemonių taikymas</w:t>
            </w:r>
          </w:p>
          <w:p w14:paraId="19B930A8" w14:textId="77777777"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14:paraId="16E3EB58" w14:textId="77777777" w:rsidR="00F52209" w:rsidRPr="0020313A" w:rsidRDefault="00F52209" w:rsidP="009020C5">
            <w:pPr>
              <w:spacing w:line="276" w:lineRule="auto"/>
              <w:rPr>
                <w:color w:val="000000" w:themeColor="text1"/>
                <w:szCs w:val="24"/>
              </w:rPr>
            </w:pP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 xml:space="preserve">irmojo perskaičiavimo atveju laikotarpio pradžia (mėnuo) yra Sutarties įsigaliojimo dienos mėnuo. Antrojo ir vėlesnių perskaičiavimų atveju laikotarpio pradžia (mėnuo) yra </w:t>
            </w:r>
            <w:r w:rsidRPr="00D52F5D">
              <w:rPr>
                <w:kern w:val="2"/>
                <w:szCs w:val="24"/>
              </w:rPr>
              <w:lastRenderedPageBreak/>
              <w:t>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r w:rsidRPr="0017585F">
              <w:rPr>
                <w:b/>
                <w:kern w:val="2"/>
                <w:szCs w:val="24"/>
              </w:rPr>
              <w:lastRenderedPageBreak/>
              <w:t>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14:paraId="769DF5F6" w14:textId="77777777" w:rsidTr="00073574">
        <w:trPr>
          <w:trHeight w:val="300"/>
        </w:trPr>
        <w:tc>
          <w:tcPr>
            <w:tcW w:w="3058" w:type="dxa"/>
          </w:tcPr>
          <w:p w14:paraId="1BF7B5EA" w14:textId="00D5598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090A990B" w14:textId="50E88139"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14:paraId="0D217FFC" w14:textId="77777777" w:rsidTr="00073574">
        <w:trPr>
          <w:trHeight w:val="300"/>
        </w:trPr>
        <w:tc>
          <w:tcPr>
            <w:tcW w:w="3058" w:type="dxa"/>
          </w:tcPr>
          <w:p w14:paraId="24F1DCB3" w14:textId="5A8070D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14:paraId="6DAC7C17" w14:textId="0C865E27"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14:paraId="61C83406" w14:textId="77777777" w:rsidTr="00073574">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19D6C62E" w:rsidR="0017585F" w:rsidRPr="000E1D73" w:rsidRDefault="0017585F" w:rsidP="000E1D73">
            <w:pPr>
              <w:spacing w:line="276" w:lineRule="auto"/>
              <w:rPr>
                <w:kern w:val="2"/>
                <w:szCs w:val="24"/>
              </w:rPr>
            </w:pPr>
          </w:p>
        </w:tc>
      </w:tr>
      <w:tr w:rsidR="0017585F" w:rsidRPr="0017585F" w14:paraId="128E5CF6" w14:textId="77777777" w:rsidTr="00073574">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652220CB" w:rsidR="0017585F" w:rsidRPr="000E1D73" w:rsidRDefault="0017585F" w:rsidP="000E1D73">
            <w:pPr>
              <w:spacing w:line="276" w:lineRule="auto"/>
              <w:rPr>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06E03" w14:textId="77777777" w:rsidR="00D74BCF" w:rsidRDefault="00D74BCF" w:rsidP="00DC093B">
      <w:r>
        <w:separator/>
      </w:r>
    </w:p>
  </w:endnote>
  <w:endnote w:type="continuationSeparator" w:id="0">
    <w:p w14:paraId="5C69E1F5" w14:textId="77777777" w:rsidR="00D74BCF" w:rsidRDefault="00D74BCF"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703E4" w14:textId="77777777" w:rsidR="00D74BCF" w:rsidRDefault="00D74BCF" w:rsidP="00DC093B">
      <w:r>
        <w:separator/>
      </w:r>
    </w:p>
  </w:footnote>
  <w:footnote w:type="continuationSeparator" w:id="0">
    <w:p w14:paraId="3B98882E" w14:textId="77777777" w:rsidR="00D74BCF" w:rsidRDefault="00D74BCF"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0067A"/>
    <w:rsid w:val="000026B9"/>
    <w:rsid w:val="0000411A"/>
    <w:rsid w:val="00025CB0"/>
    <w:rsid w:val="00042668"/>
    <w:rsid w:val="00073574"/>
    <w:rsid w:val="00076476"/>
    <w:rsid w:val="000A42C7"/>
    <w:rsid w:val="000E1D73"/>
    <w:rsid w:val="000E2B87"/>
    <w:rsid w:val="00106D4E"/>
    <w:rsid w:val="001153C9"/>
    <w:rsid w:val="00126A71"/>
    <w:rsid w:val="00131826"/>
    <w:rsid w:val="00151A36"/>
    <w:rsid w:val="00155609"/>
    <w:rsid w:val="0017585F"/>
    <w:rsid w:val="001B1065"/>
    <w:rsid w:val="001C18E6"/>
    <w:rsid w:val="001E0429"/>
    <w:rsid w:val="0020313A"/>
    <w:rsid w:val="00205C4D"/>
    <w:rsid w:val="00240DFE"/>
    <w:rsid w:val="00244C17"/>
    <w:rsid w:val="002B1AAD"/>
    <w:rsid w:val="002D31DC"/>
    <w:rsid w:val="002D5F54"/>
    <w:rsid w:val="002F3509"/>
    <w:rsid w:val="003206A3"/>
    <w:rsid w:val="00322DC6"/>
    <w:rsid w:val="00363AB5"/>
    <w:rsid w:val="00386837"/>
    <w:rsid w:val="00397FE8"/>
    <w:rsid w:val="003B37EC"/>
    <w:rsid w:val="003C59AF"/>
    <w:rsid w:val="003C6A64"/>
    <w:rsid w:val="003C73FA"/>
    <w:rsid w:val="003D7A8D"/>
    <w:rsid w:val="0040268F"/>
    <w:rsid w:val="00420D35"/>
    <w:rsid w:val="0042496C"/>
    <w:rsid w:val="00475E25"/>
    <w:rsid w:val="004B42CC"/>
    <w:rsid w:val="004E7058"/>
    <w:rsid w:val="005063E6"/>
    <w:rsid w:val="00547293"/>
    <w:rsid w:val="00553F26"/>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81DFC"/>
    <w:rsid w:val="00683899"/>
    <w:rsid w:val="00696820"/>
    <w:rsid w:val="006A3C0D"/>
    <w:rsid w:val="006B4222"/>
    <w:rsid w:val="006D1B09"/>
    <w:rsid w:val="006E0709"/>
    <w:rsid w:val="006E4B9B"/>
    <w:rsid w:val="006F5BB6"/>
    <w:rsid w:val="007000A7"/>
    <w:rsid w:val="007369D1"/>
    <w:rsid w:val="00747C79"/>
    <w:rsid w:val="00755604"/>
    <w:rsid w:val="00763229"/>
    <w:rsid w:val="00780F97"/>
    <w:rsid w:val="007A735D"/>
    <w:rsid w:val="007C5882"/>
    <w:rsid w:val="007C78B6"/>
    <w:rsid w:val="007E0666"/>
    <w:rsid w:val="007E53F7"/>
    <w:rsid w:val="00815CC5"/>
    <w:rsid w:val="008846CF"/>
    <w:rsid w:val="008B100A"/>
    <w:rsid w:val="008C2689"/>
    <w:rsid w:val="008C37C7"/>
    <w:rsid w:val="008F27C1"/>
    <w:rsid w:val="008F7D5F"/>
    <w:rsid w:val="009020C5"/>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5142C"/>
    <w:rsid w:val="00D52F5D"/>
    <w:rsid w:val="00D548AB"/>
    <w:rsid w:val="00D74BCF"/>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3.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33926EB0-CDF4-40CD-A332-5B1AE70A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66115</Words>
  <Characters>37686</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cp:lastPrinted>2025-07-02T07:02:00Z</cp:lastPrinted>
  <dcterms:created xsi:type="dcterms:W3CDTF">2025-07-17T05:47:00Z</dcterms:created>
  <dcterms:modified xsi:type="dcterms:W3CDTF">2025-07-17T05:47:00Z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