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796"/>
        <w:gridCol w:w="6946"/>
      </w:tblGrid>
      <w:tr w:rsidR="00D25ADE" w:rsidRPr="002115F1" w14:paraId="6575A290" w14:textId="77777777" w:rsidTr="0087168C">
        <w:trPr>
          <w:trHeight w:val="257"/>
        </w:trPr>
        <w:tc>
          <w:tcPr>
            <w:tcW w:w="7796" w:type="dxa"/>
          </w:tcPr>
          <w:p w14:paraId="33D573F4" w14:textId="6773C70C" w:rsidR="00D25ADE" w:rsidRPr="002115F1" w:rsidRDefault="00D25ADE" w:rsidP="0087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Klausimas </w:t>
            </w:r>
          </w:p>
        </w:tc>
        <w:tc>
          <w:tcPr>
            <w:tcW w:w="6946" w:type="dxa"/>
          </w:tcPr>
          <w:p w14:paraId="1ECE2532" w14:textId="77777777" w:rsidR="00D25ADE" w:rsidRPr="002115F1" w:rsidRDefault="00D25ADE" w:rsidP="00886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5F1">
              <w:rPr>
                <w:rFonts w:ascii="Times New Roman" w:hAnsi="Times New Roman" w:cs="Times New Roman"/>
                <w:b/>
                <w:sz w:val="24"/>
                <w:szCs w:val="24"/>
              </w:rPr>
              <w:t>Atsakymas</w:t>
            </w:r>
          </w:p>
        </w:tc>
      </w:tr>
      <w:tr w:rsidR="00D25ADE" w:rsidRPr="002115F1" w14:paraId="004B7C82" w14:textId="77777777" w:rsidTr="003A48E0">
        <w:trPr>
          <w:trHeight w:val="277"/>
        </w:trPr>
        <w:tc>
          <w:tcPr>
            <w:tcW w:w="14742" w:type="dxa"/>
            <w:gridSpan w:val="2"/>
          </w:tcPr>
          <w:p w14:paraId="4EF3F6AF" w14:textId="516253B3" w:rsidR="00D25ADE" w:rsidRPr="002115F1" w:rsidRDefault="00306EB3" w:rsidP="009F2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</w:t>
            </w:r>
            <w:r w:rsidR="00EB7D64" w:rsidRPr="002115F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aklausimas.</w:t>
            </w:r>
            <w:r w:rsidR="00EB7D64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5ADE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Tiekėjo </w:t>
            </w:r>
            <w:r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2023</w:t>
            </w:r>
            <w:r w:rsidR="00EB7D64" w:rsidRPr="002115F1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08</w:t>
            </w:r>
            <w:r w:rsidR="00EB7D64" w:rsidRPr="002115F1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14</w:t>
            </w:r>
            <w:r w:rsidR="00EB7D64" w:rsidRPr="002115F1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="00EB7D64" w:rsidRPr="002115F1"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Calibri" w:hAnsi="Calibri"/>
                <w:i/>
                <w:iCs/>
                <w:color w:val="333333"/>
                <w:sz w:val="24"/>
                <w:szCs w:val="24"/>
                <w:shd w:val="clear" w:color="auto" w:fill="FFFFFF"/>
              </w:rPr>
              <w:t>28</w:t>
            </w:r>
            <w:r w:rsidR="00EB7D64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5ADE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>pateikt</w:t>
            </w:r>
            <w:r w:rsidR="00735B4A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>as</w:t>
            </w:r>
            <w:r w:rsidR="00D25ADE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paklausima</w:t>
            </w:r>
            <w:r w:rsidR="00735B4A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D25ADE" w:rsidRPr="00211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(pateikiamas netaisytas paklausimo tekstas)</w:t>
            </w:r>
          </w:p>
        </w:tc>
      </w:tr>
      <w:tr w:rsidR="00D25ADE" w:rsidRPr="002115F1" w14:paraId="364A2E08" w14:textId="77777777" w:rsidTr="00306EB3">
        <w:trPr>
          <w:trHeight w:val="58"/>
        </w:trPr>
        <w:tc>
          <w:tcPr>
            <w:tcW w:w="7796" w:type="dxa"/>
          </w:tcPr>
          <w:p w14:paraId="7E44305A" w14:textId="77777777" w:rsidR="00306EB3" w:rsidRPr="00306EB3" w:rsidRDefault="00306EB3" w:rsidP="00306EB3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Jost" w:hAnsi="Jost" w:cs="Calibri"/>
                <w:shd w:val="clear" w:color="auto" w:fill="FFFFFF"/>
                <w:lang w:val="lt-LT" w:eastAsia="lt-LT"/>
              </w:rPr>
            </w:pPr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"Gera diena,</w:t>
            </w:r>
          </w:p>
          <w:p w14:paraId="18FFF2AB" w14:textId="77777777" w:rsidR="00306EB3" w:rsidRPr="00306EB3" w:rsidRDefault="00306EB3" w:rsidP="00306EB3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Jost" w:hAnsi="Jost" w:cs="Calibri"/>
                <w:shd w:val="clear" w:color="auto" w:fill="FFFFFF"/>
                <w:lang w:val="lt-LT" w:eastAsia="lt-LT"/>
              </w:rPr>
            </w:pPr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V pirkimo dalyje "Antiseptinis tirpalas odos paruošimui yra reikalavimai":</w:t>
            </w:r>
          </w:p>
          <w:p w14:paraId="2E0D5B45" w14:textId="77777777" w:rsidR="00306EB3" w:rsidRPr="00306EB3" w:rsidRDefault="00306EB3" w:rsidP="00306EB3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Jost" w:hAnsi="Jost" w:cs="Calibri"/>
                <w:shd w:val="clear" w:color="auto" w:fill="FFFFFF"/>
                <w:lang w:val="lt-LT" w:eastAsia="lt-LT"/>
              </w:rPr>
            </w:pPr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Pasižymi baktericidiniu, </w:t>
            </w:r>
            <w:proofErr w:type="spellStart"/>
            <w:r w:rsidRPr="00306EB3">
              <w:rPr>
                <w:rFonts w:ascii="Jost" w:hAnsi="Jost"/>
                <w:b/>
                <w:bCs/>
                <w:shd w:val="clear" w:color="auto" w:fill="FFFFFF"/>
                <w:lang w:val="lt-LT" w:eastAsia="lt-LT"/>
              </w:rPr>
              <w:t>mikobaktericidiniu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,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virusidiniu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, </w:t>
            </w:r>
            <w:proofErr w:type="spellStart"/>
            <w:r w:rsidRPr="00306EB3">
              <w:rPr>
                <w:rFonts w:ascii="Jost" w:hAnsi="Jost"/>
                <w:b/>
                <w:bCs/>
                <w:shd w:val="clear" w:color="auto" w:fill="FFFFFF"/>
                <w:lang w:val="lt-LT" w:eastAsia="lt-LT"/>
              </w:rPr>
              <w:t>fungicidiniu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 poveikiu.</w:t>
            </w:r>
          </w:p>
          <w:p w14:paraId="5173350A" w14:textId="77777777" w:rsidR="00306EB3" w:rsidRPr="00306EB3" w:rsidRDefault="00306EB3" w:rsidP="00306EB3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Jost" w:hAnsi="Jost" w:cs="Calibri"/>
                <w:shd w:val="clear" w:color="auto" w:fill="FFFFFF"/>
                <w:lang w:val="lt-LT" w:eastAsia="lt-LT"/>
              </w:rPr>
            </w:pPr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Rinkoje esantys odos antiseptikai pasižymi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tuberkuliocidiniu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 (naikina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T.terrae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) ir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mielicidiniu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 ( naikina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C.albicans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) poveikiu. </w:t>
            </w:r>
          </w:p>
          <w:p w14:paraId="4BC6ABB4" w14:textId="77777777" w:rsidR="00306EB3" w:rsidRPr="00306EB3" w:rsidRDefault="00306EB3" w:rsidP="00306EB3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Jost" w:hAnsi="Jost" w:cs="Calibri"/>
                <w:shd w:val="clear" w:color="auto" w:fill="FFFFFF"/>
                <w:lang w:val="lt-LT" w:eastAsia="lt-LT"/>
              </w:rPr>
            </w:pPr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Pateikiame NVSC išaiškinimą apie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mikobaktericidinį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 ir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fungicidinį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 veikimus:</w:t>
            </w:r>
          </w:p>
          <w:p w14:paraId="1FB607E3" w14:textId="77777777" w:rsidR="00306EB3" w:rsidRPr="00306EB3" w:rsidRDefault="00306EB3" w:rsidP="00306EB3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Jost" w:hAnsi="Jost" w:cs="Calibri"/>
                <w:shd w:val="clear" w:color="auto" w:fill="FFFFFF"/>
                <w:lang w:val="lt-LT" w:eastAsia="lt-LT"/>
              </w:rPr>
            </w:pPr>
            <w:r w:rsidRPr="00306EB3">
              <w:rPr>
                <w:rFonts w:ascii="Jost" w:hAnsi="Jost"/>
                <w:b/>
                <w:bCs/>
                <w:shd w:val="clear" w:color="auto" w:fill="FFFFFF"/>
                <w:lang w:val="lt-LT" w:eastAsia="lt-LT"/>
              </w:rPr>
              <w:t>EN 13624.</w:t>
            </w:r>
          </w:p>
          <w:p w14:paraId="25594DBB" w14:textId="77777777" w:rsidR="00306EB3" w:rsidRPr="00306EB3" w:rsidRDefault="00306EB3" w:rsidP="00306EB3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Jost" w:hAnsi="Jost" w:cs="Calibri"/>
                <w:shd w:val="clear" w:color="auto" w:fill="FFFFFF"/>
                <w:lang w:val="lt-LT" w:eastAsia="lt-LT"/>
              </w:rPr>
            </w:pPr>
            <w:proofErr w:type="spellStart"/>
            <w:r w:rsidRPr="00306EB3">
              <w:rPr>
                <w:rFonts w:ascii="Jost" w:hAnsi="Jost"/>
                <w:b/>
                <w:bCs/>
                <w:shd w:val="clear" w:color="auto" w:fill="FFFFFF"/>
                <w:lang w:val="lt-LT" w:eastAsia="lt-LT"/>
              </w:rPr>
              <w:t>Fungicidinis</w:t>
            </w:r>
            <w:proofErr w:type="spellEnd"/>
            <w:r w:rsidRPr="00306EB3">
              <w:rPr>
                <w:rFonts w:ascii="Jost" w:hAnsi="Jost"/>
                <w:b/>
                <w:bCs/>
                <w:shd w:val="clear" w:color="auto" w:fill="FFFFFF"/>
                <w:lang w:val="lt-LT" w:eastAsia="lt-LT"/>
              </w:rPr>
              <w:t xml:space="preserve"> poveikis</w:t>
            </w:r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 – ištyrus efektyvumą prieš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Candida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Albicans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 ATCC 10231 ir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Aspergillus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brasiliensis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 ATCC 16404. Senesniuose tyrimų protokoluose/ataskaitose vietoj ,,A.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brasiliensis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“ gali būti nurodomas ,,A.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niger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“, tai yra tas pats.</w:t>
            </w:r>
          </w:p>
          <w:p w14:paraId="6E07D699" w14:textId="77777777" w:rsidR="00306EB3" w:rsidRPr="00306EB3" w:rsidRDefault="00306EB3" w:rsidP="00306EB3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Jost" w:hAnsi="Jost" w:cs="Calibri"/>
                <w:shd w:val="clear" w:color="auto" w:fill="FFFFFF"/>
                <w:lang w:val="lt-LT" w:eastAsia="lt-LT"/>
              </w:rPr>
            </w:pPr>
            <w:proofErr w:type="spellStart"/>
            <w:r w:rsidRPr="00306EB3">
              <w:rPr>
                <w:rFonts w:ascii="Jost" w:hAnsi="Jost"/>
                <w:b/>
                <w:bCs/>
                <w:shd w:val="clear" w:color="auto" w:fill="FFFFFF"/>
                <w:lang w:val="lt-LT" w:eastAsia="lt-LT"/>
              </w:rPr>
              <w:t>Jiesticidinis</w:t>
            </w:r>
            <w:proofErr w:type="spellEnd"/>
            <w:r w:rsidRPr="00306EB3">
              <w:rPr>
                <w:rFonts w:ascii="Jost" w:hAnsi="Jost"/>
                <w:b/>
                <w:bCs/>
                <w:shd w:val="clear" w:color="auto" w:fill="FFFFFF"/>
                <w:lang w:val="lt-LT" w:eastAsia="lt-LT"/>
              </w:rPr>
              <w:t xml:space="preserve"> (</w:t>
            </w:r>
            <w:proofErr w:type="spellStart"/>
            <w:r w:rsidRPr="00306EB3">
              <w:rPr>
                <w:rFonts w:ascii="Jost" w:hAnsi="Jost"/>
                <w:b/>
                <w:bCs/>
                <w:shd w:val="clear" w:color="auto" w:fill="FFFFFF"/>
                <w:lang w:val="lt-LT" w:eastAsia="lt-LT"/>
              </w:rPr>
              <w:t>mielicidinis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) poveikis – ištyrus efektyvumą prieš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Candida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Albicans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 ATCC 10231.</w:t>
            </w:r>
          </w:p>
          <w:p w14:paraId="3DC0995A" w14:textId="77777777" w:rsidR="00306EB3" w:rsidRPr="00306EB3" w:rsidRDefault="00306EB3" w:rsidP="00306EB3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Jost" w:hAnsi="Jost" w:cs="Calibri"/>
                <w:shd w:val="clear" w:color="auto" w:fill="FFFFFF"/>
                <w:lang w:val="lt-LT" w:eastAsia="lt-LT"/>
              </w:rPr>
            </w:pPr>
            <w:r w:rsidRPr="00306EB3">
              <w:rPr>
                <w:rFonts w:ascii="Jost" w:hAnsi="Jost"/>
                <w:b/>
                <w:bCs/>
                <w:shd w:val="clear" w:color="auto" w:fill="FFFFFF"/>
                <w:lang w:val="lt-LT" w:eastAsia="lt-LT"/>
              </w:rPr>
              <w:t>EN 14348.</w:t>
            </w:r>
          </w:p>
          <w:p w14:paraId="20C7EF95" w14:textId="77777777" w:rsidR="00306EB3" w:rsidRPr="00306EB3" w:rsidRDefault="00306EB3" w:rsidP="00306EB3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Jost" w:hAnsi="Jost" w:cs="Calibri"/>
                <w:shd w:val="clear" w:color="auto" w:fill="FFFFFF"/>
                <w:lang w:val="lt-LT" w:eastAsia="lt-LT"/>
              </w:rPr>
            </w:pPr>
            <w:proofErr w:type="spellStart"/>
            <w:r w:rsidRPr="00306EB3">
              <w:rPr>
                <w:rFonts w:ascii="Jost" w:hAnsi="Jost"/>
                <w:b/>
                <w:bCs/>
                <w:shd w:val="clear" w:color="auto" w:fill="FFFFFF"/>
                <w:lang w:val="lt-LT" w:eastAsia="lt-LT"/>
              </w:rPr>
              <w:t>Mikobaktericidinis</w:t>
            </w:r>
            <w:proofErr w:type="spellEnd"/>
            <w:r w:rsidRPr="00306EB3">
              <w:rPr>
                <w:rFonts w:ascii="Jost" w:hAnsi="Jost"/>
                <w:b/>
                <w:bCs/>
                <w:shd w:val="clear" w:color="auto" w:fill="FFFFFF"/>
                <w:lang w:val="lt-LT" w:eastAsia="lt-LT"/>
              </w:rPr>
              <w:t xml:space="preserve"> poveikis</w:t>
            </w:r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 – ištyrus efektyvumą prieš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Mycobacterium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avium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 ATCC 15769 ir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Mycobacterium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terrae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 ATCC 15755.</w:t>
            </w:r>
          </w:p>
          <w:p w14:paraId="313EF176" w14:textId="77777777" w:rsidR="00306EB3" w:rsidRPr="00306EB3" w:rsidRDefault="00306EB3" w:rsidP="00306EB3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Jost" w:hAnsi="Jost" w:cs="Calibri"/>
                <w:shd w:val="clear" w:color="auto" w:fill="FFFFFF"/>
                <w:lang w:val="lt-LT" w:eastAsia="lt-LT"/>
              </w:rPr>
            </w:pPr>
            <w:proofErr w:type="spellStart"/>
            <w:r w:rsidRPr="00306EB3">
              <w:rPr>
                <w:rFonts w:ascii="Jost" w:hAnsi="Jost"/>
                <w:b/>
                <w:bCs/>
                <w:shd w:val="clear" w:color="auto" w:fill="FFFFFF"/>
                <w:lang w:val="lt-LT" w:eastAsia="lt-LT"/>
              </w:rPr>
              <w:t>Tuberkuliocidinis</w:t>
            </w:r>
            <w:proofErr w:type="spellEnd"/>
            <w:r w:rsidRPr="00306EB3">
              <w:rPr>
                <w:rFonts w:ascii="Jost" w:hAnsi="Jost"/>
                <w:b/>
                <w:bCs/>
                <w:shd w:val="clear" w:color="auto" w:fill="FFFFFF"/>
                <w:lang w:val="lt-LT" w:eastAsia="lt-LT"/>
              </w:rPr>
              <w:t xml:space="preserve"> poveikis</w:t>
            </w:r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 – ištyrus efektyvumą prieš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Mycobacterium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 </w:t>
            </w:r>
            <w:proofErr w:type="spellStart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terrae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 xml:space="preserve"> ATCC 15755.</w:t>
            </w:r>
          </w:p>
          <w:p w14:paraId="56C1F689" w14:textId="77777777" w:rsidR="00306EB3" w:rsidRPr="00306EB3" w:rsidRDefault="00306EB3" w:rsidP="00306EB3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Jost" w:hAnsi="Jost" w:cs="Calibri"/>
                <w:shd w:val="clear" w:color="auto" w:fill="FFFFFF"/>
                <w:lang w:val="lt-LT" w:eastAsia="lt-LT"/>
              </w:rPr>
            </w:pPr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Manome, kad reikalavimas pasižymi </w:t>
            </w:r>
            <w:proofErr w:type="spellStart"/>
            <w:r w:rsidRPr="00306EB3">
              <w:rPr>
                <w:rFonts w:ascii="Jost" w:hAnsi="Jost"/>
                <w:b/>
                <w:bCs/>
                <w:shd w:val="clear" w:color="auto" w:fill="FFFFFF"/>
                <w:lang w:val="lt-LT" w:eastAsia="lt-LT"/>
              </w:rPr>
              <w:t>mikobaktericidiniu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 ir </w:t>
            </w:r>
            <w:proofErr w:type="spellStart"/>
            <w:r w:rsidRPr="00306EB3">
              <w:rPr>
                <w:rFonts w:ascii="Jost" w:hAnsi="Jost"/>
                <w:b/>
                <w:bCs/>
                <w:shd w:val="clear" w:color="auto" w:fill="FFFFFF"/>
                <w:lang w:val="lt-LT" w:eastAsia="lt-LT"/>
              </w:rPr>
              <w:t>fungicidiniu</w:t>
            </w:r>
            <w:proofErr w:type="spellEnd"/>
            <w:r w:rsidRPr="00306EB3">
              <w:rPr>
                <w:rFonts w:ascii="Jost" w:hAnsi="Jost" w:cs="Calibri"/>
                <w:shd w:val="clear" w:color="auto" w:fill="FFFFFF"/>
                <w:lang w:val="lt-LT" w:eastAsia="lt-LT"/>
              </w:rPr>
              <w:t> poveikiu yra perteklinis, neleidžiantis tiekėjams pasiūlyti odos antiseptikus šioje pirkimo platformoje."</w:t>
            </w:r>
          </w:p>
          <w:p w14:paraId="7659E9BF" w14:textId="4EFDAB72" w:rsidR="00D25ADE" w:rsidRPr="002115F1" w:rsidRDefault="00D25ADE" w:rsidP="002115F1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</w:tcPr>
          <w:p w14:paraId="4ADDB3DE" w14:textId="640D7FB8" w:rsidR="00B15788" w:rsidRPr="00306EB3" w:rsidRDefault="00306EB3" w:rsidP="00502511">
            <w:pPr>
              <w:shd w:val="clear" w:color="auto" w:fill="FFFFFF"/>
              <w:jc w:val="both"/>
              <w:rPr>
                <w:rFonts w:ascii="Jost" w:hAnsi="Jost" w:cs="Times New Roman"/>
                <w:bCs/>
                <w:sz w:val="24"/>
                <w:szCs w:val="24"/>
              </w:rPr>
            </w:pPr>
            <w:r w:rsidRPr="00306EB3">
              <w:rPr>
                <w:rFonts w:ascii="Jost" w:hAnsi="Jost"/>
                <w:sz w:val="24"/>
                <w:szCs w:val="24"/>
              </w:rPr>
              <w:t xml:space="preserve">Atsižvelgiama į gautą pastabą – vadovaujantis Pirkimo sąlygų A dalies „Nurodymai dalyviams“ </w:t>
            </w:r>
            <w:r w:rsidR="000919E3">
              <w:rPr>
                <w:rFonts w:ascii="Jost" w:hAnsi="Jost"/>
                <w:sz w:val="24"/>
                <w:szCs w:val="24"/>
              </w:rPr>
              <w:t>3.3</w:t>
            </w:r>
            <w:r w:rsidRPr="00306EB3">
              <w:rPr>
                <w:rFonts w:ascii="Jost" w:hAnsi="Jost"/>
                <w:sz w:val="24"/>
                <w:szCs w:val="24"/>
              </w:rPr>
              <w:t xml:space="preserve"> p. antiseptinių tirpalų odos paruošimui techninės specifikacijos patikslinamos panaikinamas reikalavimas, kad antiseptinis tirpalas odos paruošimui turi pasižymėti </w:t>
            </w:r>
            <w:proofErr w:type="spellStart"/>
            <w:r w:rsidRPr="00306EB3">
              <w:rPr>
                <w:rFonts w:ascii="Jost" w:hAnsi="Jost"/>
                <w:sz w:val="24"/>
                <w:szCs w:val="24"/>
              </w:rPr>
              <w:t>mikobaktericidiniu</w:t>
            </w:r>
            <w:proofErr w:type="spellEnd"/>
            <w:r w:rsidRPr="00306EB3">
              <w:rPr>
                <w:rFonts w:ascii="Jost" w:hAnsi="Jost"/>
                <w:sz w:val="24"/>
                <w:szCs w:val="24"/>
              </w:rPr>
              <w:t xml:space="preserve"> ir </w:t>
            </w:r>
            <w:proofErr w:type="spellStart"/>
            <w:r w:rsidRPr="00306EB3">
              <w:rPr>
                <w:rFonts w:ascii="Jost" w:hAnsi="Jost"/>
                <w:sz w:val="24"/>
                <w:szCs w:val="24"/>
              </w:rPr>
              <w:t>fungiciniu</w:t>
            </w:r>
            <w:proofErr w:type="spellEnd"/>
            <w:r w:rsidRPr="00306EB3">
              <w:rPr>
                <w:rFonts w:ascii="Jost" w:hAnsi="Jost"/>
                <w:sz w:val="24"/>
                <w:szCs w:val="24"/>
              </w:rPr>
              <w:t xml:space="preserve"> poveikiu, atitinkamai panaikinamas reikalavimas antiseptiniam tirpalui odos paruošimui taikyti EN 14348 ir EN 13624 standartų reikalavimus</w:t>
            </w:r>
          </w:p>
        </w:tc>
      </w:tr>
    </w:tbl>
    <w:p w14:paraId="3D94E8E9" w14:textId="41F4EC02" w:rsidR="006F5AE3" w:rsidRPr="002115F1" w:rsidRDefault="006F5AE3" w:rsidP="00662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0ED693" w14:textId="77777777" w:rsidR="00CA5351" w:rsidRPr="002115F1" w:rsidRDefault="00CA5351" w:rsidP="00662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A5351" w:rsidRPr="002115F1" w:rsidSect="00306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650" w:right="820" w:bottom="540" w:left="1134" w:header="504" w:footer="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042B1" w14:textId="77777777" w:rsidR="005D17D8" w:rsidRDefault="005D17D8" w:rsidP="0067717D">
      <w:pPr>
        <w:spacing w:after="0" w:line="240" w:lineRule="auto"/>
      </w:pPr>
      <w:r>
        <w:separator/>
      </w:r>
    </w:p>
  </w:endnote>
  <w:endnote w:type="continuationSeparator" w:id="0">
    <w:p w14:paraId="27E27FF9" w14:textId="77777777" w:rsidR="005D17D8" w:rsidRDefault="005D17D8" w:rsidP="0067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0312" w14:textId="77777777" w:rsidR="008F1E48" w:rsidRDefault="008F1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74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1EE11" w14:textId="55D2EFA0" w:rsidR="00DC7602" w:rsidRDefault="00DC76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5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24DCCC" w14:textId="77777777" w:rsidR="00DC7602" w:rsidRDefault="00DC7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096B" w14:textId="77777777" w:rsidR="008F1E48" w:rsidRDefault="008F1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C803D" w14:textId="77777777" w:rsidR="005D17D8" w:rsidRDefault="005D17D8" w:rsidP="0067717D">
      <w:pPr>
        <w:spacing w:after="0" w:line="240" w:lineRule="auto"/>
      </w:pPr>
      <w:r>
        <w:separator/>
      </w:r>
    </w:p>
  </w:footnote>
  <w:footnote w:type="continuationSeparator" w:id="0">
    <w:p w14:paraId="41D94E29" w14:textId="77777777" w:rsidR="005D17D8" w:rsidRDefault="005D17D8" w:rsidP="0067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E374" w14:textId="77777777" w:rsidR="008F1E48" w:rsidRDefault="008F1E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29F0" w14:textId="22CDA53D" w:rsidR="00306EB3" w:rsidRDefault="00306EB3" w:rsidP="00306EB3">
    <w:pPr>
      <w:pStyle w:val="Header"/>
      <w:tabs>
        <w:tab w:val="left" w:pos="1926"/>
      </w:tabs>
      <w:ind w:left="4819" w:hanging="4596"/>
      <w:rPr>
        <w:sz w:val="24"/>
        <w:szCs w:val="24"/>
      </w:rPr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5F782BB3" wp14:editId="203153F6">
          <wp:extent cx="1248229" cy="512485"/>
          <wp:effectExtent l="0" t="0" r="0" b="0"/>
          <wp:docPr id="64" name="Picture 6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</w:t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                                                          V</w:t>
    </w:r>
    <w:r w:rsidR="00DC7602" w:rsidRPr="00CC6BDA">
      <w:rPr>
        <w:sz w:val="24"/>
        <w:szCs w:val="24"/>
      </w:rPr>
      <w:t xml:space="preserve">iešojo pirkimo </w:t>
    </w:r>
    <w:r w:rsidR="00EA25C2">
      <w:rPr>
        <w:sz w:val="24"/>
        <w:szCs w:val="24"/>
      </w:rPr>
      <w:t>„</w:t>
    </w:r>
    <w:r>
      <w:rPr>
        <w:sz w:val="24"/>
        <w:szCs w:val="24"/>
      </w:rPr>
      <w:t xml:space="preserve">Dezinfekcinių tirpalų ir kitų dezinfekcinių priemonių </w:t>
    </w:r>
  </w:p>
  <w:p w14:paraId="5129D933" w14:textId="6FBC9580" w:rsidR="00DC7602" w:rsidRDefault="00306EB3" w:rsidP="00306EB3">
    <w:pPr>
      <w:pStyle w:val="Header"/>
      <w:tabs>
        <w:tab w:val="left" w:pos="1926"/>
      </w:tabs>
      <w:ind w:left="4819" w:hanging="4596"/>
      <w:jc w:val="center"/>
      <w:rPr>
        <w:sz w:val="24"/>
        <w:szCs w:val="24"/>
      </w:rPr>
    </w:pPr>
    <w:r>
      <w:rPr>
        <w:sz w:val="24"/>
        <w:szCs w:val="24"/>
      </w:rPr>
      <w:t xml:space="preserve">                          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                                                     nepriskirtų vaistams</w:t>
    </w:r>
    <w:r w:rsidRPr="00EB7D64">
      <w:rPr>
        <w:sz w:val="24"/>
        <w:szCs w:val="24"/>
      </w:rPr>
      <w:t xml:space="preserve"> </w:t>
    </w:r>
    <w:r>
      <w:rPr>
        <w:sz w:val="24"/>
        <w:szCs w:val="24"/>
      </w:rPr>
      <w:t>užsakymai per CPO  LT elektroninį katalogą</w:t>
    </w:r>
    <w:r w:rsidRPr="00EA25C2">
      <w:rPr>
        <w:sz w:val="24"/>
        <w:szCs w:val="24"/>
      </w:rPr>
      <w:t>“</w:t>
    </w:r>
    <w:r>
      <w:rPr>
        <w:sz w:val="24"/>
        <w:szCs w:val="24"/>
      </w:rPr>
      <w:t xml:space="preserve">           </w:t>
    </w:r>
  </w:p>
  <w:p w14:paraId="501BB574" w14:textId="2D8948AA" w:rsidR="00EA25C2" w:rsidRPr="00EA25C2" w:rsidRDefault="00C96DDA" w:rsidP="00C96DDA">
    <w:pPr>
      <w:pStyle w:val="Header"/>
      <w:tabs>
        <w:tab w:val="left" w:pos="1926"/>
      </w:tabs>
      <w:jc w:val="center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</w:t>
    </w:r>
    <w:r w:rsidR="00EA25C2">
      <w:rPr>
        <w:sz w:val="24"/>
        <w:szCs w:val="24"/>
      </w:rPr>
      <w:t xml:space="preserve">Protokolo Nr. </w:t>
    </w:r>
    <w:r w:rsidR="00306EB3">
      <w:rPr>
        <w:sz w:val="24"/>
        <w:szCs w:val="24"/>
      </w:rPr>
      <w:t>52</w:t>
    </w:r>
    <w:r w:rsidR="00EA25C2">
      <w:rPr>
        <w:sz w:val="24"/>
        <w:szCs w:val="24"/>
      </w:rPr>
      <w:t xml:space="preserve"> priedas</w:t>
    </w:r>
  </w:p>
  <w:p w14:paraId="0547ECAF" w14:textId="24278F6F" w:rsidR="00DC7602" w:rsidRDefault="00C96DDA" w:rsidP="00C96DDA">
    <w:pPr>
      <w:pStyle w:val="Header"/>
      <w:tabs>
        <w:tab w:val="left" w:pos="1926"/>
      </w:tabs>
      <w:jc w:val="center"/>
      <w:rPr>
        <w:rFonts w:eastAsia="MS Mincho"/>
        <w:sz w:val="16"/>
        <w:szCs w:val="16"/>
        <w:lang w:eastAsia="ja-JP"/>
      </w:rPr>
    </w:pPr>
    <w:r>
      <w:rPr>
        <w:sz w:val="24"/>
        <w:szCs w:val="24"/>
      </w:rPr>
      <w:t xml:space="preserve">                                                  </w:t>
    </w:r>
    <w:r w:rsidR="00306EB3">
      <w:rPr>
        <w:sz w:val="24"/>
        <w:szCs w:val="24"/>
      </w:rPr>
      <w:t>2023</w:t>
    </w:r>
    <w:r w:rsidR="00087508">
      <w:rPr>
        <w:sz w:val="24"/>
        <w:szCs w:val="24"/>
      </w:rPr>
      <w:t>-</w:t>
    </w:r>
    <w:r w:rsidR="00306EB3">
      <w:rPr>
        <w:sz w:val="24"/>
        <w:szCs w:val="24"/>
      </w:rPr>
      <w:t>09</w:t>
    </w:r>
    <w:r w:rsidR="00087508">
      <w:rPr>
        <w:sz w:val="24"/>
        <w:szCs w:val="24"/>
      </w:rPr>
      <w:t>-</w:t>
    </w:r>
    <w:r w:rsidR="008F1E48">
      <w:rPr>
        <w:sz w:val="24"/>
        <w:szCs w:val="24"/>
      </w:rPr>
      <w:t>06</w:t>
    </w:r>
  </w:p>
  <w:p w14:paraId="334F9AD1" w14:textId="77777777" w:rsidR="00DC7602" w:rsidRDefault="00DC76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12A2" w14:textId="77777777" w:rsidR="008F1E48" w:rsidRDefault="008F1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2CD9"/>
    <w:multiLevelType w:val="hybridMultilevel"/>
    <w:tmpl w:val="E918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5714"/>
    <w:multiLevelType w:val="hybridMultilevel"/>
    <w:tmpl w:val="12D01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95DA0"/>
    <w:multiLevelType w:val="hybridMultilevel"/>
    <w:tmpl w:val="88F0F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2FA4"/>
    <w:multiLevelType w:val="hybridMultilevel"/>
    <w:tmpl w:val="BE0E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7186E"/>
    <w:multiLevelType w:val="hybridMultilevel"/>
    <w:tmpl w:val="FAF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E718B"/>
    <w:multiLevelType w:val="hybridMultilevel"/>
    <w:tmpl w:val="1E7E2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E048D"/>
    <w:multiLevelType w:val="hybridMultilevel"/>
    <w:tmpl w:val="3CDE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04E5F"/>
    <w:multiLevelType w:val="hybridMultilevel"/>
    <w:tmpl w:val="2EB4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52AB5"/>
    <w:multiLevelType w:val="hybridMultilevel"/>
    <w:tmpl w:val="9044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B5F89"/>
    <w:multiLevelType w:val="hybridMultilevel"/>
    <w:tmpl w:val="21D8B1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523EA"/>
    <w:multiLevelType w:val="hybridMultilevel"/>
    <w:tmpl w:val="5166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53561"/>
    <w:multiLevelType w:val="hybridMultilevel"/>
    <w:tmpl w:val="9016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664342">
    <w:abstractNumId w:val="9"/>
  </w:num>
  <w:num w:numId="2" w16cid:durableId="255673953">
    <w:abstractNumId w:val="5"/>
  </w:num>
  <w:num w:numId="3" w16cid:durableId="1043138454">
    <w:abstractNumId w:val="7"/>
  </w:num>
  <w:num w:numId="4" w16cid:durableId="1255015527">
    <w:abstractNumId w:val="4"/>
  </w:num>
  <w:num w:numId="5" w16cid:durableId="1342659584">
    <w:abstractNumId w:val="10"/>
  </w:num>
  <w:num w:numId="6" w16cid:durableId="893157293">
    <w:abstractNumId w:val="8"/>
  </w:num>
  <w:num w:numId="7" w16cid:durableId="1300917993">
    <w:abstractNumId w:val="3"/>
  </w:num>
  <w:num w:numId="8" w16cid:durableId="986931483">
    <w:abstractNumId w:val="6"/>
  </w:num>
  <w:num w:numId="9" w16cid:durableId="533268870">
    <w:abstractNumId w:val="2"/>
  </w:num>
  <w:num w:numId="10" w16cid:durableId="596982577">
    <w:abstractNumId w:val="1"/>
  </w:num>
  <w:num w:numId="11" w16cid:durableId="752581710">
    <w:abstractNumId w:val="11"/>
  </w:num>
  <w:num w:numId="12" w16cid:durableId="42338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7D"/>
    <w:rsid w:val="000051AB"/>
    <w:rsid w:val="000138F3"/>
    <w:rsid w:val="0002565B"/>
    <w:rsid w:val="00026003"/>
    <w:rsid w:val="00026CE6"/>
    <w:rsid w:val="000271DF"/>
    <w:rsid w:val="000306B9"/>
    <w:rsid w:val="00035E8D"/>
    <w:rsid w:val="0003621C"/>
    <w:rsid w:val="00037ADE"/>
    <w:rsid w:val="00042157"/>
    <w:rsid w:val="00051640"/>
    <w:rsid w:val="000564F8"/>
    <w:rsid w:val="000627A9"/>
    <w:rsid w:val="000652B4"/>
    <w:rsid w:val="00070AB3"/>
    <w:rsid w:val="0007647A"/>
    <w:rsid w:val="00080F1D"/>
    <w:rsid w:val="0008216F"/>
    <w:rsid w:val="00083814"/>
    <w:rsid w:val="00086FD8"/>
    <w:rsid w:val="00087508"/>
    <w:rsid w:val="00090B38"/>
    <w:rsid w:val="000919E3"/>
    <w:rsid w:val="000A2BCF"/>
    <w:rsid w:val="000B16FA"/>
    <w:rsid w:val="000B7B53"/>
    <w:rsid w:val="000C30E2"/>
    <w:rsid w:val="000C4F2A"/>
    <w:rsid w:val="000C7B5B"/>
    <w:rsid w:val="000D66BF"/>
    <w:rsid w:val="000D7462"/>
    <w:rsid w:val="000E0439"/>
    <w:rsid w:val="000E2748"/>
    <w:rsid w:val="001038A4"/>
    <w:rsid w:val="00112C16"/>
    <w:rsid w:val="00113A27"/>
    <w:rsid w:val="00116A50"/>
    <w:rsid w:val="00122B1D"/>
    <w:rsid w:val="00122B73"/>
    <w:rsid w:val="001321F8"/>
    <w:rsid w:val="001372C5"/>
    <w:rsid w:val="001406BF"/>
    <w:rsid w:val="00142203"/>
    <w:rsid w:val="0014295E"/>
    <w:rsid w:val="00144CDF"/>
    <w:rsid w:val="00160E34"/>
    <w:rsid w:val="001624FD"/>
    <w:rsid w:val="00165263"/>
    <w:rsid w:val="00180273"/>
    <w:rsid w:val="00181A24"/>
    <w:rsid w:val="00181FEA"/>
    <w:rsid w:val="001822CB"/>
    <w:rsid w:val="00186BB1"/>
    <w:rsid w:val="00187B3C"/>
    <w:rsid w:val="00190EC2"/>
    <w:rsid w:val="00191B9A"/>
    <w:rsid w:val="001921F5"/>
    <w:rsid w:val="00194536"/>
    <w:rsid w:val="00194757"/>
    <w:rsid w:val="00196303"/>
    <w:rsid w:val="001A548E"/>
    <w:rsid w:val="001A7BCF"/>
    <w:rsid w:val="001B6027"/>
    <w:rsid w:val="001C681D"/>
    <w:rsid w:val="001C77EC"/>
    <w:rsid w:val="001D2721"/>
    <w:rsid w:val="001E0CA2"/>
    <w:rsid w:val="001E1D5C"/>
    <w:rsid w:val="001E6AEA"/>
    <w:rsid w:val="001F57C0"/>
    <w:rsid w:val="00200D65"/>
    <w:rsid w:val="00202C3F"/>
    <w:rsid w:val="002115F1"/>
    <w:rsid w:val="00214056"/>
    <w:rsid w:val="00214ABF"/>
    <w:rsid w:val="00215164"/>
    <w:rsid w:val="00216387"/>
    <w:rsid w:val="00220FF8"/>
    <w:rsid w:val="002223B3"/>
    <w:rsid w:val="0022273E"/>
    <w:rsid w:val="00224136"/>
    <w:rsid w:val="00230183"/>
    <w:rsid w:val="0023045F"/>
    <w:rsid w:val="0023120D"/>
    <w:rsid w:val="002329FC"/>
    <w:rsid w:val="00244B26"/>
    <w:rsid w:val="0024797D"/>
    <w:rsid w:val="00257157"/>
    <w:rsid w:val="00264721"/>
    <w:rsid w:val="002727AE"/>
    <w:rsid w:val="00275AC0"/>
    <w:rsid w:val="002767DA"/>
    <w:rsid w:val="00281A4D"/>
    <w:rsid w:val="00286A62"/>
    <w:rsid w:val="00296FBE"/>
    <w:rsid w:val="002A268E"/>
    <w:rsid w:val="002B2B17"/>
    <w:rsid w:val="002B42E7"/>
    <w:rsid w:val="002B7FA3"/>
    <w:rsid w:val="002C4BB6"/>
    <w:rsid w:val="002C55A7"/>
    <w:rsid w:val="002D00BA"/>
    <w:rsid w:val="002D0640"/>
    <w:rsid w:val="002D0AB8"/>
    <w:rsid w:val="002D3BCA"/>
    <w:rsid w:val="002D7083"/>
    <w:rsid w:val="002D7DBE"/>
    <w:rsid w:val="002E213B"/>
    <w:rsid w:val="002F2BA4"/>
    <w:rsid w:val="0030159F"/>
    <w:rsid w:val="003064F3"/>
    <w:rsid w:val="00306EB3"/>
    <w:rsid w:val="00310522"/>
    <w:rsid w:val="00321364"/>
    <w:rsid w:val="003216EB"/>
    <w:rsid w:val="00325C3D"/>
    <w:rsid w:val="00327423"/>
    <w:rsid w:val="00337CD5"/>
    <w:rsid w:val="00344DC4"/>
    <w:rsid w:val="0034731E"/>
    <w:rsid w:val="00351621"/>
    <w:rsid w:val="00361E5E"/>
    <w:rsid w:val="003664E1"/>
    <w:rsid w:val="00367FE0"/>
    <w:rsid w:val="00370B0B"/>
    <w:rsid w:val="00372527"/>
    <w:rsid w:val="003744A9"/>
    <w:rsid w:val="003777D9"/>
    <w:rsid w:val="0038030F"/>
    <w:rsid w:val="00385BCD"/>
    <w:rsid w:val="00393F11"/>
    <w:rsid w:val="00394272"/>
    <w:rsid w:val="00397527"/>
    <w:rsid w:val="003A0C63"/>
    <w:rsid w:val="003A2872"/>
    <w:rsid w:val="003A48E0"/>
    <w:rsid w:val="003A6C2F"/>
    <w:rsid w:val="003A6C78"/>
    <w:rsid w:val="003A70F2"/>
    <w:rsid w:val="003B034A"/>
    <w:rsid w:val="003B31F2"/>
    <w:rsid w:val="003B7171"/>
    <w:rsid w:val="003B71C9"/>
    <w:rsid w:val="003B766F"/>
    <w:rsid w:val="003C233D"/>
    <w:rsid w:val="003D1E76"/>
    <w:rsid w:val="003D3B8C"/>
    <w:rsid w:val="003D5475"/>
    <w:rsid w:val="003D7675"/>
    <w:rsid w:val="003E0843"/>
    <w:rsid w:val="003E0865"/>
    <w:rsid w:val="003E10FF"/>
    <w:rsid w:val="003F5484"/>
    <w:rsid w:val="004000EB"/>
    <w:rsid w:val="004068CB"/>
    <w:rsid w:val="00411AFC"/>
    <w:rsid w:val="0041483B"/>
    <w:rsid w:val="00415596"/>
    <w:rsid w:val="004238FE"/>
    <w:rsid w:val="00424817"/>
    <w:rsid w:val="00427F1E"/>
    <w:rsid w:val="0044082A"/>
    <w:rsid w:val="00450069"/>
    <w:rsid w:val="00451247"/>
    <w:rsid w:val="00473263"/>
    <w:rsid w:val="00473900"/>
    <w:rsid w:val="00474A90"/>
    <w:rsid w:val="00477951"/>
    <w:rsid w:val="004814B1"/>
    <w:rsid w:val="00483A5B"/>
    <w:rsid w:val="00490450"/>
    <w:rsid w:val="00493D5D"/>
    <w:rsid w:val="00496C93"/>
    <w:rsid w:val="00496FE8"/>
    <w:rsid w:val="004A568C"/>
    <w:rsid w:val="004A6A8F"/>
    <w:rsid w:val="004A7E90"/>
    <w:rsid w:val="004B3FC0"/>
    <w:rsid w:val="004C0ECD"/>
    <w:rsid w:val="004C4738"/>
    <w:rsid w:val="004D121F"/>
    <w:rsid w:val="004D1DEA"/>
    <w:rsid w:val="004D2CED"/>
    <w:rsid w:val="004D6FF7"/>
    <w:rsid w:val="004D7D9A"/>
    <w:rsid w:val="004E238E"/>
    <w:rsid w:val="004F2499"/>
    <w:rsid w:val="004F7AF9"/>
    <w:rsid w:val="0050210E"/>
    <w:rsid w:val="00502511"/>
    <w:rsid w:val="005025DF"/>
    <w:rsid w:val="00503475"/>
    <w:rsid w:val="00503D33"/>
    <w:rsid w:val="00506677"/>
    <w:rsid w:val="005067D9"/>
    <w:rsid w:val="00514689"/>
    <w:rsid w:val="005162ED"/>
    <w:rsid w:val="00516DDE"/>
    <w:rsid w:val="00521004"/>
    <w:rsid w:val="00522FD9"/>
    <w:rsid w:val="0052386A"/>
    <w:rsid w:val="0052448C"/>
    <w:rsid w:val="00525412"/>
    <w:rsid w:val="005254D5"/>
    <w:rsid w:val="00530EB2"/>
    <w:rsid w:val="00534883"/>
    <w:rsid w:val="005444EE"/>
    <w:rsid w:val="005463AA"/>
    <w:rsid w:val="00553115"/>
    <w:rsid w:val="0055423C"/>
    <w:rsid w:val="00555C50"/>
    <w:rsid w:val="005671D1"/>
    <w:rsid w:val="005868E9"/>
    <w:rsid w:val="00590589"/>
    <w:rsid w:val="00590B2C"/>
    <w:rsid w:val="00596AF6"/>
    <w:rsid w:val="005B5C64"/>
    <w:rsid w:val="005B5E47"/>
    <w:rsid w:val="005C0999"/>
    <w:rsid w:val="005C0F9D"/>
    <w:rsid w:val="005C3D84"/>
    <w:rsid w:val="005D17D8"/>
    <w:rsid w:val="005D685C"/>
    <w:rsid w:val="005D7B24"/>
    <w:rsid w:val="005E091C"/>
    <w:rsid w:val="005E26FE"/>
    <w:rsid w:val="005E7B9C"/>
    <w:rsid w:val="005F08EE"/>
    <w:rsid w:val="005F4481"/>
    <w:rsid w:val="005F55D6"/>
    <w:rsid w:val="005F7536"/>
    <w:rsid w:val="00600A2A"/>
    <w:rsid w:val="00600E5A"/>
    <w:rsid w:val="0060574E"/>
    <w:rsid w:val="00606678"/>
    <w:rsid w:val="00606D8F"/>
    <w:rsid w:val="00611A6A"/>
    <w:rsid w:val="00613E29"/>
    <w:rsid w:val="00642B9C"/>
    <w:rsid w:val="00646877"/>
    <w:rsid w:val="00650ACE"/>
    <w:rsid w:val="006555C7"/>
    <w:rsid w:val="00656952"/>
    <w:rsid w:val="00662A33"/>
    <w:rsid w:val="00663DF6"/>
    <w:rsid w:val="00663F60"/>
    <w:rsid w:val="006641A3"/>
    <w:rsid w:val="00664614"/>
    <w:rsid w:val="00664D63"/>
    <w:rsid w:val="00664DC2"/>
    <w:rsid w:val="00670EA9"/>
    <w:rsid w:val="0067302D"/>
    <w:rsid w:val="00675471"/>
    <w:rsid w:val="00676D4D"/>
    <w:rsid w:val="0067717D"/>
    <w:rsid w:val="00680CFC"/>
    <w:rsid w:val="00686CA4"/>
    <w:rsid w:val="006900CC"/>
    <w:rsid w:val="00691A58"/>
    <w:rsid w:val="0069331D"/>
    <w:rsid w:val="006937E7"/>
    <w:rsid w:val="006964EE"/>
    <w:rsid w:val="00697B46"/>
    <w:rsid w:val="00697E6E"/>
    <w:rsid w:val="006A0850"/>
    <w:rsid w:val="006A24B2"/>
    <w:rsid w:val="006B2220"/>
    <w:rsid w:val="006B3443"/>
    <w:rsid w:val="006B7E5A"/>
    <w:rsid w:val="006C550F"/>
    <w:rsid w:val="006C7407"/>
    <w:rsid w:val="006E7585"/>
    <w:rsid w:val="006E770C"/>
    <w:rsid w:val="006F4766"/>
    <w:rsid w:val="006F5AE3"/>
    <w:rsid w:val="00702D16"/>
    <w:rsid w:val="00703EA7"/>
    <w:rsid w:val="00716312"/>
    <w:rsid w:val="0072071D"/>
    <w:rsid w:val="007217DD"/>
    <w:rsid w:val="00724AC1"/>
    <w:rsid w:val="00731518"/>
    <w:rsid w:val="007323CB"/>
    <w:rsid w:val="00734185"/>
    <w:rsid w:val="00735B4A"/>
    <w:rsid w:val="007473CB"/>
    <w:rsid w:val="00747CF9"/>
    <w:rsid w:val="0075130F"/>
    <w:rsid w:val="00753A08"/>
    <w:rsid w:val="0076288E"/>
    <w:rsid w:val="007660D2"/>
    <w:rsid w:val="00766B88"/>
    <w:rsid w:val="007718CE"/>
    <w:rsid w:val="00780A72"/>
    <w:rsid w:val="007870BB"/>
    <w:rsid w:val="007901A4"/>
    <w:rsid w:val="00790A84"/>
    <w:rsid w:val="0079152C"/>
    <w:rsid w:val="007972C5"/>
    <w:rsid w:val="007A20D2"/>
    <w:rsid w:val="007A2B69"/>
    <w:rsid w:val="007A49AD"/>
    <w:rsid w:val="007A53FC"/>
    <w:rsid w:val="007A77D9"/>
    <w:rsid w:val="007B21B4"/>
    <w:rsid w:val="007B5F1F"/>
    <w:rsid w:val="007B6466"/>
    <w:rsid w:val="007B765F"/>
    <w:rsid w:val="007B76C1"/>
    <w:rsid w:val="007B77CA"/>
    <w:rsid w:val="007C396E"/>
    <w:rsid w:val="007D088A"/>
    <w:rsid w:val="007D6DEC"/>
    <w:rsid w:val="007E10DC"/>
    <w:rsid w:val="007F00FF"/>
    <w:rsid w:val="007F0910"/>
    <w:rsid w:val="007F2A30"/>
    <w:rsid w:val="0080256E"/>
    <w:rsid w:val="00802ACA"/>
    <w:rsid w:val="00804617"/>
    <w:rsid w:val="00806976"/>
    <w:rsid w:val="008169A4"/>
    <w:rsid w:val="00833F1C"/>
    <w:rsid w:val="0083793F"/>
    <w:rsid w:val="00840401"/>
    <w:rsid w:val="008424B5"/>
    <w:rsid w:val="00857C47"/>
    <w:rsid w:val="00863776"/>
    <w:rsid w:val="00863882"/>
    <w:rsid w:val="00865B73"/>
    <w:rsid w:val="0087064B"/>
    <w:rsid w:val="0087168C"/>
    <w:rsid w:val="00873657"/>
    <w:rsid w:val="00884CDC"/>
    <w:rsid w:val="00885A1F"/>
    <w:rsid w:val="00885A51"/>
    <w:rsid w:val="00886CFC"/>
    <w:rsid w:val="00886E60"/>
    <w:rsid w:val="00887CDA"/>
    <w:rsid w:val="00897509"/>
    <w:rsid w:val="00897FBF"/>
    <w:rsid w:val="008A6DAE"/>
    <w:rsid w:val="008B0F8F"/>
    <w:rsid w:val="008B75B7"/>
    <w:rsid w:val="008C3EED"/>
    <w:rsid w:val="008C4791"/>
    <w:rsid w:val="008E01EC"/>
    <w:rsid w:val="008E554F"/>
    <w:rsid w:val="008E6E1D"/>
    <w:rsid w:val="008F098A"/>
    <w:rsid w:val="008F1E48"/>
    <w:rsid w:val="008F2FBE"/>
    <w:rsid w:val="008F504A"/>
    <w:rsid w:val="00902950"/>
    <w:rsid w:val="00903489"/>
    <w:rsid w:val="0090623E"/>
    <w:rsid w:val="009159FE"/>
    <w:rsid w:val="00920E7A"/>
    <w:rsid w:val="00922B29"/>
    <w:rsid w:val="00924E2E"/>
    <w:rsid w:val="009273B6"/>
    <w:rsid w:val="009344E3"/>
    <w:rsid w:val="00940DE4"/>
    <w:rsid w:val="00941937"/>
    <w:rsid w:val="00947052"/>
    <w:rsid w:val="00947193"/>
    <w:rsid w:val="00953E32"/>
    <w:rsid w:val="00957B0A"/>
    <w:rsid w:val="00960EA8"/>
    <w:rsid w:val="009614E0"/>
    <w:rsid w:val="00961FFF"/>
    <w:rsid w:val="00963F5A"/>
    <w:rsid w:val="00967470"/>
    <w:rsid w:val="009674B7"/>
    <w:rsid w:val="009679E2"/>
    <w:rsid w:val="00967CF9"/>
    <w:rsid w:val="00975C30"/>
    <w:rsid w:val="00975DDC"/>
    <w:rsid w:val="00986977"/>
    <w:rsid w:val="00993EE8"/>
    <w:rsid w:val="009942BB"/>
    <w:rsid w:val="009979DC"/>
    <w:rsid w:val="009A277F"/>
    <w:rsid w:val="009A2E86"/>
    <w:rsid w:val="009A4D71"/>
    <w:rsid w:val="009A6301"/>
    <w:rsid w:val="009B253F"/>
    <w:rsid w:val="009B4C6D"/>
    <w:rsid w:val="009C10F9"/>
    <w:rsid w:val="009C11FC"/>
    <w:rsid w:val="009C197F"/>
    <w:rsid w:val="009D63EA"/>
    <w:rsid w:val="009E1921"/>
    <w:rsid w:val="009E1CDA"/>
    <w:rsid w:val="009E28BE"/>
    <w:rsid w:val="009E50FA"/>
    <w:rsid w:val="009E5B6A"/>
    <w:rsid w:val="009F0094"/>
    <w:rsid w:val="009F2410"/>
    <w:rsid w:val="009F28B6"/>
    <w:rsid w:val="009F3D1B"/>
    <w:rsid w:val="009F3E4D"/>
    <w:rsid w:val="00A03982"/>
    <w:rsid w:val="00A04E08"/>
    <w:rsid w:val="00A10A36"/>
    <w:rsid w:val="00A12638"/>
    <w:rsid w:val="00A316CC"/>
    <w:rsid w:val="00A317D8"/>
    <w:rsid w:val="00A413B7"/>
    <w:rsid w:val="00A439DB"/>
    <w:rsid w:val="00A47950"/>
    <w:rsid w:val="00A507E8"/>
    <w:rsid w:val="00A52263"/>
    <w:rsid w:val="00A53B76"/>
    <w:rsid w:val="00A56FD9"/>
    <w:rsid w:val="00A654FF"/>
    <w:rsid w:val="00A6601F"/>
    <w:rsid w:val="00A661E9"/>
    <w:rsid w:val="00A7239C"/>
    <w:rsid w:val="00A75ED1"/>
    <w:rsid w:val="00A80988"/>
    <w:rsid w:val="00A82465"/>
    <w:rsid w:val="00A83754"/>
    <w:rsid w:val="00A837B4"/>
    <w:rsid w:val="00A865CF"/>
    <w:rsid w:val="00A86763"/>
    <w:rsid w:val="00A915ED"/>
    <w:rsid w:val="00A95D2B"/>
    <w:rsid w:val="00AA0CB5"/>
    <w:rsid w:val="00AA58A7"/>
    <w:rsid w:val="00AB2ABB"/>
    <w:rsid w:val="00AB7C88"/>
    <w:rsid w:val="00AC0D9B"/>
    <w:rsid w:val="00AC6B80"/>
    <w:rsid w:val="00AC771D"/>
    <w:rsid w:val="00AC7957"/>
    <w:rsid w:val="00AD0A17"/>
    <w:rsid w:val="00AD117F"/>
    <w:rsid w:val="00AD3987"/>
    <w:rsid w:val="00AD4E3C"/>
    <w:rsid w:val="00AD7649"/>
    <w:rsid w:val="00AE1C60"/>
    <w:rsid w:val="00AE6A3F"/>
    <w:rsid w:val="00AF5655"/>
    <w:rsid w:val="00B02451"/>
    <w:rsid w:val="00B12270"/>
    <w:rsid w:val="00B124E3"/>
    <w:rsid w:val="00B15788"/>
    <w:rsid w:val="00B26C51"/>
    <w:rsid w:val="00B30301"/>
    <w:rsid w:val="00B339F5"/>
    <w:rsid w:val="00B36EB2"/>
    <w:rsid w:val="00B3728B"/>
    <w:rsid w:val="00B43054"/>
    <w:rsid w:val="00B44F4F"/>
    <w:rsid w:val="00B455CB"/>
    <w:rsid w:val="00B60E35"/>
    <w:rsid w:val="00B74421"/>
    <w:rsid w:val="00B749E1"/>
    <w:rsid w:val="00B76568"/>
    <w:rsid w:val="00B86884"/>
    <w:rsid w:val="00B86FB8"/>
    <w:rsid w:val="00B8757B"/>
    <w:rsid w:val="00B92EB3"/>
    <w:rsid w:val="00B930C7"/>
    <w:rsid w:val="00B95C36"/>
    <w:rsid w:val="00BB0359"/>
    <w:rsid w:val="00BB3979"/>
    <w:rsid w:val="00BB518B"/>
    <w:rsid w:val="00BD2510"/>
    <w:rsid w:val="00BE1482"/>
    <w:rsid w:val="00BE6D8C"/>
    <w:rsid w:val="00BF0B7F"/>
    <w:rsid w:val="00BF2A28"/>
    <w:rsid w:val="00BF4E59"/>
    <w:rsid w:val="00BF5151"/>
    <w:rsid w:val="00BF5413"/>
    <w:rsid w:val="00BF6411"/>
    <w:rsid w:val="00C02F5A"/>
    <w:rsid w:val="00C12E6B"/>
    <w:rsid w:val="00C1390A"/>
    <w:rsid w:val="00C16717"/>
    <w:rsid w:val="00C17C8C"/>
    <w:rsid w:val="00C20B0B"/>
    <w:rsid w:val="00C20B70"/>
    <w:rsid w:val="00C212C6"/>
    <w:rsid w:val="00C23867"/>
    <w:rsid w:val="00C257A8"/>
    <w:rsid w:val="00C25DA7"/>
    <w:rsid w:val="00C34037"/>
    <w:rsid w:val="00C3644B"/>
    <w:rsid w:val="00C36DF5"/>
    <w:rsid w:val="00C372EC"/>
    <w:rsid w:val="00C43A0E"/>
    <w:rsid w:val="00C45678"/>
    <w:rsid w:val="00C514C2"/>
    <w:rsid w:val="00C620CA"/>
    <w:rsid w:val="00C657B5"/>
    <w:rsid w:val="00C660F6"/>
    <w:rsid w:val="00C67E82"/>
    <w:rsid w:val="00C703F5"/>
    <w:rsid w:val="00C73DA6"/>
    <w:rsid w:val="00C76CCE"/>
    <w:rsid w:val="00C8234C"/>
    <w:rsid w:val="00C85550"/>
    <w:rsid w:val="00C86077"/>
    <w:rsid w:val="00C86DBF"/>
    <w:rsid w:val="00C96C5B"/>
    <w:rsid w:val="00C96DDA"/>
    <w:rsid w:val="00CA4573"/>
    <w:rsid w:val="00CA5351"/>
    <w:rsid w:val="00CB00EC"/>
    <w:rsid w:val="00CB0932"/>
    <w:rsid w:val="00CB73F4"/>
    <w:rsid w:val="00CB7C8B"/>
    <w:rsid w:val="00CC20CD"/>
    <w:rsid w:val="00CC6BDA"/>
    <w:rsid w:val="00CC7F29"/>
    <w:rsid w:val="00CD1F43"/>
    <w:rsid w:val="00CF0297"/>
    <w:rsid w:val="00CF163B"/>
    <w:rsid w:val="00CF1C79"/>
    <w:rsid w:val="00D00DE2"/>
    <w:rsid w:val="00D03D6A"/>
    <w:rsid w:val="00D13E7E"/>
    <w:rsid w:val="00D217B6"/>
    <w:rsid w:val="00D23607"/>
    <w:rsid w:val="00D25ADE"/>
    <w:rsid w:val="00D34C52"/>
    <w:rsid w:val="00D35449"/>
    <w:rsid w:val="00D53F5F"/>
    <w:rsid w:val="00D57D74"/>
    <w:rsid w:val="00D61279"/>
    <w:rsid w:val="00D61AD2"/>
    <w:rsid w:val="00D71E89"/>
    <w:rsid w:val="00D72706"/>
    <w:rsid w:val="00D72894"/>
    <w:rsid w:val="00D77E1B"/>
    <w:rsid w:val="00D841BB"/>
    <w:rsid w:val="00D8605F"/>
    <w:rsid w:val="00D865A9"/>
    <w:rsid w:val="00D95D33"/>
    <w:rsid w:val="00D95D37"/>
    <w:rsid w:val="00DA3CA5"/>
    <w:rsid w:val="00DB0D47"/>
    <w:rsid w:val="00DB404F"/>
    <w:rsid w:val="00DB42C0"/>
    <w:rsid w:val="00DB46EA"/>
    <w:rsid w:val="00DC27D3"/>
    <w:rsid w:val="00DC3DDB"/>
    <w:rsid w:val="00DC7602"/>
    <w:rsid w:val="00DD0C22"/>
    <w:rsid w:val="00DD2E06"/>
    <w:rsid w:val="00DD5005"/>
    <w:rsid w:val="00DD6835"/>
    <w:rsid w:val="00DE0B5C"/>
    <w:rsid w:val="00DE0E4F"/>
    <w:rsid w:val="00DE699D"/>
    <w:rsid w:val="00DF1C9B"/>
    <w:rsid w:val="00DF2C98"/>
    <w:rsid w:val="00DF4C75"/>
    <w:rsid w:val="00DF66DE"/>
    <w:rsid w:val="00DF768D"/>
    <w:rsid w:val="00E03EF8"/>
    <w:rsid w:val="00E071A0"/>
    <w:rsid w:val="00E100C1"/>
    <w:rsid w:val="00E121BD"/>
    <w:rsid w:val="00E12BF8"/>
    <w:rsid w:val="00E13B50"/>
    <w:rsid w:val="00E179BE"/>
    <w:rsid w:val="00E27FF7"/>
    <w:rsid w:val="00E30137"/>
    <w:rsid w:val="00E31107"/>
    <w:rsid w:val="00E418D8"/>
    <w:rsid w:val="00E433CE"/>
    <w:rsid w:val="00E43669"/>
    <w:rsid w:val="00E465F8"/>
    <w:rsid w:val="00E50D3C"/>
    <w:rsid w:val="00E6048E"/>
    <w:rsid w:val="00E66B9C"/>
    <w:rsid w:val="00E67407"/>
    <w:rsid w:val="00E71BCD"/>
    <w:rsid w:val="00E757B3"/>
    <w:rsid w:val="00E81645"/>
    <w:rsid w:val="00E93F38"/>
    <w:rsid w:val="00EA1282"/>
    <w:rsid w:val="00EA1F66"/>
    <w:rsid w:val="00EA25C2"/>
    <w:rsid w:val="00EA716D"/>
    <w:rsid w:val="00EB0B66"/>
    <w:rsid w:val="00EB352F"/>
    <w:rsid w:val="00EB696B"/>
    <w:rsid w:val="00EB70F7"/>
    <w:rsid w:val="00EB7D64"/>
    <w:rsid w:val="00EC07AD"/>
    <w:rsid w:val="00EC7C28"/>
    <w:rsid w:val="00ED40C8"/>
    <w:rsid w:val="00EE2AFA"/>
    <w:rsid w:val="00F028D5"/>
    <w:rsid w:val="00F076D2"/>
    <w:rsid w:val="00F10A80"/>
    <w:rsid w:val="00F20021"/>
    <w:rsid w:val="00F22064"/>
    <w:rsid w:val="00F24125"/>
    <w:rsid w:val="00F248D6"/>
    <w:rsid w:val="00F251E5"/>
    <w:rsid w:val="00F321E5"/>
    <w:rsid w:val="00F45143"/>
    <w:rsid w:val="00F50C18"/>
    <w:rsid w:val="00F64FE1"/>
    <w:rsid w:val="00F70507"/>
    <w:rsid w:val="00F70D22"/>
    <w:rsid w:val="00F7769D"/>
    <w:rsid w:val="00F81866"/>
    <w:rsid w:val="00F855C3"/>
    <w:rsid w:val="00F941F6"/>
    <w:rsid w:val="00FA37AA"/>
    <w:rsid w:val="00FA572D"/>
    <w:rsid w:val="00FB1D64"/>
    <w:rsid w:val="00FB1DCF"/>
    <w:rsid w:val="00FB5135"/>
    <w:rsid w:val="00FC3E29"/>
    <w:rsid w:val="00FC573D"/>
    <w:rsid w:val="00FC65B0"/>
    <w:rsid w:val="00FD1A78"/>
    <w:rsid w:val="00FE2A8B"/>
    <w:rsid w:val="00FF1DD5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C50F4"/>
  <w15:docId w15:val="{F90FA2F3-D95B-4026-84A0-40282BF4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17D"/>
  </w:style>
  <w:style w:type="paragraph" w:styleId="Footer">
    <w:name w:val="footer"/>
    <w:basedOn w:val="Normal"/>
    <w:link w:val="FooterChar"/>
    <w:uiPriority w:val="99"/>
    <w:unhideWhenUsed/>
    <w:rsid w:val="0067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17D"/>
  </w:style>
  <w:style w:type="paragraph" w:styleId="BalloonText">
    <w:name w:val="Balloon Text"/>
    <w:basedOn w:val="Normal"/>
    <w:link w:val="BalloonTextChar"/>
    <w:uiPriority w:val="99"/>
    <w:semiHidden/>
    <w:unhideWhenUsed/>
    <w:rsid w:val="0067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1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D7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83A5B"/>
  </w:style>
  <w:style w:type="paragraph" w:customStyle="1" w:styleId="Default">
    <w:name w:val="Default"/>
    <w:rsid w:val="007A53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993E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93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3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E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71A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87508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7D6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7D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4D30-133E-4FAD-9F8F-A419C5D7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Aistė Kairaitienė</cp:lastModifiedBy>
  <cp:revision>4</cp:revision>
  <cp:lastPrinted>2020-03-23T11:31:00Z</cp:lastPrinted>
  <dcterms:created xsi:type="dcterms:W3CDTF">2023-09-06T06:30:00Z</dcterms:created>
  <dcterms:modified xsi:type="dcterms:W3CDTF">2023-09-06T12:47:00Z</dcterms:modified>
</cp:coreProperties>
</file>