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71AAC" w14:textId="39F263A1" w:rsidR="00222EB0" w:rsidRPr="008A6FA7" w:rsidRDefault="00222EB0" w:rsidP="008A6FA7">
      <w:pPr>
        <w:spacing w:after="0" w:line="240" w:lineRule="auto"/>
        <w:ind w:left="1320"/>
        <w:rPr>
          <w:rFonts w:ascii="Times New Roman" w:hAnsi="Times New Roman" w:cs="Times New Roman"/>
          <w:sz w:val="24"/>
          <w:szCs w:val="24"/>
        </w:rPr>
      </w:pPr>
      <w:r w:rsidRPr="008A6FA7">
        <w:rPr>
          <w:rFonts w:ascii="Times New Roman" w:hAnsi="Times New Roman" w:cs="Times New Roman"/>
          <w:b/>
          <w:sz w:val="24"/>
          <w:szCs w:val="24"/>
        </w:rPr>
        <w:t>Dokumentų skenerio</w:t>
      </w:r>
      <w:r w:rsidR="001458D7" w:rsidRPr="008A6FA7">
        <w:rPr>
          <w:rFonts w:ascii="Times New Roman" w:hAnsi="Times New Roman" w:cs="Times New Roman"/>
          <w:b/>
          <w:sz w:val="24"/>
          <w:szCs w:val="24"/>
        </w:rPr>
        <w:t xml:space="preserve"> reikalavimai</w:t>
      </w:r>
      <w:r w:rsidR="001458D7" w:rsidRPr="008A6FA7">
        <w:rPr>
          <w:rFonts w:ascii="Times New Roman" w:hAnsi="Times New Roman" w:cs="Times New Roman"/>
          <w:bCs/>
          <w:sz w:val="24"/>
          <w:szCs w:val="24"/>
        </w:rPr>
        <w:t xml:space="preserve">, kiekis </w:t>
      </w:r>
      <w:r w:rsidR="001458D7" w:rsidRPr="008A6FA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120 </w:t>
      </w:r>
      <w:proofErr w:type="spellStart"/>
      <w:r w:rsidR="001458D7" w:rsidRPr="008A6FA7">
        <w:rPr>
          <w:rFonts w:ascii="Times New Roman" w:hAnsi="Times New Roman" w:cs="Times New Roman"/>
          <w:bCs/>
          <w:sz w:val="24"/>
          <w:szCs w:val="24"/>
          <w:lang w:val="en-US"/>
        </w:rPr>
        <w:t>vnt</w:t>
      </w:r>
      <w:proofErr w:type="spellEnd"/>
      <w:r w:rsidR="001458D7" w:rsidRPr="008A6FA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373"/>
      </w:tblGrid>
      <w:tr w:rsidR="00222EB0" w:rsidRPr="008A6FA7" w14:paraId="03B182C4" w14:textId="77777777" w:rsidTr="00222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F87A" w14:textId="77777777" w:rsidR="00222EB0" w:rsidRPr="008A6FA7" w:rsidRDefault="00222EB0" w:rsidP="008A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Parametras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871" w14:textId="77777777" w:rsidR="00222EB0" w:rsidRPr="008A6FA7" w:rsidRDefault="00222EB0" w:rsidP="008A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Reikalaujama reikšmė (arba geresnė)</w:t>
            </w:r>
          </w:p>
        </w:tc>
      </w:tr>
      <w:tr w:rsidR="00222EB0" w:rsidRPr="008A6FA7" w14:paraId="53B6B51F" w14:textId="77777777" w:rsidTr="00222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5944" w14:textId="77777777" w:rsidR="00222EB0" w:rsidRPr="008A6FA7" w:rsidRDefault="00222EB0" w:rsidP="008A6FA7">
            <w:pPr>
              <w:numPr>
                <w:ilvl w:val="4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Gamintojas, modelis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6B28" w14:textId="37BF079B" w:rsidR="00222EB0" w:rsidRPr="008A6FA7" w:rsidRDefault="00222EB0" w:rsidP="008A6FA7">
            <w:pPr>
              <w:numPr>
                <w:ilvl w:val="5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Teikėjas privalo nurodyti firmos gamintojos pavadinimą, kodą, pateikti informaciją, kurioje būtų pateiktos išsamios siūlomų produktų specifikacijos.</w:t>
            </w:r>
            <w:r w:rsidR="00641DB8" w:rsidRPr="008A6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7EE" w:rsidRPr="008A6FA7">
              <w:rPr>
                <w:rFonts w:ascii="Times New Roman" w:hAnsi="Times New Roman" w:cs="Times New Roman"/>
                <w:sz w:val="24"/>
                <w:szCs w:val="24"/>
              </w:rPr>
              <w:t>Tiekėjai turi tenkinti reikalavimus ir s</w:t>
            </w:r>
            <w:r w:rsidR="00641DB8" w:rsidRPr="008A6FA7">
              <w:rPr>
                <w:rFonts w:ascii="Times New Roman" w:hAnsi="Times New Roman" w:cs="Times New Roman"/>
                <w:sz w:val="24"/>
                <w:szCs w:val="24"/>
              </w:rPr>
              <w:t xml:space="preserve">iūlomos prekės neturi kelti grėsmės nacionaliniam saugumui pagal Viešųjų pirkimų įstatymo </w:t>
            </w:r>
            <w:r w:rsidR="009977EE" w:rsidRPr="008A6FA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641DB8" w:rsidRPr="008A6FA7">
              <w:rPr>
                <w:rFonts w:ascii="Times New Roman" w:hAnsi="Times New Roman" w:cs="Times New Roman"/>
                <w:sz w:val="24"/>
                <w:szCs w:val="24"/>
              </w:rPr>
              <w:t xml:space="preserve"> straipsnio </w:t>
            </w:r>
            <w:r w:rsidR="009977EE" w:rsidRPr="008A6F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41DB8" w:rsidRPr="008A6FA7">
              <w:rPr>
                <w:rFonts w:ascii="Times New Roman" w:hAnsi="Times New Roman" w:cs="Times New Roman"/>
                <w:sz w:val="24"/>
                <w:szCs w:val="24"/>
              </w:rPr>
              <w:t xml:space="preserve"> dalį</w:t>
            </w:r>
          </w:p>
        </w:tc>
      </w:tr>
      <w:tr w:rsidR="00222EB0" w:rsidRPr="008A6FA7" w14:paraId="6C5CA25F" w14:textId="77777777" w:rsidTr="00222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4D11" w14:textId="77777777" w:rsidR="00222EB0" w:rsidRPr="008A6FA7" w:rsidRDefault="00222EB0" w:rsidP="008A6FA7">
            <w:pPr>
              <w:numPr>
                <w:ilvl w:val="4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Skenuojami dokumentai ir jų interpretavimas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40BF" w14:textId="22673B92" w:rsidR="00222EB0" w:rsidRPr="008A6FA7" w:rsidRDefault="00222EB0" w:rsidP="008A6FA7">
            <w:pPr>
              <w:numPr>
                <w:ilvl w:val="5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Skeneris turi atpažinti ir skaityti visą kelionės dokumento puslapį (VIZ) dienos šviesos (</w:t>
            </w:r>
            <w:proofErr w:type="spellStart"/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  <w:proofErr w:type="spellEnd"/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), ultravioletinėje (UV), infraraudonųjų spindulių (IR) šviesose, išskirti MRZ informaciją iš dokumentų, atitinkančių ICAO 9303 standartą, vykdyti MRZ kontrolinių skaičių patikrinimą pagal ICAO 9303 arba lygiaverčiame standarte nustatytą matematinį algoritmą</w:t>
            </w:r>
            <w:r w:rsidR="00676551" w:rsidRPr="008A6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FA7">
              <w:rPr>
                <w:rFonts w:ascii="Times New Roman" w:hAnsi="Times New Roman" w:cs="Times New Roman"/>
                <w:sz w:val="24"/>
                <w:szCs w:val="24"/>
              </w:rPr>
              <w:t xml:space="preserve">ir klaidų rodymą, galiojimo laiko pabaigos tikrinimą nepriklausomai nuo dokumento duomenų lapo padėties ant skenavimo lango, jei pilnas lapas patenka ant skaitymo lango. </w:t>
            </w:r>
          </w:p>
        </w:tc>
      </w:tr>
      <w:tr w:rsidR="00092EF0" w:rsidRPr="008A6FA7" w14:paraId="62F43619" w14:textId="77777777" w:rsidTr="00222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03AC" w14:textId="53E2AFB8" w:rsidR="00092EF0" w:rsidRPr="008A6FA7" w:rsidRDefault="00092EF0" w:rsidP="008A6FA7">
            <w:pPr>
              <w:numPr>
                <w:ilvl w:val="4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6FA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A6FA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Brūkšnini</w:t>
            </w:r>
            <w:r w:rsidR="00706D37" w:rsidRPr="008A6FA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ų kodų skenavimas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BB38" w14:textId="420C705D" w:rsidR="00092EF0" w:rsidRPr="008A6FA7" w:rsidRDefault="00706D37" w:rsidP="008A6FA7">
            <w:pPr>
              <w:numPr>
                <w:ilvl w:val="5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6F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1D ir </w:t>
            </w:r>
            <w:r w:rsidRPr="008A6F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2D </w:t>
            </w:r>
            <w:r w:rsidRPr="008A6F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brūkšninius kodus turi nuskaityti tiek iš popieriaus, tiek iš skaitmeninių ekranų, pavyzdžiui, išmaniuosiuose telefonuose.</w:t>
            </w:r>
          </w:p>
        </w:tc>
      </w:tr>
      <w:tr w:rsidR="00222EB0" w:rsidRPr="008A6FA7" w14:paraId="59977BC2" w14:textId="77777777" w:rsidTr="00222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FF30" w14:textId="77777777" w:rsidR="00222EB0" w:rsidRPr="008A6FA7" w:rsidRDefault="00222EB0" w:rsidP="008A6FA7">
            <w:pPr>
              <w:numPr>
                <w:ilvl w:val="4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Skenavimo variklis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A4D6" w14:textId="77777777" w:rsidR="00222EB0" w:rsidRPr="008A6FA7" w:rsidRDefault="00222EB0" w:rsidP="008A6FA7">
            <w:pPr>
              <w:numPr>
                <w:ilvl w:val="5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6FA7"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  <w:proofErr w:type="spellStart"/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dpi</w:t>
            </w:r>
            <w:proofErr w:type="spellEnd"/>
            <w:r w:rsidRPr="008A6FA7">
              <w:rPr>
                <w:rFonts w:ascii="Times New Roman" w:hAnsi="Times New Roman" w:cs="Times New Roman"/>
                <w:sz w:val="24"/>
                <w:szCs w:val="24"/>
              </w:rPr>
              <w:t xml:space="preserve"> arba geresnės raiškos 24 arba daugiau bitų spalvinė kamera</w:t>
            </w:r>
          </w:p>
        </w:tc>
      </w:tr>
      <w:tr w:rsidR="00222EB0" w:rsidRPr="008A6FA7" w14:paraId="2542F172" w14:textId="77777777" w:rsidTr="00222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AF66" w14:textId="77777777" w:rsidR="00222EB0" w:rsidRPr="008A6FA7" w:rsidRDefault="00222EB0" w:rsidP="008A6FA7">
            <w:pPr>
              <w:numPr>
                <w:ilvl w:val="4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Be kontaktinio skaitmeninio lusto (RFID) nuskaitymo funkcijos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A171" w14:textId="77777777" w:rsidR="00222EB0" w:rsidRPr="008A6FA7" w:rsidRDefault="00222EB0" w:rsidP="008A6FA7">
            <w:pPr>
              <w:numPr>
                <w:ilvl w:val="5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Skeneris turi skaityti ISO 14443 A/B arba lygiaverčių tipų reikalavimus atitinkantį lustą, vykdyti:</w:t>
            </w:r>
          </w:p>
          <w:p w14:paraId="6D6A272B" w14:textId="77777777" w:rsidR="00222EB0" w:rsidRPr="008A6FA7" w:rsidRDefault="00222EB0" w:rsidP="008A6FA7">
            <w:pPr>
              <w:numPr>
                <w:ilvl w:val="6"/>
                <w:numId w:val="1"/>
              </w:numPr>
              <w:tabs>
                <w:tab w:val="clear" w:pos="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6FA7">
              <w:rPr>
                <w:rFonts w:ascii="Times New Roman" w:hAnsi="Times New Roman" w:cs="Times New Roman"/>
                <w:sz w:val="24"/>
                <w:szCs w:val="24"/>
              </w:rPr>
              <w:t xml:space="preserve">Aktyviąją autentifikaciją (angl. </w:t>
            </w:r>
            <w:proofErr w:type="spellStart"/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  <w:proofErr w:type="spellEnd"/>
            <w:r w:rsidRPr="008A6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Authentification</w:t>
            </w:r>
            <w:proofErr w:type="spellEnd"/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C6D8287" w14:textId="77777777" w:rsidR="00222EB0" w:rsidRPr="008A6FA7" w:rsidRDefault="00222EB0" w:rsidP="008A6FA7">
            <w:pPr>
              <w:numPr>
                <w:ilvl w:val="6"/>
                <w:numId w:val="1"/>
              </w:numPr>
              <w:tabs>
                <w:tab w:val="clear" w:pos="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6FA7">
              <w:rPr>
                <w:rFonts w:ascii="Times New Roman" w:hAnsi="Times New Roman" w:cs="Times New Roman"/>
                <w:sz w:val="24"/>
                <w:szCs w:val="24"/>
              </w:rPr>
              <w:t xml:space="preserve">Pasyviąją autentifikaciją (angl. </w:t>
            </w:r>
            <w:proofErr w:type="spellStart"/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Passive</w:t>
            </w:r>
            <w:proofErr w:type="spellEnd"/>
            <w:r w:rsidRPr="008A6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Authentification</w:t>
            </w:r>
            <w:proofErr w:type="spellEnd"/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03529B8" w14:textId="77777777" w:rsidR="00222EB0" w:rsidRPr="008A6FA7" w:rsidRDefault="00222EB0" w:rsidP="008A6FA7">
            <w:pPr>
              <w:numPr>
                <w:ilvl w:val="6"/>
                <w:numId w:val="1"/>
              </w:numPr>
              <w:tabs>
                <w:tab w:val="clear" w:pos="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6FA7">
              <w:rPr>
                <w:rFonts w:ascii="Times New Roman" w:hAnsi="Times New Roman" w:cs="Times New Roman"/>
                <w:sz w:val="24"/>
                <w:szCs w:val="24"/>
              </w:rPr>
              <w:t xml:space="preserve">Bazinę prieigos kontrolę (angl. Basic Access </w:t>
            </w:r>
            <w:proofErr w:type="spellStart"/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  <w:proofErr w:type="spellEnd"/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28E45EC" w14:textId="77777777" w:rsidR="00222EB0" w:rsidRPr="008A6FA7" w:rsidRDefault="00222EB0" w:rsidP="008A6FA7">
            <w:pPr>
              <w:numPr>
                <w:ilvl w:val="6"/>
                <w:numId w:val="1"/>
              </w:numPr>
              <w:tabs>
                <w:tab w:val="clear" w:pos="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6FA7">
              <w:rPr>
                <w:rFonts w:ascii="Times New Roman" w:hAnsi="Times New Roman" w:cs="Times New Roman"/>
                <w:sz w:val="24"/>
                <w:szCs w:val="24"/>
              </w:rPr>
              <w:t xml:space="preserve">Išplėstinę prieigos kontrolę (angl. </w:t>
            </w:r>
            <w:proofErr w:type="spellStart"/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Extended</w:t>
            </w:r>
            <w:proofErr w:type="spellEnd"/>
            <w:r w:rsidRPr="008A6FA7">
              <w:rPr>
                <w:rFonts w:ascii="Times New Roman" w:hAnsi="Times New Roman" w:cs="Times New Roman"/>
                <w:sz w:val="24"/>
                <w:szCs w:val="24"/>
              </w:rPr>
              <w:t xml:space="preserve"> Access </w:t>
            </w:r>
            <w:proofErr w:type="spellStart"/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  <w:proofErr w:type="spellEnd"/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71D2C8D" w14:textId="77777777" w:rsidR="00222EB0" w:rsidRPr="008A6FA7" w:rsidRDefault="00222EB0" w:rsidP="008A6FA7">
            <w:pPr>
              <w:numPr>
                <w:ilvl w:val="6"/>
                <w:numId w:val="1"/>
              </w:numPr>
              <w:tabs>
                <w:tab w:val="clear" w:pos="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6FA7">
              <w:rPr>
                <w:rFonts w:ascii="Times New Roman" w:hAnsi="Times New Roman" w:cs="Times New Roman"/>
                <w:sz w:val="24"/>
                <w:szCs w:val="24"/>
              </w:rPr>
              <w:t xml:space="preserve">Autentifikaciją su slaptažodžiu (angl. </w:t>
            </w:r>
            <w:proofErr w:type="spellStart"/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Password</w:t>
            </w:r>
            <w:proofErr w:type="spellEnd"/>
            <w:r w:rsidRPr="008A6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Authentication</w:t>
            </w:r>
            <w:proofErr w:type="spellEnd"/>
            <w:r w:rsidRPr="008A6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Connection</w:t>
            </w:r>
            <w:proofErr w:type="spellEnd"/>
            <w:r w:rsidRPr="008A6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Establishment</w:t>
            </w:r>
            <w:proofErr w:type="spellEnd"/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, PACE).</w:t>
            </w:r>
          </w:p>
        </w:tc>
      </w:tr>
      <w:tr w:rsidR="00222EB0" w:rsidRPr="008A6FA7" w14:paraId="0AC60C24" w14:textId="77777777" w:rsidTr="00222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7331" w14:textId="77777777" w:rsidR="00222EB0" w:rsidRPr="008A6FA7" w:rsidRDefault="00222EB0" w:rsidP="008A6FA7">
            <w:pPr>
              <w:numPr>
                <w:ilvl w:val="4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Jungtys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5F7C" w14:textId="2293D469" w:rsidR="00222EB0" w:rsidRPr="008A6FA7" w:rsidRDefault="00222EB0" w:rsidP="008A6FA7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6FA7">
              <w:rPr>
                <w:rFonts w:ascii="Times New Roman" w:hAnsi="Times New Roman" w:cs="Times New Roman"/>
                <w:sz w:val="24"/>
                <w:szCs w:val="24"/>
              </w:rPr>
              <w:t xml:space="preserve">USB 2.0 arba </w:t>
            </w:r>
            <w:r w:rsidR="00085A62" w:rsidRPr="008A6FA7">
              <w:rPr>
                <w:rFonts w:ascii="Times New Roman" w:hAnsi="Times New Roman" w:cs="Times New Roman"/>
                <w:sz w:val="24"/>
                <w:szCs w:val="24"/>
              </w:rPr>
              <w:t>našesnė</w:t>
            </w:r>
            <w:r w:rsidR="00641DB8" w:rsidRPr="008A6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90CAEF" w14:textId="00BFF19E" w:rsidR="00AA45E3" w:rsidRPr="008A6FA7" w:rsidRDefault="00AA45E3" w:rsidP="008A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EB0" w:rsidRPr="008A6FA7" w14:paraId="16F819A7" w14:textId="77777777" w:rsidTr="00222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8855" w14:textId="77777777" w:rsidR="00222EB0" w:rsidRPr="008A6FA7" w:rsidRDefault="00222EB0" w:rsidP="008A6FA7">
            <w:pPr>
              <w:numPr>
                <w:ilvl w:val="4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Maitinimas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1B1E" w14:textId="77777777" w:rsidR="00222EB0" w:rsidRPr="008A6FA7" w:rsidRDefault="00222EB0" w:rsidP="008A6FA7">
            <w:pPr>
              <w:numPr>
                <w:ilvl w:val="5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Per USB 2.0 arba naudojant kitą išorinį elektros energijos šaltinį (elektros įvadą (rozetę)).</w:t>
            </w:r>
          </w:p>
        </w:tc>
      </w:tr>
      <w:tr w:rsidR="00222EB0" w:rsidRPr="008A6FA7" w14:paraId="58CDC42C" w14:textId="77777777" w:rsidTr="00222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CE7A5" w14:textId="77777777" w:rsidR="00222EB0" w:rsidRPr="008A6FA7" w:rsidRDefault="00222EB0" w:rsidP="008A6FA7">
            <w:pPr>
              <w:numPr>
                <w:ilvl w:val="4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Skenavimo failų formatai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85D2" w14:textId="77777777" w:rsidR="00222EB0" w:rsidRPr="008A6FA7" w:rsidRDefault="00222EB0" w:rsidP="008A6FA7">
            <w:pPr>
              <w:numPr>
                <w:ilvl w:val="5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JPG2000, JPG, PNG, BMP arba lygiaverčiai</w:t>
            </w:r>
          </w:p>
        </w:tc>
      </w:tr>
      <w:tr w:rsidR="00222EB0" w:rsidRPr="008A6FA7" w14:paraId="111F784D" w14:textId="77777777" w:rsidTr="00222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A1A0" w14:textId="77777777" w:rsidR="00222EB0" w:rsidRPr="008A6FA7" w:rsidRDefault="00222EB0" w:rsidP="008A6FA7">
            <w:pPr>
              <w:numPr>
                <w:ilvl w:val="4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Konstrukcija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6891" w14:textId="77777777" w:rsidR="00222EB0" w:rsidRPr="008A6FA7" w:rsidRDefault="00222EB0" w:rsidP="008A6FA7">
            <w:pPr>
              <w:numPr>
                <w:ilvl w:val="5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Lengvas (svoris iki 3 kg) stalinis, stacionarus, plokščias kelionės dokumentų skeneris, neturintis judančių mechanizmų.</w:t>
            </w:r>
          </w:p>
          <w:p w14:paraId="548BC55E" w14:textId="0E2D776B" w:rsidR="00222EB0" w:rsidRPr="008A6FA7" w:rsidRDefault="00222EB0" w:rsidP="008A6FA7">
            <w:pPr>
              <w:numPr>
                <w:ilvl w:val="5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6FA7">
              <w:rPr>
                <w:rFonts w:ascii="Times New Roman" w:hAnsi="Times New Roman" w:cs="Times New Roman"/>
                <w:sz w:val="24"/>
                <w:szCs w:val="24"/>
              </w:rPr>
              <w:t xml:space="preserve"> 125x88 mm arba didesnis langas dokumentų skenavimui.</w:t>
            </w:r>
          </w:p>
        </w:tc>
      </w:tr>
      <w:tr w:rsidR="00222EB0" w:rsidRPr="008A6FA7" w14:paraId="76831118" w14:textId="77777777" w:rsidTr="00222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CA95" w14:textId="77777777" w:rsidR="00222EB0" w:rsidRPr="008A6FA7" w:rsidRDefault="00222EB0" w:rsidP="008A6FA7">
            <w:pPr>
              <w:numPr>
                <w:ilvl w:val="4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Suderinamumas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A134" w14:textId="62E771AE" w:rsidR="000D6C9D" w:rsidRPr="008A6FA7" w:rsidRDefault="00222EB0" w:rsidP="008A6FA7">
            <w:pPr>
              <w:numPr>
                <w:ilvl w:val="5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Microsoft Windows</w:t>
            </w:r>
            <w:r w:rsidRPr="008A6F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5A62" w:rsidRPr="008A6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A6FA7">
              <w:rPr>
                <w:rFonts w:ascii="Times New Roman" w:hAnsi="Times New Roman" w:cs="Times New Roman"/>
                <w:sz w:val="24"/>
                <w:szCs w:val="24"/>
              </w:rPr>
              <w:t xml:space="preserve"> 64 </w:t>
            </w:r>
            <w:proofErr w:type="spellStart"/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bit</w:t>
            </w:r>
            <w:proofErr w:type="spellEnd"/>
            <w:r w:rsidRPr="008A6FA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</w:tr>
      <w:tr w:rsidR="00222EB0" w:rsidRPr="008A6FA7" w14:paraId="4E0A6F3D" w14:textId="77777777" w:rsidTr="00222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3B151" w14:textId="77777777" w:rsidR="00222EB0" w:rsidRPr="008A6FA7" w:rsidRDefault="00222EB0" w:rsidP="008A6FA7">
            <w:pPr>
              <w:numPr>
                <w:ilvl w:val="4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Atnaujinimai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43F8" w14:textId="77777777" w:rsidR="00222EB0" w:rsidRPr="008A6FA7" w:rsidRDefault="00222EB0" w:rsidP="008A6FA7">
            <w:pPr>
              <w:numPr>
                <w:ilvl w:val="5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Programinės įrangos (</w:t>
            </w:r>
            <w:proofErr w:type="spellStart"/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firmware</w:t>
            </w:r>
            <w:proofErr w:type="spellEnd"/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) atnaujinimas ir konfigūravimas per USB arba analogišką jungtį. Konfigūracijos nustatymų išsaugojimas į išorinį failą.</w:t>
            </w:r>
          </w:p>
        </w:tc>
      </w:tr>
      <w:tr w:rsidR="00222EB0" w:rsidRPr="008A6FA7" w14:paraId="1831A139" w14:textId="77777777" w:rsidTr="00222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A5174" w14:textId="77777777" w:rsidR="00222EB0" w:rsidRPr="008A6FA7" w:rsidRDefault="00222EB0" w:rsidP="008A6FA7">
            <w:pPr>
              <w:numPr>
                <w:ilvl w:val="4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6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Integracija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37DE6" w14:textId="77777777" w:rsidR="00222EB0" w:rsidRPr="008A6FA7" w:rsidRDefault="00222EB0" w:rsidP="008A6FA7">
            <w:pPr>
              <w:numPr>
                <w:ilvl w:val="5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6FA7">
              <w:rPr>
                <w:rFonts w:ascii="Times New Roman" w:hAnsi="Times New Roman" w:cs="Times New Roman"/>
                <w:sz w:val="24"/>
                <w:szCs w:val="24"/>
              </w:rPr>
              <w:t xml:space="preserve">Turi būti pateikta visa reikalinga programinė įranga, leidžianti integruoti dokumentų skenerį su Universaliu biometrinių duomenų ir kelionės dokumentų nuskaitymo įrangos integravimo komponentu </w:t>
            </w:r>
            <w:r w:rsidR="00085A62" w:rsidRPr="008A6FA7">
              <w:rPr>
                <w:rFonts w:ascii="Times New Roman" w:hAnsi="Times New Roman" w:cs="Times New Roman"/>
                <w:sz w:val="24"/>
                <w:szCs w:val="24"/>
              </w:rPr>
              <w:t>(detalesnis komponento aprašymas pateikiamas pirkimo metu).</w:t>
            </w:r>
          </w:p>
        </w:tc>
      </w:tr>
      <w:tr w:rsidR="00222EB0" w:rsidRPr="008A6FA7" w14:paraId="22C11CEE" w14:textId="77777777" w:rsidTr="00222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BD51" w14:textId="732E3E73" w:rsidR="00222EB0" w:rsidRPr="00B60674" w:rsidRDefault="00B60674" w:rsidP="008A6FA7">
            <w:pPr>
              <w:numPr>
                <w:ilvl w:val="4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EMC ir fizinio saugumo kriterijai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08953" w14:textId="0DB8A0DB" w:rsidR="00092EF0" w:rsidRPr="00B60674" w:rsidRDefault="00B60674" w:rsidP="008A6FA7">
            <w:pPr>
              <w:numPr>
                <w:ilvl w:val="5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Įrenginiai turi atitikti reikalavimus</w:t>
            </w:r>
            <w:r w:rsidRPr="00B6067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067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EN 55032 / EN 55024</w:t>
            </w:r>
            <w:r w:rsidRPr="00B6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arba</w:t>
            </w:r>
            <w:r w:rsidRPr="00B6067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067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EN 50130-4</w:t>
            </w:r>
            <w:r w:rsidRPr="00B6067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(EMC – elektromagnetinis suderinamumas</w:t>
            </w:r>
          </w:p>
        </w:tc>
      </w:tr>
      <w:tr w:rsidR="00222EB0" w:rsidRPr="008A6FA7" w14:paraId="00753C48" w14:textId="77777777" w:rsidTr="00222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F9FE4" w14:textId="4E49DE2B" w:rsidR="00222EB0" w:rsidRPr="00B60674" w:rsidRDefault="00B60674" w:rsidP="008A6FA7">
            <w:pPr>
              <w:numPr>
                <w:ilvl w:val="4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067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SDK dokumentacija ir testavimo aplikacija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C7F7" w14:textId="2C2CBC1D" w:rsidR="008D7FEF" w:rsidRPr="00B60674" w:rsidRDefault="00B60674" w:rsidP="00B60674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Kartu su SDK turi būti pateikta SDK dokumentacija ir „gamyklinė“ aplikacija skirta skenerio testavimui</w:t>
            </w:r>
          </w:p>
        </w:tc>
      </w:tr>
      <w:tr w:rsidR="00B60674" w:rsidRPr="008A6FA7" w14:paraId="7287280E" w14:textId="77777777" w:rsidTr="00222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D812" w14:textId="7F9E16F4" w:rsidR="00B60674" w:rsidRPr="00B60674" w:rsidRDefault="00B60674" w:rsidP="008A6FA7">
            <w:pPr>
              <w:numPr>
                <w:ilvl w:val="4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Sertifikatai ir saugumo kilmės deklaracijos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085A" w14:textId="6C323FE2" w:rsidR="00B60674" w:rsidRPr="00B60674" w:rsidRDefault="00B60674" w:rsidP="00B60674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Pateikti</w:t>
            </w:r>
            <w:r w:rsidRPr="00B6067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067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gamintojo kilmės deklaraciją</w:t>
            </w:r>
            <w:r w:rsidRPr="00B6067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</w:t>
            </w:r>
            <w:r w:rsidRPr="00B6067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067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saugumo atitikties deklaraciją</w:t>
            </w:r>
            <w:r w:rsidRPr="00B6067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dėl nacionalinio saugumo rizikų mažinimo</w:t>
            </w:r>
          </w:p>
        </w:tc>
      </w:tr>
      <w:tr w:rsidR="00B60674" w:rsidRPr="008A6FA7" w14:paraId="298E9BA2" w14:textId="77777777" w:rsidTr="00222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42E3" w14:textId="2833F74A" w:rsidR="00B60674" w:rsidRPr="00B60674" w:rsidRDefault="00B60674" w:rsidP="008A6FA7">
            <w:pPr>
              <w:numPr>
                <w:ilvl w:val="4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0674">
              <w:rPr>
                <w:rFonts w:ascii="Times New Roman" w:hAnsi="Times New Roman" w:cs="Times New Roman"/>
                <w:sz w:val="24"/>
                <w:szCs w:val="24"/>
              </w:rPr>
              <w:t>Komplektacija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C4D3" w14:textId="123A6D07" w:rsidR="00B60674" w:rsidRPr="00B60674" w:rsidRDefault="00B60674" w:rsidP="008A6FA7">
            <w:pPr>
              <w:numPr>
                <w:ilvl w:val="5"/>
                <w:numId w:val="1"/>
              </w:numPr>
              <w:ind w:left="641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B6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Pateikiami skeneriai turi būti komplektuojami su visais funkcionavimui reikalingais kabeliais. Turi būti pateikiami SDK (</w:t>
            </w:r>
            <w:proofErr w:type="spellStart"/>
            <w:r w:rsidRPr="00B6067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Software</w:t>
            </w:r>
            <w:proofErr w:type="spellEnd"/>
            <w:r w:rsidRPr="00B6067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067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developer‘s</w:t>
            </w:r>
            <w:proofErr w:type="spellEnd"/>
            <w:r w:rsidRPr="00B6067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067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kit</w:t>
            </w:r>
            <w:proofErr w:type="spellEnd"/>
            <w:r w:rsidRPr="00B6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įgalinantys Java (privalomai įskaitant Java 8 versijai)  kurti reikalingas aplikacijas.</w:t>
            </w:r>
          </w:p>
        </w:tc>
      </w:tr>
      <w:tr w:rsidR="00B60674" w:rsidRPr="008A6FA7" w14:paraId="36E15FB4" w14:textId="77777777" w:rsidTr="00222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8C70" w14:textId="348C8231" w:rsidR="00B60674" w:rsidRPr="008A6FA7" w:rsidRDefault="00B60674" w:rsidP="008A6FA7">
            <w:pPr>
              <w:numPr>
                <w:ilvl w:val="4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6FA7">
              <w:rPr>
                <w:rFonts w:ascii="Times New Roman" w:hAnsi="Times New Roman" w:cs="Times New Roman"/>
                <w:sz w:val="24"/>
                <w:szCs w:val="24"/>
              </w:rPr>
              <w:t>Garantija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EDB2" w14:textId="77777777" w:rsidR="00B60674" w:rsidRPr="008A6FA7" w:rsidRDefault="00B60674" w:rsidP="00B60674">
            <w:pPr>
              <w:numPr>
                <w:ilvl w:val="5"/>
                <w:numId w:val="1"/>
              </w:numPr>
              <w:ind w:left="641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A6FA7">
              <w:rPr>
                <w:rFonts w:ascii="Times New Roman" w:hAnsi="Times New Roman" w:cs="Times New Roman"/>
                <w:sz w:val="24"/>
                <w:szCs w:val="24"/>
              </w:rPr>
              <w:t xml:space="preserve">Garantija ne mažiau kaip 60 mėnesių. </w:t>
            </w:r>
          </w:p>
          <w:p w14:paraId="5A7A934A" w14:textId="77777777" w:rsidR="00B60674" w:rsidRPr="008A6FA7" w:rsidRDefault="00B60674" w:rsidP="00B60674">
            <w:pPr>
              <w:numPr>
                <w:ilvl w:val="5"/>
                <w:numId w:val="1"/>
              </w:numPr>
              <w:ind w:left="641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A6FA7">
              <w:rPr>
                <w:rFonts w:ascii="Times New Roman" w:hAnsi="Times New Roman" w:cs="Times New Roman"/>
                <w:sz w:val="24"/>
                <w:szCs w:val="24"/>
              </w:rPr>
              <w:t xml:space="preserve">Reakcija į pranešimą apie gedimą – ne vėliau kaip kitą darbo dieną. </w:t>
            </w:r>
          </w:p>
          <w:p w14:paraId="4098898B" w14:textId="2B715E9E" w:rsidR="00B60674" w:rsidRPr="008A6FA7" w:rsidRDefault="00B60674" w:rsidP="00B60674">
            <w:pPr>
              <w:numPr>
                <w:ilvl w:val="5"/>
                <w:numId w:val="1"/>
              </w:numPr>
              <w:ind w:left="641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A6FA7">
              <w:rPr>
                <w:rFonts w:ascii="Times New Roman" w:hAnsi="Times New Roman" w:cs="Times New Roman"/>
                <w:sz w:val="24"/>
                <w:szCs w:val="24"/>
              </w:rPr>
              <w:t xml:space="preserve">Gedimai turi būti sutvarkomi arba sugedę įrenginiai pakeisti naujais per </w:t>
            </w:r>
            <w:r w:rsidRPr="008A6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8A6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darbo</w:t>
            </w:r>
            <w:proofErr w:type="spellEnd"/>
            <w:r w:rsidRPr="008A6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dienas</w:t>
            </w:r>
            <w:proofErr w:type="spellEnd"/>
            <w:r w:rsidRPr="008A6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14:paraId="2C9638D9" w14:textId="77777777" w:rsidR="00222EB0" w:rsidRPr="00FA6C40" w:rsidRDefault="00222EB0" w:rsidP="00222EB0">
      <w:pPr>
        <w:rPr>
          <w:rFonts w:ascii="Times New Roman" w:hAnsi="Times New Roman" w:cs="Times New Roman"/>
          <w:sz w:val="24"/>
          <w:szCs w:val="24"/>
        </w:rPr>
      </w:pPr>
    </w:p>
    <w:p w14:paraId="1A0FBA7F" w14:textId="6BC161C6" w:rsidR="00222EB0" w:rsidRPr="001458D7" w:rsidRDefault="00222EB0" w:rsidP="008A6FA7">
      <w:pPr>
        <w:spacing w:after="0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1458D7">
        <w:rPr>
          <w:rFonts w:ascii="Times New Roman" w:hAnsi="Times New Roman" w:cs="Times New Roman"/>
          <w:b/>
          <w:sz w:val="24"/>
          <w:szCs w:val="24"/>
        </w:rPr>
        <w:t>Pirštų antspaudų skenerio</w:t>
      </w:r>
      <w:r w:rsidR="001458D7" w:rsidRPr="001458D7">
        <w:rPr>
          <w:rFonts w:ascii="Times New Roman" w:hAnsi="Times New Roman" w:cs="Times New Roman"/>
          <w:b/>
          <w:sz w:val="24"/>
          <w:szCs w:val="24"/>
        </w:rPr>
        <w:t xml:space="preserve"> reikalavimai</w:t>
      </w:r>
      <w:r w:rsidR="001458D7">
        <w:rPr>
          <w:rFonts w:ascii="Times New Roman" w:hAnsi="Times New Roman" w:cs="Times New Roman"/>
          <w:bCs/>
          <w:sz w:val="24"/>
          <w:szCs w:val="24"/>
        </w:rPr>
        <w:t xml:space="preserve">, kiekis </w:t>
      </w:r>
      <w:r w:rsidR="001458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120 </w:t>
      </w:r>
      <w:proofErr w:type="spellStart"/>
      <w:r w:rsidR="001458D7">
        <w:rPr>
          <w:rFonts w:ascii="Times New Roman" w:hAnsi="Times New Roman" w:cs="Times New Roman"/>
          <w:bCs/>
          <w:sz w:val="24"/>
          <w:szCs w:val="24"/>
          <w:lang w:val="en-US"/>
        </w:rPr>
        <w:t>vnt</w:t>
      </w:r>
      <w:proofErr w:type="spellEnd"/>
      <w:r w:rsidR="001458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tbl>
      <w:tblPr>
        <w:tblStyle w:val="Lentelstinklelis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6373"/>
      </w:tblGrid>
      <w:tr w:rsidR="00222EB0" w:rsidRPr="00FA6C40" w14:paraId="0662A57C" w14:textId="77777777" w:rsidTr="00222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5B0F" w14:textId="77777777" w:rsidR="00222EB0" w:rsidRPr="00FA6C40" w:rsidRDefault="00222EB0" w:rsidP="008A6FA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C40">
              <w:rPr>
                <w:rFonts w:ascii="Times New Roman" w:hAnsi="Times New Roman" w:cs="Times New Roman"/>
                <w:sz w:val="24"/>
                <w:szCs w:val="24"/>
              </w:rPr>
              <w:t>Parametras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4A7F" w14:textId="77777777" w:rsidR="00222EB0" w:rsidRPr="00FA6C40" w:rsidRDefault="00222EB0" w:rsidP="008A6FA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C40">
              <w:rPr>
                <w:rFonts w:ascii="Times New Roman" w:hAnsi="Times New Roman" w:cs="Times New Roman"/>
                <w:sz w:val="24"/>
                <w:szCs w:val="24"/>
              </w:rPr>
              <w:t>Reikalaujama reikšmė (arba geresnė)</w:t>
            </w:r>
          </w:p>
        </w:tc>
      </w:tr>
      <w:tr w:rsidR="00222EB0" w:rsidRPr="00FA6C40" w14:paraId="1FF0DCF6" w14:textId="77777777" w:rsidTr="00222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3422" w14:textId="77777777" w:rsidR="00222EB0" w:rsidRPr="00FA6C40" w:rsidRDefault="00222EB0" w:rsidP="008A6FA7">
            <w:pPr>
              <w:numPr>
                <w:ilvl w:val="4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C40">
              <w:rPr>
                <w:rFonts w:ascii="Times New Roman" w:hAnsi="Times New Roman" w:cs="Times New Roman"/>
                <w:sz w:val="24"/>
                <w:szCs w:val="24"/>
              </w:rPr>
              <w:t>Gamintojas, modelis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A4AB" w14:textId="5005EB51" w:rsidR="00222EB0" w:rsidRPr="00FA6C40" w:rsidRDefault="00222EB0" w:rsidP="008A6FA7">
            <w:pPr>
              <w:numPr>
                <w:ilvl w:val="5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C40">
              <w:rPr>
                <w:rFonts w:ascii="Times New Roman" w:hAnsi="Times New Roman" w:cs="Times New Roman"/>
                <w:sz w:val="24"/>
                <w:szCs w:val="24"/>
              </w:rPr>
              <w:t>Teikėjas privalo nurodyti firmos gamintojos pavadinimą, kodą, pateikti informaciją, kurioje būtų pateiktos išsamios siūlomų produktų specifikacijos.</w:t>
            </w:r>
            <w:r w:rsidR="004554EF">
              <w:rPr>
                <w:rFonts w:ascii="Times New Roman" w:hAnsi="Times New Roman" w:cs="Times New Roman"/>
                <w:sz w:val="24"/>
                <w:szCs w:val="24"/>
              </w:rPr>
              <w:t xml:space="preserve"> Tiekėjai turi tenkinti reikalavimus ir siūlomos prekės neturi </w:t>
            </w:r>
            <w:r w:rsidR="004554EF" w:rsidRPr="00641DB8">
              <w:rPr>
                <w:rFonts w:ascii="Times New Roman" w:hAnsi="Times New Roman" w:cs="Times New Roman"/>
                <w:sz w:val="24"/>
                <w:szCs w:val="24"/>
              </w:rPr>
              <w:t>kel</w:t>
            </w:r>
            <w:r w:rsidR="004554E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554EF" w:rsidRPr="00641DB8">
              <w:rPr>
                <w:rFonts w:ascii="Times New Roman" w:hAnsi="Times New Roman" w:cs="Times New Roman"/>
                <w:sz w:val="24"/>
                <w:szCs w:val="24"/>
              </w:rPr>
              <w:t>i grėsm</w:t>
            </w:r>
            <w:r w:rsidR="004554EF">
              <w:rPr>
                <w:rFonts w:ascii="Times New Roman" w:hAnsi="Times New Roman" w:cs="Times New Roman"/>
                <w:sz w:val="24"/>
                <w:szCs w:val="24"/>
              </w:rPr>
              <w:t>ės</w:t>
            </w:r>
            <w:r w:rsidR="004554EF" w:rsidRPr="00641DB8">
              <w:rPr>
                <w:rFonts w:ascii="Times New Roman" w:hAnsi="Times New Roman" w:cs="Times New Roman"/>
                <w:sz w:val="24"/>
                <w:szCs w:val="24"/>
              </w:rPr>
              <w:t xml:space="preserve"> nacionaliniam saugumui </w:t>
            </w:r>
            <w:r w:rsidR="004554EF">
              <w:rPr>
                <w:rFonts w:ascii="Times New Roman" w:hAnsi="Times New Roman" w:cs="Times New Roman"/>
                <w:sz w:val="24"/>
                <w:szCs w:val="24"/>
              </w:rPr>
              <w:t xml:space="preserve">pagal </w:t>
            </w:r>
            <w:r w:rsidR="004554EF" w:rsidRPr="00641DB8">
              <w:rPr>
                <w:rFonts w:ascii="Times New Roman" w:hAnsi="Times New Roman" w:cs="Times New Roman"/>
                <w:sz w:val="24"/>
                <w:szCs w:val="24"/>
              </w:rPr>
              <w:t xml:space="preserve">Viešųjų pirkimų įstatymo </w:t>
            </w:r>
            <w:r w:rsidR="004554E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4554EF" w:rsidRPr="00641DB8">
              <w:rPr>
                <w:rFonts w:ascii="Times New Roman" w:hAnsi="Times New Roman" w:cs="Times New Roman"/>
                <w:sz w:val="24"/>
                <w:szCs w:val="24"/>
              </w:rPr>
              <w:t xml:space="preserve"> straipsnio </w:t>
            </w:r>
            <w:r w:rsidR="004554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554EF" w:rsidRPr="00641DB8">
              <w:rPr>
                <w:rFonts w:ascii="Times New Roman" w:hAnsi="Times New Roman" w:cs="Times New Roman"/>
                <w:sz w:val="24"/>
                <w:szCs w:val="24"/>
              </w:rPr>
              <w:t xml:space="preserve"> dal</w:t>
            </w:r>
            <w:r w:rsidR="004554EF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</w:p>
        </w:tc>
      </w:tr>
      <w:tr w:rsidR="00222EB0" w:rsidRPr="00FA6C40" w14:paraId="6597CCDE" w14:textId="77777777" w:rsidTr="00222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7C9D" w14:textId="77777777" w:rsidR="00222EB0" w:rsidRPr="00FA6C40" w:rsidRDefault="00222EB0" w:rsidP="008A6FA7">
            <w:pPr>
              <w:numPr>
                <w:ilvl w:val="4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C40">
              <w:rPr>
                <w:rFonts w:ascii="Times New Roman" w:hAnsi="Times New Roman" w:cs="Times New Roman"/>
                <w:sz w:val="24"/>
                <w:szCs w:val="24"/>
              </w:rPr>
              <w:t>Skenavimo funkcijos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9C87" w14:textId="77DF27A3" w:rsidR="00222EB0" w:rsidRPr="00FA6C40" w:rsidRDefault="00222EB0" w:rsidP="008A6FA7">
            <w:pPr>
              <w:numPr>
                <w:ilvl w:val="5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C40">
              <w:rPr>
                <w:rFonts w:ascii="Times New Roman" w:hAnsi="Times New Roman" w:cs="Times New Roman"/>
                <w:sz w:val="24"/>
                <w:szCs w:val="24"/>
              </w:rPr>
              <w:t xml:space="preserve">Skeneris turi nuskaityti </w:t>
            </w:r>
            <w:r w:rsidR="001C7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 (</w:t>
            </w:r>
            <w:proofErr w:type="spellStart"/>
            <w:r w:rsidR="001C7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vienu</w:t>
            </w:r>
            <w:proofErr w:type="spellEnd"/>
            <w:r w:rsidR="001C7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7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metu</w:t>
            </w:r>
            <w:proofErr w:type="spellEnd"/>
            <w:r w:rsidR="001C7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FA6C40">
              <w:rPr>
                <w:rFonts w:ascii="Times New Roman" w:hAnsi="Times New Roman" w:cs="Times New Roman"/>
                <w:sz w:val="24"/>
                <w:szCs w:val="24"/>
              </w:rPr>
              <w:t>asmens pirštų atspaudus pagal formulę 4+4+2. Skenavimas turi būti vykdomas automatiškai, be operatoriaus įsikišimo. Turi būti automatinio kalibravimo, automatinio atspaudų nuskaitymo, automatinio atspaudų segmentavimo funkcijos.</w:t>
            </w:r>
          </w:p>
        </w:tc>
      </w:tr>
      <w:tr w:rsidR="00222EB0" w:rsidRPr="00FA6C40" w14:paraId="02CCB076" w14:textId="77777777" w:rsidTr="00222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5B16" w14:textId="77777777" w:rsidR="00222EB0" w:rsidRPr="00FA6C40" w:rsidRDefault="00222EB0" w:rsidP="008A6FA7">
            <w:pPr>
              <w:numPr>
                <w:ilvl w:val="4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C40">
              <w:rPr>
                <w:rFonts w:ascii="Times New Roman" w:hAnsi="Times New Roman" w:cs="Times New Roman"/>
                <w:sz w:val="24"/>
                <w:szCs w:val="24"/>
              </w:rPr>
              <w:t>Skenavimo skiriamoji geba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06D3" w14:textId="77777777" w:rsidR="00222EB0" w:rsidRPr="00FA6C40" w:rsidRDefault="00222EB0" w:rsidP="008A6FA7">
            <w:pPr>
              <w:numPr>
                <w:ilvl w:val="5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C40"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  <w:proofErr w:type="spellStart"/>
            <w:r w:rsidRPr="00FA6C40">
              <w:rPr>
                <w:rFonts w:ascii="Times New Roman" w:hAnsi="Times New Roman" w:cs="Times New Roman"/>
                <w:sz w:val="24"/>
                <w:szCs w:val="24"/>
              </w:rPr>
              <w:t>dpi</w:t>
            </w:r>
            <w:proofErr w:type="spellEnd"/>
            <w:r w:rsidRPr="00FA6C40">
              <w:rPr>
                <w:rFonts w:ascii="Times New Roman" w:hAnsi="Times New Roman" w:cs="Times New Roman"/>
                <w:sz w:val="24"/>
                <w:szCs w:val="24"/>
              </w:rPr>
              <w:t xml:space="preserve"> arba geresnės raiškos.</w:t>
            </w:r>
          </w:p>
        </w:tc>
      </w:tr>
      <w:tr w:rsidR="00222EB0" w:rsidRPr="00FA6C40" w14:paraId="1EBEAE07" w14:textId="77777777" w:rsidTr="00222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5040" w14:textId="77777777" w:rsidR="00222EB0" w:rsidRPr="00FA6C40" w:rsidRDefault="00222EB0" w:rsidP="008A6FA7">
            <w:pPr>
              <w:numPr>
                <w:ilvl w:val="4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C40">
              <w:rPr>
                <w:rFonts w:ascii="Times New Roman" w:hAnsi="Times New Roman" w:cs="Times New Roman"/>
                <w:sz w:val="24"/>
                <w:szCs w:val="24"/>
              </w:rPr>
              <w:t>Jungtys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4F44" w14:textId="77777777" w:rsidR="00222EB0" w:rsidRPr="00FA6C40" w:rsidRDefault="00222EB0" w:rsidP="008A6FA7">
            <w:pPr>
              <w:numPr>
                <w:ilvl w:val="5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C40">
              <w:rPr>
                <w:rFonts w:ascii="Times New Roman" w:hAnsi="Times New Roman" w:cs="Times New Roman"/>
                <w:sz w:val="24"/>
                <w:szCs w:val="24"/>
              </w:rPr>
              <w:t xml:space="preserve">USB 2.0 arba </w:t>
            </w:r>
            <w:r w:rsidR="00CC1D33" w:rsidRPr="00FA6C40">
              <w:rPr>
                <w:rFonts w:ascii="Times New Roman" w:hAnsi="Times New Roman" w:cs="Times New Roman"/>
                <w:sz w:val="24"/>
                <w:szCs w:val="24"/>
              </w:rPr>
              <w:t>našesn</w:t>
            </w:r>
            <w:r w:rsidRPr="00FA6C40">
              <w:rPr>
                <w:rFonts w:ascii="Times New Roman" w:hAnsi="Times New Roman" w:cs="Times New Roman"/>
                <w:sz w:val="24"/>
                <w:szCs w:val="24"/>
              </w:rPr>
              <w:t>ės</w:t>
            </w:r>
          </w:p>
        </w:tc>
      </w:tr>
      <w:tr w:rsidR="00222EB0" w:rsidRPr="00FA6C40" w14:paraId="064F88B4" w14:textId="77777777" w:rsidTr="00222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1074" w14:textId="77777777" w:rsidR="00222EB0" w:rsidRPr="00FA6C40" w:rsidRDefault="00222EB0" w:rsidP="008A6FA7">
            <w:pPr>
              <w:numPr>
                <w:ilvl w:val="4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C40">
              <w:rPr>
                <w:rFonts w:ascii="Times New Roman" w:hAnsi="Times New Roman" w:cs="Times New Roman"/>
                <w:sz w:val="24"/>
                <w:szCs w:val="24"/>
              </w:rPr>
              <w:t>Maitinimas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E9E3" w14:textId="77777777" w:rsidR="00222EB0" w:rsidRPr="00FA6C40" w:rsidRDefault="00222EB0" w:rsidP="008A6FA7">
            <w:pPr>
              <w:numPr>
                <w:ilvl w:val="5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C40">
              <w:rPr>
                <w:rFonts w:ascii="Times New Roman" w:hAnsi="Times New Roman" w:cs="Times New Roman"/>
                <w:sz w:val="24"/>
                <w:szCs w:val="24"/>
              </w:rPr>
              <w:t>Per USB 2.0 arba naudojant kitą išorinį elektros energijos šaltinį (elektros įvadą (rozetę)).</w:t>
            </w:r>
          </w:p>
        </w:tc>
      </w:tr>
      <w:tr w:rsidR="00222EB0" w:rsidRPr="00FA6C40" w14:paraId="63104AB9" w14:textId="77777777" w:rsidTr="00222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0FB3" w14:textId="77777777" w:rsidR="00222EB0" w:rsidRPr="00FA6C40" w:rsidRDefault="00222EB0" w:rsidP="008A6FA7">
            <w:pPr>
              <w:numPr>
                <w:ilvl w:val="4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C40">
              <w:rPr>
                <w:rFonts w:ascii="Times New Roman" w:hAnsi="Times New Roman" w:cs="Times New Roman"/>
                <w:sz w:val="24"/>
                <w:szCs w:val="24"/>
              </w:rPr>
              <w:t>Atitikimai ir sertifikatai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3033D" w14:textId="0EFCB9DB" w:rsidR="00222EB0" w:rsidRPr="001C72DB" w:rsidRDefault="00222EB0" w:rsidP="008A6FA7">
            <w:pPr>
              <w:numPr>
                <w:ilvl w:val="5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2DB">
              <w:rPr>
                <w:rFonts w:ascii="Times New Roman" w:hAnsi="Times New Roman" w:cs="Times New Roman"/>
                <w:sz w:val="24"/>
                <w:szCs w:val="24"/>
              </w:rPr>
              <w:t xml:space="preserve">FBI Standard IAFIS IQS </w:t>
            </w:r>
            <w:proofErr w:type="spellStart"/>
            <w:r w:rsidRPr="001C72DB">
              <w:rPr>
                <w:rFonts w:ascii="Times New Roman" w:hAnsi="Times New Roman" w:cs="Times New Roman"/>
                <w:sz w:val="24"/>
                <w:szCs w:val="24"/>
              </w:rPr>
              <w:t>Appendix</w:t>
            </w:r>
            <w:proofErr w:type="spellEnd"/>
            <w:r w:rsidRPr="001C72DB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="001C72DB" w:rsidRPr="001C72DB">
              <w:rPr>
                <w:rFonts w:ascii="Times New Roman" w:hAnsi="Times New Roman" w:cs="Times New Roman"/>
                <w:sz w:val="24"/>
                <w:szCs w:val="24"/>
              </w:rPr>
              <w:t xml:space="preserve">, FAP 60 </w:t>
            </w:r>
            <w:r w:rsidRPr="001C72DB">
              <w:rPr>
                <w:rFonts w:ascii="Times New Roman" w:hAnsi="Times New Roman" w:cs="Times New Roman"/>
                <w:sz w:val="24"/>
                <w:szCs w:val="24"/>
              </w:rPr>
              <w:t xml:space="preserve">arba analogiškas; FBI v3.1 sertifikuotas WSQ arba lygiavertis suspaudimas, CE ir FCC. ANSI/NIST-ITL-1-2007; </w:t>
            </w:r>
            <w:r w:rsidRPr="001C7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ISO/IEC 19794-4; NFIQ (NIST pirštų nuotraukų kokybė)</w:t>
            </w:r>
          </w:p>
        </w:tc>
      </w:tr>
      <w:tr w:rsidR="00222EB0" w:rsidRPr="00FA6C40" w14:paraId="61A245FC" w14:textId="77777777" w:rsidTr="00222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75F3" w14:textId="77777777" w:rsidR="00222EB0" w:rsidRPr="00FA6C40" w:rsidRDefault="00222EB0" w:rsidP="008A6FA7">
            <w:pPr>
              <w:numPr>
                <w:ilvl w:val="4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Atvaizdo išsaugojimo formatai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9D7C" w14:textId="77777777" w:rsidR="00222EB0" w:rsidRPr="00FA6C40" w:rsidRDefault="00222EB0" w:rsidP="008A6FA7">
            <w:pPr>
              <w:numPr>
                <w:ilvl w:val="5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C40">
              <w:rPr>
                <w:rFonts w:ascii="Times New Roman" w:hAnsi="Times New Roman" w:cs="Times New Roman"/>
                <w:sz w:val="24"/>
                <w:szCs w:val="24"/>
              </w:rPr>
              <w:t>JPG2000, JPEG, WSQ arba lygiaverčiai</w:t>
            </w:r>
          </w:p>
        </w:tc>
      </w:tr>
      <w:tr w:rsidR="00222EB0" w:rsidRPr="00FA6C40" w14:paraId="431F4FD5" w14:textId="77777777" w:rsidTr="00222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BE45" w14:textId="77777777" w:rsidR="00222EB0" w:rsidRPr="00FA6C40" w:rsidRDefault="00222EB0" w:rsidP="008A6FA7">
            <w:pPr>
              <w:numPr>
                <w:ilvl w:val="4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C40">
              <w:rPr>
                <w:rFonts w:ascii="Times New Roman" w:hAnsi="Times New Roman" w:cs="Times New Roman"/>
                <w:sz w:val="24"/>
                <w:szCs w:val="24"/>
              </w:rPr>
              <w:t>Konstrukcija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1436" w14:textId="19BB5A64" w:rsidR="00222EB0" w:rsidRPr="00FA6C40" w:rsidRDefault="00222EB0" w:rsidP="008A6FA7">
            <w:pPr>
              <w:numPr>
                <w:ilvl w:val="5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C40">
              <w:rPr>
                <w:rFonts w:ascii="Times New Roman" w:hAnsi="Times New Roman" w:cs="Times New Roman"/>
                <w:sz w:val="24"/>
                <w:szCs w:val="24"/>
              </w:rPr>
              <w:t xml:space="preserve">Lengvas (svoris iki 3 kg.) stalinis stacionarus plokščias pirštų atspaudų skeneris, neturintis judančių mechanizmų. </w:t>
            </w:r>
          </w:p>
        </w:tc>
      </w:tr>
      <w:tr w:rsidR="00222EB0" w:rsidRPr="00FA6C40" w14:paraId="0A306027" w14:textId="77777777" w:rsidTr="00222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6DBB" w14:textId="77777777" w:rsidR="00222EB0" w:rsidRPr="00FA6C40" w:rsidRDefault="00222EB0" w:rsidP="008A6FA7">
            <w:pPr>
              <w:numPr>
                <w:ilvl w:val="4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C40">
              <w:rPr>
                <w:rFonts w:ascii="Times New Roman" w:hAnsi="Times New Roman" w:cs="Times New Roman"/>
                <w:sz w:val="24"/>
                <w:szCs w:val="24"/>
              </w:rPr>
              <w:t>Suderinamumas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601F" w14:textId="77777777" w:rsidR="00222EB0" w:rsidRPr="00FA6C40" w:rsidRDefault="00222EB0" w:rsidP="008A6FA7">
            <w:pPr>
              <w:numPr>
                <w:ilvl w:val="5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C40">
              <w:rPr>
                <w:rFonts w:ascii="Times New Roman" w:hAnsi="Times New Roman" w:cs="Times New Roman"/>
                <w:sz w:val="24"/>
                <w:szCs w:val="24"/>
              </w:rPr>
              <w:t>Microsoft Windows 1</w:t>
            </w:r>
            <w:r w:rsidR="00CC1D33" w:rsidRPr="00FA6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6C40">
              <w:rPr>
                <w:rFonts w:ascii="Times New Roman" w:hAnsi="Times New Roman" w:cs="Times New Roman"/>
                <w:sz w:val="24"/>
                <w:szCs w:val="24"/>
              </w:rPr>
              <w:t xml:space="preserve">, 64 </w:t>
            </w:r>
            <w:proofErr w:type="spellStart"/>
            <w:r w:rsidRPr="00FA6C40">
              <w:rPr>
                <w:rFonts w:ascii="Times New Roman" w:hAnsi="Times New Roman" w:cs="Times New Roman"/>
                <w:sz w:val="24"/>
                <w:szCs w:val="24"/>
              </w:rPr>
              <w:t>bit</w:t>
            </w:r>
            <w:proofErr w:type="spellEnd"/>
            <w:r w:rsidRPr="00FA6C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222EB0" w:rsidRPr="00FA6C40" w14:paraId="1C05CA06" w14:textId="77777777" w:rsidTr="00222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784E" w14:textId="77777777" w:rsidR="00222EB0" w:rsidRPr="00FA6C40" w:rsidRDefault="00222EB0" w:rsidP="008A6FA7">
            <w:pPr>
              <w:numPr>
                <w:ilvl w:val="4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C40">
              <w:rPr>
                <w:rFonts w:ascii="Times New Roman" w:hAnsi="Times New Roman" w:cs="Times New Roman"/>
                <w:sz w:val="24"/>
                <w:szCs w:val="24"/>
              </w:rPr>
              <w:t>Atnaujinimai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34C3" w14:textId="77777777" w:rsidR="00222EB0" w:rsidRPr="00FA6C40" w:rsidRDefault="00222EB0" w:rsidP="008A6FA7">
            <w:pPr>
              <w:numPr>
                <w:ilvl w:val="5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C40">
              <w:rPr>
                <w:rFonts w:ascii="Times New Roman" w:hAnsi="Times New Roman" w:cs="Times New Roman"/>
                <w:sz w:val="24"/>
                <w:szCs w:val="24"/>
              </w:rPr>
              <w:t>Programinės įrangos (</w:t>
            </w:r>
            <w:proofErr w:type="spellStart"/>
            <w:r w:rsidRPr="00FA6C40">
              <w:rPr>
                <w:rFonts w:ascii="Times New Roman" w:hAnsi="Times New Roman" w:cs="Times New Roman"/>
                <w:sz w:val="24"/>
                <w:szCs w:val="24"/>
              </w:rPr>
              <w:t>firmware</w:t>
            </w:r>
            <w:proofErr w:type="spellEnd"/>
            <w:r w:rsidRPr="00FA6C40">
              <w:rPr>
                <w:rFonts w:ascii="Times New Roman" w:hAnsi="Times New Roman" w:cs="Times New Roman"/>
                <w:sz w:val="24"/>
                <w:szCs w:val="24"/>
              </w:rPr>
              <w:t>) atnaujinimas ir konfigūravimas per USB arba analogišką jungtį. Konfigūracijos nustatymų išsaugojimas į išorinį failą.</w:t>
            </w:r>
          </w:p>
        </w:tc>
      </w:tr>
      <w:tr w:rsidR="00222EB0" w:rsidRPr="00FA6C40" w14:paraId="56C24426" w14:textId="77777777" w:rsidTr="00222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0FF7" w14:textId="77777777" w:rsidR="00222EB0" w:rsidRPr="00FA6C40" w:rsidRDefault="00222EB0" w:rsidP="008A6FA7">
            <w:pPr>
              <w:numPr>
                <w:ilvl w:val="4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C40">
              <w:rPr>
                <w:rFonts w:ascii="Times New Roman" w:hAnsi="Times New Roman" w:cs="Times New Roman"/>
                <w:sz w:val="24"/>
                <w:szCs w:val="24"/>
              </w:rPr>
              <w:t>Integracija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2AA7" w14:textId="77777777" w:rsidR="00222EB0" w:rsidRPr="00FA6C40" w:rsidRDefault="00222EB0" w:rsidP="008A6FA7">
            <w:pPr>
              <w:numPr>
                <w:ilvl w:val="5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C40">
              <w:rPr>
                <w:rFonts w:ascii="Times New Roman" w:hAnsi="Times New Roman" w:cs="Times New Roman"/>
                <w:sz w:val="24"/>
                <w:szCs w:val="24"/>
              </w:rPr>
              <w:t xml:space="preserve">Turi būti pateikta visa reikalinga programinė įranga, leidžianti integruoti dokumentų skenerį su Universaliu biometrinių duomenų ir kelionės dokumentų nuskaitymo įrangos integravimo komponentu </w:t>
            </w:r>
            <w:r w:rsidR="00CC1D33" w:rsidRPr="00FA6C40">
              <w:rPr>
                <w:rFonts w:ascii="Times New Roman" w:hAnsi="Times New Roman" w:cs="Times New Roman"/>
                <w:sz w:val="24"/>
                <w:szCs w:val="24"/>
              </w:rPr>
              <w:t>(detalesnis komponento aprašymas pateikiamas pirkimo metu).</w:t>
            </w:r>
          </w:p>
        </w:tc>
      </w:tr>
      <w:tr w:rsidR="00222EB0" w:rsidRPr="00FA6C40" w14:paraId="04EC2356" w14:textId="77777777" w:rsidTr="00222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4CD4" w14:textId="51CE3901" w:rsidR="00222EB0" w:rsidRPr="00FA6C40" w:rsidRDefault="000526DE" w:rsidP="008A6FA7">
            <w:pPr>
              <w:numPr>
                <w:ilvl w:val="4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EMC ir fizinio saugumo kriterijai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57D9" w14:textId="1E2A8B8B" w:rsidR="00283613" w:rsidRPr="008C19D8" w:rsidRDefault="000526DE" w:rsidP="008A6FA7">
            <w:pPr>
              <w:numPr>
                <w:ilvl w:val="5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Įrenginiai turi atitikti reikalavimus</w:t>
            </w:r>
            <w:r w:rsidRPr="00B6067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067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EN 55032 / EN 55024</w:t>
            </w:r>
            <w:r w:rsidRPr="00B6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arba</w:t>
            </w:r>
            <w:r w:rsidRPr="00B6067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067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EN 50130-4</w:t>
            </w:r>
            <w:r w:rsidRPr="00B6067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(EMC – elektromagnetinis suderinamumas</w:t>
            </w:r>
          </w:p>
        </w:tc>
      </w:tr>
      <w:tr w:rsidR="000526DE" w:rsidRPr="00FA6C40" w14:paraId="4843683E" w14:textId="77777777" w:rsidTr="00222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4AA5" w14:textId="207988BE" w:rsidR="000526DE" w:rsidRPr="00FA6C40" w:rsidRDefault="000526DE" w:rsidP="008A6FA7">
            <w:pPr>
              <w:numPr>
                <w:ilvl w:val="4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067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SDK dokumentacija ir testavimo aplikacija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527E" w14:textId="76FDC974" w:rsidR="000526DE" w:rsidRPr="008C19D8" w:rsidRDefault="000526DE" w:rsidP="008A6FA7">
            <w:pPr>
              <w:numPr>
                <w:ilvl w:val="5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Kartu su SDK turi būti pateikta SDK dokumentacija ir „gamyklinė“ aplikacija skirta skenerio testavimui</w:t>
            </w:r>
          </w:p>
        </w:tc>
      </w:tr>
      <w:tr w:rsidR="00222EB0" w:rsidRPr="00FA6C40" w14:paraId="3AA016BD" w14:textId="77777777" w:rsidTr="000526DE">
        <w:trPr>
          <w:trHeight w:val="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553" w14:textId="5125EB48" w:rsidR="00222EB0" w:rsidRPr="00FA6C40" w:rsidRDefault="000526DE" w:rsidP="008A6FA7">
            <w:pPr>
              <w:numPr>
                <w:ilvl w:val="4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Sertifikatai ir saugumo kilmės deklaracijos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6C01" w14:textId="6411A4AA" w:rsidR="008D7FEF" w:rsidRPr="00FA6C40" w:rsidRDefault="000526DE" w:rsidP="008A6FA7">
            <w:pPr>
              <w:numPr>
                <w:ilvl w:val="5"/>
                <w:numId w:val="1"/>
              </w:numPr>
              <w:spacing w:line="259" w:lineRule="auto"/>
              <w:ind w:left="641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B6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Pateikti</w:t>
            </w:r>
            <w:r w:rsidRPr="00B6067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067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gamintojo kilmės deklaraciją</w:t>
            </w:r>
            <w:r w:rsidRPr="00B6067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</w:t>
            </w:r>
            <w:r w:rsidRPr="00B6067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067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saugumo atitikties deklaraciją</w:t>
            </w:r>
            <w:r w:rsidRPr="00B6067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dėl nacionalinio saugumo rizikų mažinimo</w:t>
            </w:r>
          </w:p>
        </w:tc>
      </w:tr>
      <w:tr w:rsidR="000526DE" w:rsidRPr="00FA6C40" w14:paraId="56C1E73C" w14:textId="77777777" w:rsidTr="000526DE">
        <w:trPr>
          <w:trHeight w:val="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1F49" w14:textId="3A9A1D88" w:rsidR="000526DE" w:rsidRPr="00FA6C40" w:rsidRDefault="000526DE" w:rsidP="008A6FA7">
            <w:pPr>
              <w:numPr>
                <w:ilvl w:val="4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6C40">
              <w:rPr>
                <w:rFonts w:ascii="Times New Roman" w:hAnsi="Times New Roman" w:cs="Times New Roman"/>
                <w:sz w:val="24"/>
                <w:szCs w:val="24"/>
              </w:rPr>
              <w:t>Komplektacija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0244" w14:textId="1736679B" w:rsidR="000526DE" w:rsidRPr="00FA6C40" w:rsidRDefault="000526DE" w:rsidP="008A6FA7">
            <w:pPr>
              <w:numPr>
                <w:ilvl w:val="5"/>
                <w:numId w:val="1"/>
              </w:numPr>
              <w:ind w:left="641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1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Pateikiami skeneriai turi būti komplektuojami su visais funkcionavimui reikalingais kabeliais. Turi būti pateikiami SDK (</w:t>
            </w:r>
            <w:proofErr w:type="spellStart"/>
            <w:r w:rsidRPr="0081487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Software</w:t>
            </w:r>
            <w:proofErr w:type="spellEnd"/>
            <w:r w:rsidRPr="0081487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7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developer‘s</w:t>
            </w:r>
            <w:proofErr w:type="spellEnd"/>
            <w:r w:rsidRPr="0081487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7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kit</w:t>
            </w:r>
            <w:proofErr w:type="spellEnd"/>
            <w:r w:rsidRPr="0081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įgalinantys Java (privalomai įskaitant Java 8 versijai)  kurti reikalingas aplikacijas.</w:t>
            </w:r>
          </w:p>
        </w:tc>
      </w:tr>
      <w:tr w:rsidR="000526DE" w:rsidRPr="00FA6C40" w14:paraId="3FA58BFA" w14:textId="77777777" w:rsidTr="000526DE">
        <w:trPr>
          <w:trHeight w:val="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BE70" w14:textId="0B178DE8" w:rsidR="000526DE" w:rsidRPr="00FA6C40" w:rsidRDefault="000526DE" w:rsidP="008A6FA7">
            <w:pPr>
              <w:numPr>
                <w:ilvl w:val="4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6C40">
              <w:rPr>
                <w:rFonts w:ascii="Times New Roman" w:hAnsi="Times New Roman" w:cs="Times New Roman"/>
                <w:sz w:val="24"/>
                <w:szCs w:val="24"/>
              </w:rPr>
              <w:t>Garantija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EB26" w14:textId="77777777" w:rsidR="000526DE" w:rsidRDefault="000526DE" w:rsidP="000526DE">
            <w:pPr>
              <w:numPr>
                <w:ilvl w:val="5"/>
                <w:numId w:val="1"/>
              </w:numPr>
              <w:spacing w:line="259" w:lineRule="auto"/>
              <w:ind w:left="641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FA6C40">
              <w:rPr>
                <w:rFonts w:ascii="Times New Roman" w:hAnsi="Times New Roman" w:cs="Times New Roman"/>
                <w:sz w:val="24"/>
                <w:szCs w:val="24"/>
              </w:rPr>
              <w:t xml:space="preserve">Garantija ne mažiau kaip 60 mėnesių. </w:t>
            </w:r>
          </w:p>
          <w:p w14:paraId="2091E2EE" w14:textId="77777777" w:rsidR="000526DE" w:rsidRPr="001C72DB" w:rsidRDefault="000526DE" w:rsidP="000526DE">
            <w:pPr>
              <w:numPr>
                <w:ilvl w:val="5"/>
                <w:numId w:val="1"/>
              </w:numPr>
              <w:spacing w:line="259" w:lineRule="auto"/>
              <w:ind w:left="641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1C72DB">
              <w:rPr>
                <w:rFonts w:ascii="Times New Roman" w:hAnsi="Times New Roman" w:cs="Times New Roman"/>
                <w:sz w:val="24"/>
                <w:szCs w:val="24"/>
              </w:rPr>
              <w:t xml:space="preserve">Reakcija į pranešimą apie gedimą – ne vėliau kaip kitą darbo dieną. </w:t>
            </w:r>
          </w:p>
          <w:p w14:paraId="4E26C021" w14:textId="17BB7AF0" w:rsidR="000526DE" w:rsidRPr="00FA6C40" w:rsidRDefault="000526DE" w:rsidP="000526DE">
            <w:pPr>
              <w:numPr>
                <w:ilvl w:val="5"/>
                <w:numId w:val="1"/>
              </w:numPr>
              <w:ind w:left="641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Gedimai turi būti sutvarkomi arba sugedę įrenginiai pakeisti naujais per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darbo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14:paraId="4826633B" w14:textId="76AB0927" w:rsidR="00ED1E93" w:rsidRPr="00AF755A" w:rsidRDefault="00C517D4" w:rsidP="008A6FA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D1E93" w:rsidRPr="00AF755A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DB0B3" w14:textId="77777777" w:rsidR="00EF2B6D" w:rsidRDefault="00EF2B6D" w:rsidP="00F51671">
      <w:pPr>
        <w:spacing w:after="0" w:line="240" w:lineRule="auto"/>
      </w:pPr>
      <w:r>
        <w:separator/>
      </w:r>
    </w:p>
  </w:endnote>
  <w:endnote w:type="continuationSeparator" w:id="0">
    <w:p w14:paraId="43501840" w14:textId="77777777" w:rsidR="00EF2B6D" w:rsidRDefault="00EF2B6D" w:rsidP="00F51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87904" w14:textId="77777777" w:rsidR="00EF2B6D" w:rsidRDefault="00EF2B6D" w:rsidP="00F51671">
      <w:pPr>
        <w:spacing w:after="0" w:line="240" w:lineRule="auto"/>
      </w:pPr>
      <w:r>
        <w:separator/>
      </w:r>
    </w:p>
  </w:footnote>
  <w:footnote w:type="continuationSeparator" w:id="0">
    <w:p w14:paraId="7C88BBF5" w14:textId="77777777" w:rsidR="00EF2B6D" w:rsidRDefault="00EF2B6D" w:rsidP="00F51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0817312"/>
      <w:docPartObj>
        <w:docPartGallery w:val="Page Numbers (Top of Page)"/>
        <w:docPartUnique/>
      </w:docPartObj>
    </w:sdtPr>
    <w:sdtContent>
      <w:p w14:paraId="79348DA8" w14:textId="68AD02E5" w:rsidR="00F51671" w:rsidRDefault="00F5167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DF0F0C" w14:textId="77777777" w:rsidR="00F51671" w:rsidRDefault="00F5167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44E4C"/>
    <w:multiLevelType w:val="multilevel"/>
    <w:tmpl w:val="0DFA90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7B60306"/>
    <w:multiLevelType w:val="multilevel"/>
    <w:tmpl w:val="4546F7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377621B"/>
    <w:multiLevelType w:val="hybridMultilevel"/>
    <w:tmpl w:val="7816851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D3D4E"/>
    <w:multiLevelType w:val="hybridMultilevel"/>
    <w:tmpl w:val="26A020E4"/>
    <w:lvl w:ilvl="0" w:tplc="08090003">
      <w:start w:val="1"/>
      <w:numFmt w:val="bullet"/>
      <w:lvlText w:val="o"/>
      <w:lvlJc w:val="left"/>
      <w:pPr>
        <w:ind w:left="777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64171797"/>
    <w:multiLevelType w:val="multilevel"/>
    <w:tmpl w:val="042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73DA3C31"/>
    <w:multiLevelType w:val="multilevel"/>
    <w:tmpl w:val="38D6EE8E"/>
    <w:lvl w:ilvl="0">
      <w:start w:val="1"/>
      <w:numFmt w:val="bullet"/>
      <w:lvlText w:val=""/>
      <w:lvlJc w:val="left"/>
      <w:pPr>
        <w:ind w:left="57" w:hanging="57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14" w:hanging="5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1" w:hanging="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8" w:hanging="57"/>
      </w:pPr>
      <w:rPr>
        <w:rFonts w:ascii="Symbol" w:hAnsi="Symbol" w:hint="default"/>
      </w:rPr>
    </w:lvl>
    <w:lvl w:ilvl="4">
      <w:start w:val="1"/>
      <w:numFmt w:val="bullet"/>
      <w:suff w:val="space"/>
      <w:lvlText w:val=""/>
      <w:lvlJc w:val="left"/>
      <w:pPr>
        <w:ind w:left="285" w:hanging="57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tabs>
          <w:tab w:val="num" w:pos="340"/>
        </w:tabs>
        <w:ind w:left="399" w:hanging="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56" w:hanging="5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13" w:hanging="57"/>
      </w:pPr>
      <w:rPr>
        <w:rFonts w:ascii="Symbol" w:hAnsi="Symbol" w:hint="default"/>
      </w:rPr>
    </w:lvl>
  </w:abstractNum>
  <w:num w:numId="1" w16cid:durableId="1054767507">
    <w:abstractNumId w:val="5"/>
  </w:num>
  <w:num w:numId="2" w16cid:durableId="2119911234">
    <w:abstractNumId w:val="4"/>
  </w:num>
  <w:num w:numId="3" w16cid:durableId="797532474">
    <w:abstractNumId w:val="3"/>
  </w:num>
  <w:num w:numId="4" w16cid:durableId="550459496">
    <w:abstractNumId w:val="2"/>
  </w:num>
  <w:num w:numId="5" w16cid:durableId="1149055624">
    <w:abstractNumId w:val="0"/>
  </w:num>
  <w:num w:numId="6" w16cid:durableId="1114638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EB0"/>
    <w:rsid w:val="000417AC"/>
    <w:rsid w:val="000526DE"/>
    <w:rsid w:val="00085A62"/>
    <w:rsid w:val="00092EF0"/>
    <w:rsid w:val="000D6C9D"/>
    <w:rsid w:val="001458D7"/>
    <w:rsid w:val="001C72DB"/>
    <w:rsid w:val="00202DCC"/>
    <w:rsid w:val="00222EB0"/>
    <w:rsid w:val="00283613"/>
    <w:rsid w:val="004554EF"/>
    <w:rsid w:val="004C53F8"/>
    <w:rsid w:val="00534433"/>
    <w:rsid w:val="00641DB8"/>
    <w:rsid w:val="00676551"/>
    <w:rsid w:val="00706D37"/>
    <w:rsid w:val="00785318"/>
    <w:rsid w:val="00814879"/>
    <w:rsid w:val="008A6FA7"/>
    <w:rsid w:val="008C19D8"/>
    <w:rsid w:val="008D7FEF"/>
    <w:rsid w:val="00971FF3"/>
    <w:rsid w:val="009977EE"/>
    <w:rsid w:val="00AA45E3"/>
    <w:rsid w:val="00AC60A0"/>
    <w:rsid w:val="00AF755A"/>
    <w:rsid w:val="00B377BA"/>
    <w:rsid w:val="00B60674"/>
    <w:rsid w:val="00C0797B"/>
    <w:rsid w:val="00C517D4"/>
    <w:rsid w:val="00CC1D33"/>
    <w:rsid w:val="00ED1E93"/>
    <w:rsid w:val="00EF2B6D"/>
    <w:rsid w:val="00F51671"/>
    <w:rsid w:val="00F71A98"/>
    <w:rsid w:val="00FA6C40"/>
    <w:rsid w:val="00FC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F21A9"/>
  <w15:chartTrackingRefBased/>
  <w15:docId w15:val="{88E3D646-05EB-4652-8B0D-B2A42818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1E93"/>
  </w:style>
  <w:style w:type="paragraph" w:styleId="Antrat3">
    <w:name w:val="heading 3"/>
    <w:basedOn w:val="prastasis"/>
    <w:link w:val="Antrat3Diagrama"/>
    <w:uiPriority w:val="9"/>
    <w:qFormat/>
    <w:rsid w:val="00092E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22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22EB0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C53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C53F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C53F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53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53F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5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53F8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641DB8"/>
    <w:pPr>
      <w:spacing w:after="0" w:line="240" w:lineRule="auto"/>
    </w:pPr>
  </w:style>
  <w:style w:type="character" w:customStyle="1" w:styleId="apple-converted-space">
    <w:name w:val="apple-converted-space"/>
    <w:basedOn w:val="Numatytasispastraiposriftas"/>
    <w:rsid w:val="00092EF0"/>
  </w:style>
  <w:style w:type="character" w:customStyle="1" w:styleId="Antrat3Diagrama">
    <w:name w:val="Antraštė 3 Diagrama"/>
    <w:basedOn w:val="Numatytasispastraiposriftas"/>
    <w:link w:val="Antrat3"/>
    <w:uiPriority w:val="9"/>
    <w:rsid w:val="00092EF0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1C7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F516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1671"/>
  </w:style>
  <w:style w:type="paragraph" w:styleId="Porat">
    <w:name w:val="footer"/>
    <w:basedOn w:val="prastasis"/>
    <w:link w:val="PoratDiagrama"/>
    <w:uiPriority w:val="99"/>
    <w:unhideWhenUsed/>
    <w:rsid w:val="00F516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51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5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C5090-3FF9-4C53-853A-C48A3F56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3974</Words>
  <Characters>2266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Senulis</dc:creator>
  <cp:keywords/>
  <dc:description/>
  <cp:lastModifiedBy>Klišauskienė Jurgita</cp:lastModifiedBy>
  <cp:revision>3</cp:revision>
  <dcterms:created xsi:type="dcterms:W3CDTF">2025-07-21T06:08:00Z</dcterms:created>
  <dcterms:modified xsi:type="dcterms:W3CDTF">2025-07-21T06:24:00Z</dcterms:modified>
</cp:coreProperties>
</file>