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7B5D730B" w:rsidR="00D603BB" w:rsidRPr="00D603BB" w:rsidRDefault="00937F8E" w:rsidP="005B1F7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9F3499">
              <w:rPr>
                <w:rFonts w:ascii="Times New Roman" w:hAnsi="Times New Roman" w:cs="Times New Roman"/>
                <w:b/>
                <w:sz w:val="24"/>
                <w:szCs w:val="24"/>
                <w:lang w:val="lt-LT"/>
              </w:rPr>
              <w:t>V</w:t>
            </w:r>
            <w:r w:rsidR="00D603BB" w:rsidRPr="00D603BB">
              <w:rPr>
                <w:rFonts w:ascii="Times New Roman" w:hAnsi="Times New Roman" w:cs="Times New Roman"/>
                <w:b/>
                <w:sz w:val="24"/>
                <w:szCs w:val="24"/>
                <w:lang w:val="lt-LT"/>
              </w:rPr>
              <w:t xml:space="preserve">-a pirkimo dalis </w:t>
            </w:r>
            <w:r w:rsidR="00D603BB">
              <w:rPr>
                <w:rFonts w:ascii="Times New Roman" w:hAnsi="Times New Roman" w:cs="Times New Roman"/>
                <w:b/>
                <w:sz w:val="24"/>
                <w:szCs w:val="24"/>
                <w:lang w:val="lt-LT"/>
              </w:rPr>
              <w:t>„</w:t>
            </w:r>
            <w:proofErr w:type="spellStart"/>
            <w:r w:rsidR="00D603BB" w:rsidRPr="00D603BB">
              <w:rPr>
                <w:rFonts w:ascii="Times New Roman" w:hAnsi="Times New Roman" w:cs="Times New Roman"/>
                <w:b/>
                <w:bCs/>
                <w:color w:val="2B2B00"/>
                <w:sz w:val="24"/>
                <w:szCs w:val="24"/>
              </w:rPr>
              <w:t>Kėlimo</w:t>
            </w:r>
            <w:proofErr w:type="spellEnd"/>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įrengini</w:t>
            </w:r>
            <w:r w:rsidR="005166CF">
              <w:rPr>
                <w:rFonts w:ascii="Times New Roman" w:hAnsi="Times New Roman" w:cs="Times New Roman"/>
                <w:b/>
                <w:bCs/>
                <w:color w:val="2B2B00"/>
                <w:sz w:val="24"/>
                <w:szCs w:val="24"/>
              </w:rPr>
              <w:t>ų</w:t>
            </w:r>
            <w:proofErr w:type="spellEnd"/>
            <w:r w:rsidR="00D603BB" w:rsidRPr="00D603BB">
              <w:rPr>
                <w:rFonts w:ascii="Times New Roman" w:hAnsi="Times New Roman" w:cs="Times New Roman"/>
                <w:color w:val="2B2B00"/>
                <w:sz w:val="24"/>
                <w:szCs w:val="24"/>
              </w:rPr>
              <w:t xml:space="preserve"> </w:t>
            </w:r>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remonto</w:t>
            </w:r>
            <w:proofErr w:type="spellEnd"/>
            <w:r w:rsidR="00D603BB" w:rsidRPr="00D603BB">
              <w:rPr>
                <w:rFonts w:ascii="Times New Roman" w:hAnsi="Times New Roman" w:cs="Times New Roman"/>
                <w:b/>
                <w:bCs/>
                <w:color w:val="2B2B00"/>
                <w:sz w:val="24"/>
                <w:szCs w:val="24"/>
              </w:rPr>
              <w:t xml:space="preserve"> </w:t>
            </w:r>
            <w:r w:rsidR="00327F29" w:rsidRPr="00D603BB">
              <w:rPr>
                <w:rFonts w:ascii="Times New Roman" w:hAnsi="Times New Roman" w:cs="Times New Roman"/>
                <w:b/>
                <w:bCs/>
                <w:color w:val="2B2B00"/>
                <w:sz w:val="24"/>
                <w:szCs w:val="24"/>
              </w:rPr>
              <w:t>paslaug</w:t>
            </w:r>
            <w:r w:rsidR="00327F29">
              <w:rPr>
                <w:rFonts w:ascii="Times New Roman" w:hAnsi="Times New Roman" w:cs="Times New Roman"/>
                <w:b/>
                <w:bCs/>
                <w:color w:val="2B2B00"/>
                <w:sz w:val="24"/>
                <w:szCs w:val="24"/>
              </w:rPr>
              <w:t>os</w:t>
            </w:r>
            <w:r w:rsidR="00D603BB">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7A1A5EA1" w:rsidR="00D62727" w:rsidRPr="00DF4BF5" w:rsidRDefault="00E665C3"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 :</w:t>
      </w:r>
    </w:p>
    <w:p w14:paraId="02518167" w14:textId="79CF5C52" w:rsidR="00DF4BF5" w:rsidRPr="004253FD" w:rsidRDefault="00DF4BF5" w:rsidP="004253FD">
      <w:pPr>
        <w:pStyle w:val="Sraopastraipa"/>
        <w:numPr>
          <w:ilvl w:val="1"/>
          <w:numId w:val="17"/>
        </w:numPr>
        <w:tabs>
          <w:tab w:val="left" w:pos="0"/>
        </w:tabs>
        <w:spacing w:after="0"/>
        <w:rPr>
          <w:rFonts w:ascii="Calibri Light" w:hAnsi="Calibri Light" w:cs="Calibri Light"/>
          <w:b/>
          <w:sz w:val="16"/>
          <w:szCs w:val="16"/>
          <w:lang w:val="lt-LT"/>
        </w:rPr>
      </w:pPr>
      <w:r w:rsidRPr="004253FD">
        <w:rPr>
          <w:rFonts w:ascii="Calibri Light" w:hAnsi="Calibri Light" w:cs="Calibri Light"/>
          <w:b/>
          <w:sz w:val="16"/>
          <w:szCs w:val="16"/>
          <w:lang w:val="lt-LT"/>
        </w:rPr>
        <w:t xml:space="preserve">lentelė. </w:t>
      </w:r>
    </w:p>
    <w:p w14:paraId="216622EC" w14:textId="2FF3E986" w:rsidR="005166CF" w:rsidRPr="00206D86" w:rsidRDefault="005166CF" w:rsidP="004253FD">
      <w:pPr>
        <w:pStyle w:val="Sraopastraipa"/>
        <w:tabs>
          <w:tab w:val="left" w:pos="0"/>
        </w:tabs>
        <w:spacing w:after="0"/>
        <w:rPr>
          <w:rFonts w:ascii="Calibri Light" w:hAnsi="Calibri Light" w:cs="Calibri Light"/>
          <w:b/>
          <w:sz w:val="16"/>
          <w:szCs w:val="16"/>
          <w:lang w:val="lt-LT"/>
        </w:rPr>
      </w:pP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65635B32"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b/>
                <w:bCs/>
                <w:color w:val="2B2B00"/>
                <w:sz w:val="24"/>
                <w:szCs w:val="24"/>
                <w:lang w:val="lt-LT"/>
              </w:rPr>
              <w:t xml:space="preserve"> remonto </w:t>
            </w:r>
            <w:r w:rsidR="00327F29" w:rsidRPr="00206D86">
              <w:rPr>
                <w:rFonts w:ascii="Times New Roman" w:eastAsia="Calibri" w:hAnsi="Times New Roman" w:cs="Times New Roman"/>
                <w:b/>
                <w:bCs/>
                <w:color w:val="2B2B00"/>
                <w:sz w:val="24"/>
                <w:szCs w:val="24"/>
                <w:lang w:val="lt-LT"/>
              </w:rPr>
              <w:t>paslaug</w:t>
            </w:r>
            <w:r w:rsidR="00327F29">
              <w:rPr>
                <w:rFonts w:ascii="Times New Roman" w:eastAsia="Calibri" w:hAnsi="Times New Roman" w:cs="Times New Roman"/>
                <w:b/>
                <w:bCs/>
                <w:color w:val="2B2B00"/>
                <w:sz w:val="24"/>
                <w:szCs w:val="24"/>
                <w:lang w:val="lt-LT"/>
              </w:rPr>
              <w:t>ų</w:t>
            </w:r>
            <w:r w:rsidR="00327F29"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51318D69"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0464650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sidR="004253FD">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750ACC22"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5166CF" w:rsidRPr="005166CF" w14:paraId="1478B5EF" w14:textId="77777777" w:rsidTr="005166CF">
        <w:tc>
          <w:tcPr>
            <w:tcW w:w="426" w:type="dxa"/>
          </w:tcPr>
          <w:p w14:paraId="66DC5214" w14:textId="716CF7A7"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1B56AA9F"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p>
        </w:tc>
        <w:tc>
          <w:tcPr>
            <w:tcW w:w="4394" w:type="dxa"/>
          </w:tcPr>
          <w:p w14:paraId="090EB66A" w14:textId="294D6164" w:rsidR="005166CF" w:rsidRPr="005166CF" w:rsidRDefault="005166CF" w:rsidP="00206D86">
            <w:pPr>
              <w:spacing w:line="259" w:lineRule="auto"/>
              <w:rPr>
                <w:rFonts w:ascii="Times New Roman" w:hAnsi="Times New Roman" w:cs="Times New Roman"/>
                <w:sz w:val="24"/>
                <w:szCs w:val="24"/>
              </w:rPr>
            </w:pPr>
          </w:p>
        </w:tc>
      </w:tr>
      <w:tr w:rsidR="005166CF" w:rsidRPr="00206D86" w14:paraId="752B1C2B" w14:textId="77777777" w:rsidTr="005166CF">
        <w:trPr>
          <w:trHeight w:val="381"/>
        </w:trPr>
        <w:tc>
          <w:tcPr>
            <w:tcW w:w="426" w:type="dxa"/>
          </w:tcPr>
          <w:p w14:paraId="64D3E5DD" w14:textId="32922A34" w:rsidR="005166CF" w:rsidRPr="00206D86" w:rsidRDefault="005166CF" w:rsidP="00206D8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145D6AE7"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4394" w:type="dxa"/>
            <w:vAlign w:val="center"/>
          </w:tcPr>
          <w:p w14:paraId="3CBB369E" w14:textId="77777777" w:rsidR="005166CF" w:rsidRPr="00206D86" w:rsidRDefault="005166CF" w:rsidP="00206D86">
            <w:pPr>
              <w:spacing w:after="160" w:line="259" w:lineRule="auto"/>
              <w:rPr>
                <w:rFonts w:ascii="Times New Roman" w:hAnsi="Times New Roman" w:cs="Times New Roman"/>
                <w:sz w:val="24"/>
                <w:szCs w:val="24"/>
              </w:rPr>
            </w:pPr>
          </w:p>
        </w:tc>
      </w:tr>
      <w:tr w:rsidR="005166CF" w:rsidRPr="00206D86" w14:paraId="53549520" w14:textId="77777777" w:rsidTr="005166CF">
        <w:trPr>
          <w:trHeight w:val="415"/>
        </w:trPr>
        <w:tc>
          <w:tcPr>
            <w:tcW w:w="426" w:type="dxa"/>
          </w:tcPr>
          <w:p w14:paraId="47E6EA0A" w14:textId="77777777" w:rsidR="005166CF" w:rsidRPr="00206D86" w:rsidRDefault="005166CF" w:rsidP="00206D86">
            <w:pPr>
              <w:spacing w:line="259" w:lineRule="auto"/>
              <w:rPr>
                <w:rFonts w:ascii="Times New Roman" w:hAnsi="Times New Roman" w:cs="Times New Roman"/>
                <w:bCs/>
                <w:color w:val="2B2B00"/>
                <w:sz w:val="24"/>
                <w:szCs w:val="24"/>
              </w:rPr>
            </w:pPr>
          </w:p>
        </w:tc>
        <w:tc>
          <w:tcPr>
            <w:tcW w:w="5103" w:type="dxa"/>
            <w:vAlign w:val="center"/>
          </w:tcPr>
          <w:p w14:paraId="11E4967C" w14:textId="152F6586"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5166CF" w:rsidRPr="00206D86" w:rsidRDefault="005166CF" w:rsidP="00206D8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106790C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w:t>
      </w:r>
      <w:r w:rsidR="003B7840">
        <w:rPr>
          <w:rFonts w:ascii="Calibri Light" w:hAnsi="Calibri Light" w:cs="Calibri Light"/>
          <w:b/>
          <w:sz w:val="16"/>
          <w:szCs w:val="16"/>
          <w:lang w:val="lt-LT"/>
        </w:rPr>
        <w:t>3</w:t>
      </w:r>
      <w:r>
        <w:rPr>
          <w:rFonts w:ascii="Calibri Light" w:hAnsi="Calibri Light" w:cs="Calibri Light"/>
          <w:b/>
          <w:sz w:val="16"/>
          <w:szCs w:val="16"/>
          <w:lang w:val="lt-LT"/>
        </w:rPr>
        <w:t>.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7120E1"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FB1BB8C" w14:textId="67EBBD1C" w:rsidR="007120E1" w:rsidRDefault="00DF4BF5" w:rsidP="00676783">
            <w:pPr>
              <w:spacing w:after="0" w:line="240" w:lineRule="auto"/>
              <w:jc w:val="center"/>
              <w:rPr>
                <w:rFonts w:ascii="Times New Roman" w:eastAsia="Times New Roman" w:hAnsi="Times New Roman" w:cs="Times New Roman"/>
                <w:b/>
                <w:sz w:val="24"/>
                <w:szCs w:val="24"/>
                <w:lang w:val="lt-LT" w:eastAsia="lt-LT"/>
              </w:rPr>
            </w:pPr>
            <w:r w:rsidRPr="00DF4BF5">
              <w:rPr>
                <w:rFonts w:ascii="Calibri Light" w:hAnsi="Calibri Light" w:cs="Calibri Light"/>
                <w:b/>
                <w:sz w:val="16"/>
                <w:szCs w:val="16"/>
                <w:lang w:val="lt-LT"/>
              </w:rPr>
              <w:tab/>
            </w:r>
          </w:p>
          <w:p w14:paraId="1074D46A" w14:textId="77777777" w:rsidR="007120E1" w:rsidRDefault="007120E1" w:rsidP="0067678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su PVM</w:t>
            </w:r>
          </w:p>
          <w:p w14:paraId="6D0595EF" w14:textId="77777777" w:rsidR="007120E1" w:rsidRPr="00DF4BF5" w:rsidRDefault="007120E1" w:rsidP="00676783">
            <w:pPr>
              <w:tabs>
                <w:tab w:val="left" w:pos="993"/>
              </w:tabs>
              <w:rPr>
                <w:rFonts w:ascii="Times New Roman" w:eastAsia="Times New Roman" w:hAnsi="Times New Roman" w:cs="Times New Roman"/>
                <w:b/>
                <w:sz w:val="24"/>
                <w:szCs w:val="24"/>
                <w:lang w:val="lt-LT" w:eastAsia="lt-LT"/>
              </w:rPr>
            </w:pPr>
            <w:r w:rsidRPr="007D03B6">
              <w:rPr>
                <w:rFonts w:ascii="Times New Roman" w:hAnsi="Times New Roman" w:cs="Times New Roman"/>
                <w:b/>
                <w:i/>
                <w:color w:val="FF0000"/>
                <w:sz w:val="24"/>
                <w:szCs w:val="24"/>
                <w:u w:val="single"/>
                <w:lang w:val="lt-LT"/>
              </w:rPr>
              <w:t>*Pasiūlymų vertinime bus naudojama X</w:t>
            </w:r>
            <w:r w:rsidRPr="007D03B6">
              <w:rPr>
                <w:rFonts w:ascii="Times New Roman" w:eastAsia="Calibri" w:hAnsi="Times New Roman" w:cs="Times New Roman"/>
                <w:b/>
                <w:i/>
                <w:color w:val="FF0000"/>
                <w:u w:val="single"/>
                <w:lang w:val="lt-LT"/>
              </w:rPr>
              <w:t xml:space="preserve"> palyginamoji pasiūlymo kaina su EUR </w:t>
            </w:r>
            <w:r>
              <w:rPr>
                <w:rFonts w:ascii="Times New Roman" w:eastAsia="Calibri" w:hAnsi="Times New Roman" w:cs="Times New Roman"/>
                <w:b/>
                <w:i/>
                <w:color w:val="FF0000"/>
                <w:u w:val="single"/>
                <w:lang w:val="lt-LT"/>
              </w:rPr>
              <w:t xml:space="preserve">su </w:t>
            </w:r>
            <w:r w:rsidRPr="007D03B6">
              <w:rPr>
                <w:rFonts w:ascii="Times New Roman" w:eastAsia="Calibri" w:hAnsi="Times New Roman" w:cs="Times New Roman"/>
                <w:b/>
                <w:i/>
                <w:color w:val="FF0000"/>
                <w:u w:val="single"/>
                <w:lang w:val="lt-LT"/>
              </w:rPr>
              <w:t>PVM.</w:t>
            </w:r>
            <w:r w:rsidRPr="007D03B6">
              <w:rPr>
                <w:rFonts w:eastAsia="Calibri"/>
                <w:i/>
                <w:color w:val="FF0000"/>
                <w:u w:val="single"/>
                <w:lang w:val="lt-LT"/>
              </w:rPr>
              <w:t xml:space="preserve"> </w:t>
            </w:r>
          </w:p>
        </w:tc>
        <w:tc>
          <w:tcPr>
            <w:tcW w:w="5558" w:type="dxa"/>
            <w:tcBorders>
              <w:top w:val="single" w:sz="6" w:space="0" w:color="auto"/>
              <w:left w:val="single" w:sz="6" w:space="0" w:color="auto"/>
              <w:bottom w:val="single" w:sz="6" w:space="0" w:color="auto"/>
              <w:right w:val="single" w:sz="6" w:space="0" w:color="auto"/>
            </w:tcBorders>
          </w:tcPr>
          <w:p w14:paraId="0A55F135"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p>
          <w:p w14:paraId="1E1329A4" w14:textId="4947F602" w:rsidR="007120E1" w:rsidRPr="00206D86"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color w:val="FF0000"/>
                <w:sz w:val="24"/>
                <w:szCs w:val="24"/>
                <w:lang w:val="lt-LT" w:eastAsia="lt-LT"/>
              </w:rPr>
              <w:t xml:space="preserve">(X)* </w:t>
            </w:r>
            <w:r w:rsidRPr="00206D86">
              <w:rPr>
                <w:rFonts w:ascii="Times New Roman" w:eastAsia="Times New Roman" w:hAnsi="Times New Roman" w:cs="Times New Roman"/>
                <w:b/>
                <w:i/>
                <w:snapToGrid w:val="0"/>
                <w:sz w:val="24"/>
                <w:szCs w:val="24"/>
                <w:lang w:val="lt-LT" w:eastAsia="lt-LT"/>
              </w:rPr>
              <w:t xml:space="preserve">= </w:t>
            </w:r>
            <w:r w:rsidRPr="00206D86">
              <w:rPr>
                <w:rFonts w:ascii="Times New Roman" w:hAnsi="Times New Roman" w:cs="Times New Roman"/>
                <w:color w:val="000000"/>
                <w:sz w:val="24"/>
                <w:szCs w:val="24"/>
              </w:rPr>
              <w:t>Ax100+(Bx1000)</w:t>
            </w:r>
            <w:r w:rsidRPr="00206D86">
              <w:rPr>
                <w:rFonts w:ascii="Times New Roman" w:eastAsia="Times New Roman" w:hAnsi="Times New Roman" w:cs="Times New Roman"/>
                <w:b/>
                <w:i/>
                <w:snapToGrid w:val="0"/>
                <w:sz w:val="24"/>
                <w:szCs w:val="24"/>
                <w:lang w:val="lt-LT" w:eastAsia="lt-LT"/>
              </w:rPr>
              <w:t xml:space="preserve"> =</w:t>
            </w:r>
          </w:p>
          <w:p w14:paraId="60313292"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5A6DFB81" w14:textId="77777777" w:rsidR="007120E1" w:rsidRDefault="007120E1" w:rsidP="00676783">
            <w:pPr>
              <w:spacing w:after="0" w:line="240" w:lineRule="auto"/>
              <w:jc w:val="center"/>
              <w:rPr>
                <w:rFonts w:ascii="Times New Roman" w:eastAsia="Times New Roman" w:hAnsi="Times New Roman" w:cs="Times New Roman"/>
                <w:i/>
                <w:snapToGrid w:val="0"/>
                <w:lang w:val="lt-LT" w:eastAsia="lt-LT"/>
              </w:rPr>
            </w:pPr>
            <w:r>
              <w:rPr>
                <w:rFonts w:ascii="Times New Roman" w:eastAsia="Times New Roman" w:hAnsi="Times New Roman" w:cs="Times New Roman"/>
                <w:b/>
                <w:i/>
                <w:snapToGrid w:val="0"/>
                <w:lang w:val="lt-LT" w:eastAsia="lt-LT"/>
              </w:rPr>
              <w:t xml:space="preserve">(suma </w:t>
            </w:r>
            <w:r>
              <w:rPr>
                <w:rFonts w:ascii="Times New Roman" w:eastAsia="Times New Roman" w:hAnsi="Times New Roman" w:cs="Times New Roman"/>
                <w:b/>
                <w:i/>
                <w:snapToGrid w:val="0"/>
                <w:sz w:val="24"/>
                <w:szCs w:val="24"/>
                <w:lang w:val="lt-LT" w:eastAsia="lt-LT"/>
              </w:rPr>
              <w:t>skaičiais ir</w:t>
            </w:r>
            <w:r>
              <w:rPr>
                <w:rFonts w:ascii="Times New Roman" w:eastAsia="Times New Roman" w:hAnsi="Times New Roman" w:cs="Times New Roman"/>
                <w:b/>
                <w:i/>
                <w:snapToGrid w:val="0"/>
                <w:lang w:val="lt-LT" w:eastAsia="lt-LT"/>
              </w:rPr>
              <w:t xml:space="preserve"> žodžiais)</w:t>
            </w:r>
          </w:p>
          <w:p w14:paraId="4856765B" w14:textId="77777777" w:rsidR="007120E1" w:rsidRPr="00DF4BF5" w:rsidRDefault="007120E1" w:rsidP="00676783">
            <w:pPr>
              <w:spacing w:after="0" w:line="240" w:lineRule="auto"/>
              <w:jc w:val="center"/>
              <w:rPr>
                <w:rFonts w:ascii="Times New Roman" w:eastAsia="Times New Roman" w:hAnsi="Times New Roman" w:cs="Times New Roman"/>
                <w:i/>
                <w:snapToGrid w:val="0"/>
                <w:lang w:val="lt-LT" w:eastAsia="lt-LT"/>
              </w:rPr>
            </w:pP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3B9795C0"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41D6B590" w14:textId="77777777" w:rsidR="00327F29" w:rsidRDefault="00327F29" w:rsidP="00DF4BF5">
      <w:pPr>
        <w:spacing w:after="0" w:line="240" w:lineRule="auto"/>
        <w:ind w:left="-142" w:firstLine="142"/>
        <w:rPr>
          <w:rFonts w:ascii="Calibri Light" w:hAnsi="Calibri Light" w:cs="Calibri Light"/>
          <w:b/>
          <w:sz w:val="16"/>
          <w:szCs w:val="16"/>
          <w:lang w:val="lt-LT"/>
        </w:rPr>
      </w:pPr>
    </w:p>
    <w:p w14:paraId="10298C50" w14:textId="77777777" w:rsidR="00327F29" w:rsidRDefault="00327F29" w:rsidP="00DF4BF5">
      <w:pPr>
        <w:spacing w:after="0" w:line="240" w:lineRule="auto"/>
        <w:ind w:left="-142" w:firstLine="142"/>
        <w:rPr>
          <w:rFonts w:ascii="Calibri Light" w:hAnsi="Calibri Light" w:cs="Calibri Light"/>
          <w:b/>
          <w:sz w:val="16"/>
          <w:szCs w:val="16"/>
          <w:lang w:val="lt-LT"/>
        </w:rPr>
      </w:pPr>
    </w:p>
    <w:p w14:paraId="1A9EC33E" w14:textId="77777777" w:rsidR="00327F29" w:rsidRPr="00DF4BF5" w:rsidRDefault="00327F29" w:rsidP="00327F29">
      <w:pPr>
        <w:pStyle w:val="Pagrindinistekstas"/>
        <w:spacing w:before="11"/>
        <w:rPr>
          <w:rFonts w:ascii="Calibri Light" w:hAnsi="Calibri Light" w:cs="Calibri Light"/>
          <w:b/>
          <w:i/>
          <w:sz w:val="24"/>
          <w:szCs w:val="24"/>
          <w:lang w:val="lt-LT"/>
        </w:rPr>
      </w:pPr>
    </w:p>
    <w:p w14:paraId="57B4CF01" w14:textId="77777777" w:rsidR="00327F29" w:rsidRPr="00DF4BF5" w:rsidRDefault="00327F29" w:rsidP="00327F29">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327F29" w:rsidRPr="00DF4BF5" w14:paraId="5A445461" w14:textId="77777777" w:rsidTr="00FD5583">
        <w:tc>
          <w:tcPr>
            <w:tcW w:w="1627" w:type="pct"/>
            <w:shd w:val="clear" w:color="auto" w:fill="auto"/>
          </w:tcPr>
          <w:p w14:paraId="4E763D04" w14:textId="77777777" w:rsidR="00327F29" w:rsidRPr="00DF4BF5" w:rsidRDefault="00327F29" w:rsidP="00FD5583">
            <w:pPr>
              <w:spacing w:after="0" w:line="240" w:lineRule="auto"/>
              <w:jc w:val="right"/>
              <w:rPr>
                <w:rFonts w:ascii="Calibri Light" w:eastAsia="Calibri" w:hAnsi="Calibri Light" w:cs="Calibri Light"/>
                <w:i/>
                <w:sz w:val="16"/>
                <w:szCs w:val="16"/>
                <w:lang w:val="lt-LT"/>
              </w:rPr>
            </w:pPr>
            <w:r w:rsidRPr="00DF4BF5">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290FB29F" w14:textId="77777777" w:rsidR="00327F29" w:rsidRPr="00DF4BF5" w:rsidRDefault="00327F29" w:rsidP="00FD5583">
            <w:pPr>
              <w:spacing w:after="0" w:line="240" w:lineRule="auto"/>
              <w:rPr>
                <w:rFonts w:ascii="Calibri Light" w:eastAsia="Calibri" w:hAnsi="Calibri Light" w:cs="Calibri Light"/>
                <w:sz w:val="16"/>
                <w:szCs w:val="16"/>
                <w:lang w:val="lt-LT"/>
              </w:rPr>
            </w:pPr>
            <w:r w:rsidRPr="00DF4BF5">
              <w:rPr>
                <w:rFonts w:ascii="Calibri Light" w:eastAsia="Calibri" w:hAnsi="Calibri Light" w:cs="Calibri Light"/>
                <w:i/>
                <w:color w:val="000000"/>
                <w:sz w:val="16"/>
                <w:szCs w:val="16"/>
                <w:lang w:val="lt-LT"/>
              </w:rPr>
              <w:t>[Pildo tiekėjas]</w:t>
            </w:r>
          </w:p>
        </w:tc>
      </w:tr>
      <w:tr w:rsidR="00327F29" w:rsidRPr="00DF4BF5" w14:paraId="5C0FC8E3" w14:textId="77777777" w:rsidTr="00FD5583">
        <w:tc>
          <w:tcPr>
            <w:tcW w:w="1627" w:type="pct"/>
            <w:shd w:val="clear" w:color="auto" w:fill="auto"/>
          </w:tcPr>
          <w:p w14:paraId="0A65E62F" w14:textId="77777777" w:rsidR="00327F29" w:rsidRPr="00DF4BF5" w:rsidRDefault="00327F29" w:rsidP="00FD5583">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DF4BF5">
              <w:rPr>
                <w:rStyle w:val="Emfaz"/>
                <w:rFonts w:ascii="Calibri Light" w:eastAsia="Calibri" w:hAnsi="Calibri Light" w:cs="Calibri Light"/>
                <w:b/>
                <w:bCs/>
                <w:sz w:val="16"/>
                <w:szCs w:val="16"/>
                <w:shd w:val="clear" w:color="auto" w:fill="FFFFFF"/>
                <w:lang w:val="lt-LT"/>
              </w:rPr>
              <w:t>PVM</w:t>
            </w:r>
            <w:r w:rsidRPr="00DF4BF5">
              <w:rPr>
                <w:rStyle w:val="apple-converted-space"/>
                <w:rFonts w:ascii="Calibri Light" w:eastAsia="Calibri" w:hAnsi="Calibri Light" w:cs="Calibri Light"/>
                <w:b/>
                <w:sz w:val="16"/>
                <w:szCs w:val="16"/>
                <w:shd w:val="clear" w:color="auto" w:fill="FFFFFF"/>
                <w:lang w:val="lt-LT"/>
              </w:rPr>
              <w:t> lengvatos/</w:t>
            </w:r>
            <w:r w:rsidRPr="00DF4BF5">
              <w:rPr>
                <w:rFonts w:ascii="Calibri Light" w:eastAsia="Calibri" w:hAnsi="Calibri Light" w:cs="Calibri Light"/>
                <w:b/>
                <w:i/>
                <w:sz w:val="16"/>
                <w:szCs w:val="16"/>
                <w:shd w:val="clear" w:color="auto" w:fill="FFFFFF"/>
                <w:lang w:val="lt-LT"/>
              </w:rPr>
              <w:t>nemokėjimo teisinis</w:t>
            </w:r>
            <w:r w:rsidRPr="00DF4BF5">
              <w:rPr>
                <w:rStyle w:val="apple-converted-space"/>
                <w:rFonts w:ascii="Calibri Light" w:eastAsia="Calibri" w:hAnsi="Calibri Light" w:cs="Calibri Light"/>
                <w:b/>
                <w:sz w:val="16"/>
                <w:szCs w:val="16"/>
                <w:shd w:val="clear" w:color="auto" w:fill="FFFFFF"/>
                <w:lang w:val="lt-LT"/>
              </w:rPr>
              <w:t> </w:t>
            </w:r>
            <w:r w:rsidRPr="00DF4BF5">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023C3D7E" w14:textId="77777777" w:rsidR="00327F29" w:rsidRPr="00DF4BF5" w:rsidRDefault="00327F29" w:rsidP="00FD5583">
            <w:pPr>
              <w:spacing w:after="0" w:line="240" w:lineRule="auto"/>
              <w:rPr>
                <w:rFonts w:ascii="Calibri Light" w:eastAsia="Calibri" w:hAnsi="Calibri Light" w:cs="Calibri Light"/>
                <w:sz w:val="16"/>
                <w:szCs w:val="16"/>
                <w:lang w:val="lt-LT"/>
              </w:rPr>
            </w:pPr>
            <w:r w:rsidRPr="00DF4BF5">
              <w:rPr>
                <w:rFonts w:ascii="Calibri Light" w:eastAsia="Calibri" w:hAnsi="Calibri Light" w:cs="Calibri Light"/>
                <w:i/>
                <w:color w:val="000000"/>
                <w:sz w:val="16"/>
                <w:szCs w:val="16"/>
                <w:lang w:val="lt-LT"/>
              </w:rPr>
              <w:t>[Pildo tiekėjas]</w:t>
            </w:r>
          </w:p>
        </w:tc>
      </w:tr>
    </w:tbl>
    <w:p w14:paraId="649A9C8F" w14:textId="77777777" w:rsidR="00327F29" w:rsidRPr="00DF4BF5" w:rsidRDefault="00327F29" w:rsidP="00327F29">
      <w:pPr>
        <w:spacing w:after="0" w:line="240" w:lineRule="auto"/>
        <w:ind w:left="-142" w:firstLine="142"/>
        <w:rPr>
          <w:rFonts w:ascii="Calibri Light" w:hAnsi="Calibri Light" w:cs="Calibri Light"/>
          <w:b/>
          <w:sz w:val="16"/>
          <w:szCs w:val="16"/>
          <w:lang w:val="lt-LT"/>
        </w:rPr>
      </w:pPr>
    </w:p>
    <w:p w14:paraId="0B000E6A" w14:textId="77777777" w:rsidR="00327F29" w:rsidRPr="00DF4BF5" w:rsidRDefault="00327F29"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iCs/>
          <w:sz w:val="24"/>
          <w:szCs w:val="24"/>
          <w:lang w:val="lt-LT" w:eastAsia="zh-CN"/>
        </w:rPr>
        <w:t>)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B3D38" w14:textId="77777777" w:rsidR="00D81918" w:rsidRDefault="00D81918">
      <w:pPr>
        <w:spacing w:after="0" w:line="240" w:lineRule="auto"/>
      </w:pPr>
      <w:r>
        <w:separator/>
      </w:r>
    </w:p>
  </w:endnote>
  <w:endnote w:type="continuationSeparator" w:id="0">
    <w:p w14:paraId="620F43AE" w14:textId="77777777" w:rsidR="00D81918" w:rsidRDefault="00D8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A7B45" w14:textId="77777777" w:rsidR="00D81918" w:rsidRDefault="00D81918">
      <w:pPr>
        <w:spacing w:after="0" w:line="240" w:lineRule="auto"/>
      </w:pPr>
      <w:r>
        <w:separator/>
      </w:r>
    </w:p>
  </w:footnote>
  <w:footnote w:type="continuationSeparator" w:id="0">
    <w:p w14:paraId="2C8B9903" w14:textId="77777777" w:rsidR="00D81918" w:rsidRDefault="00D8191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1F0F"/>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5FC8"/>
    <w:rsid w:val="00097241"/>
    <w:rsid w:val="000A23D3"/>
    <w:rsid w:val="000A29CB"/>
    <w:rsid w:val="000A2A43"/>
    <w:rsid w:val="000A4348"/>
    <w:rsid w:val="000B0A6A"/>
    <w:rsid w:val="000B465E"/>
    <w:rsid w:val="000D20F0"/>
    <w:rsid w:val="000D3EBA"/>
    <w:rsid w:val="000F554D"/>
    <w:rsid w:val="00111AF9"/>
    <w:rsid w:val="00123A90"/>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B7C0A"/>
    <w:rsid w:val="001C466E"/>
    <w:rsid w:val="001D02F7"/>
    <w:rsid w:val="001E06E2"/>
    <w:rsid w:val="001F38C5"/>
    <w:rsid w:val="001F3F23"/>
    <w:rsid w:val="001F6E21"/>
    <w:rsid w:val="00206D86"/>
    <w:rsid w:val="002101D9"/>
    <w:rsid w:val="0021031D"/>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82EE5"/>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27F2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0703"/>
    <w:rsid w:val="003A7F1A"/>
    <w:rsid w:val="003B02B2"/>
    <w:rsid w:val="003B0B81"/>
    <w:rsid w:val="003B7840"/>
    <w:rsid w:val="003D06CC"/>
    <w:rsid w:val="003D0DA8"/>
    <w:rsid w:val="003D40BE"/>
    <w:rsid w:val="003D5439"/>
    <w:rsid w:val="003E05EE"/>
    <w:rsid w:val="003E3438"/>
    <w:rsid w:val="003E646C"/>
    <w:rsid w:val="003F0669"/>
    <w:rsid w:val="003F2E3F"/>
    <w:rsid w:val="003F52C0"/>
    <w:rsid w:val="003F6C42"/>
    <w:rsid w:val="0041527F"/>
    <w:rsid w:val="004253FD"/>
    <w:rsid w:val="0042600F"/>
    <w:rsid w:val="00430A6E"/>
    <w:rsid w:val="00433524"/>
    <w:rsid w:val="00443697"/>
    <w:rsid w:val="00462855"/>
    <w:rsid w:val="00463984"/>
    <w:rsid w:val="00470AB6"/>
    <w:rsid w:val="004718C8"/>
    <w:rsid w:val="0047250A"/>
    <w:rsid w:val="00475921"/>
    <w:rsid w:val="0047713F"/>
    <w:rsid w:val="004803B4"/>
    <w:rsid w:val="00483E3A"/>
    <w:rsid w:val="00486A08"/>
    <w:rsid w:val="00486B36"/>
    <w:rsid w:val="00493DBA"/>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05C67"/>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26A6"/>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B6433"/>
    <w:rsid w:val="007C1EB6"/>
    <w:rsid w:val="007C6AE7"/>
    <w:rsid w:val="007D0267"/>
    <w:rsid w:val="007D3215"/>
    <w:rsid w:val="007D484D"/>
    <w:rsid w:val="007E2095"/>
    <w:rsid w:val="007E41FC"/>
    <w:rsid w:val="007E4AB3"/>
    <w:rsid w:val="007E63C0"/>
    <w:rsid w:val="007E7675"/>
    <w:rsid w:val="007F29E1"/>
    <w:rsid w:val="007F6E8D"/>
    <w:rsid w:val="00801195"/>
    <w:rsid w:val="00801578"/>
    <w:rsid w:val="00802C85"/>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37D5"/>
    <w:rsid w:val="008841E0"/>
    <w:rsid w:val="008859C7"/>
    <w:rsid w:val="00887272"/>
    <w:rsid w:val="008921E1"/>
    <w:rsid w:val="00896394"/>
    <w:rsid w:val="00896635"/>
    <w:rsid w:val="00896B6B"/>
    <w:rsid w:val="008A5DAF"/>
    <w:rsid w:val="008B07BD"/>
    <w:rsid w:val="008B13A4"/>
    <w:rsid w:val="008B30BA"/>
    <w:rsid w:val="008B644D"/>
    <w:rsid w:val="008B680B"/>
    <w:rsid w:val="008B6BA1"/>
    <w:rsid w:val="008B6DD2"/>
    <w:rsid w:val="008C2772"/>
    <w:rsid w:val="008D18C8"/>
    <w:rsid w:val="008D7E8F"/>
    <w:rsid w:val="008E2DBF"/>
    <w:rsid w:val="008F00DF"/>
    <w:rsid w:val="008F1364"/>
    <w:rsid w:val="008F41CC"/>
    <w:rsid w:val="008F447B"/>
    <w:rsid w:val="0090270D"/>
    <w:rsid w:val="009123C2"/>
    <w:rsid w:val="009133A7"/>
    <w:rsid w:val="00927202"/>
    <w:rsid w:val="00937F8E"/>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3499"/>
    <w:rsid w:val="009F47E6"/>
    <w:rsid w:val="009F6EAF"/>
    <w:rsid w:val="00A00C6B"/>
    <w:rsid w:val="00A045C4"/>
    <w:rsid w:val="00A1109D"/>
    <w:rsid w:val="00A12041"/>
    <w:rsid w:val="00A15013"/>
    <w:rsid w:val="00A17BE2"/>
    <w:rsid w:val="00A25093"/>
    <w:rsid w:val="00A31990"/>
    <w:rsid w:val="00A32A8F"/>
    <w:rsid w:val="00A33D41"/>
    <w:rsid w:val="00A34BF3"/>
    <w:rsid w:val="00A35041"/>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3045D"/>
    <w:rsid w:val="00B45B38"/>
    <w:rsid w:val="00B46F0F"/>
    <w:rsid w:val="00B47F94"/>
    <w:rsid w:val="00B50C7C"/>
    <w:rsid w:val="00B56DE9"/>
    <w:rsid w:val="00B600D3"/>
    <w:rsid w:val="00B629E7"/>
    <w:rsid w:val="00B632E6"/>
    <w:rsid w:val="00B658EC"/>
    <w:rsid w:val="00B77CBA"/>
    <w:rsid w:val="00B81E39"/>
    <w:rsid w:val="00B8634F"/>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36CE"/>
    <w:rsid w:val="00C745CE"/>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03BB"/>
    <w:rsid w:val="00D62727"/>
    <w:rsid w:val="00D62C94"/>
    <w:rsid w:val="00D62F10"/>
    <w:rsid w:val="00D81918"/>
    <w:rsid w:val="00D83854"/>
    <w:rsid w:val="00D91CCB"/>
    <w:rsid w:val="00D91CF7"/>
    <w:rsid w:val="00D92A1E"/>
    <w:rsid w:val="00DB2CC7"/>
    <w:rsid w:val="00DD2695"/>
    <w:rsid w:val="00DE70F1"/>
    <w:rsid w:val="00DE7873"/>
    <w:rsid w:val="00DF3F41"/>
    <w:rsid w:val="00DF4BF5"/>
    <w:rsid w:val="00E22FB4"/>
    <w:rsid w:val="00E241BC"/>
    <w:rsid w:val="00E2482E"/>
    <w:rsid w:val="00E2594B"/>
    <w:rsid w:val="00E27DFD"/>
    <w:rsid w:val="00E32E0E"/>
    <w:rsid w:val="00E35EAA"/>
    <w:rsid w:val="00E37313"/>
    <w:rsid w:val="00E42229"/>
    <w:rsid w:val="00E50C70"/>
    <w:rsid w:val="00E53358"/>
    <w:rsid w:val="00E665C3"/>
    <w:rsid w:val="00E80144"/>
    <w:rsid w:val="00E811EB"/>
    <w:rsid w:val="00E92E0D"/>
    <w:rsid w:val="00E93FF6"/>
    <w:rsid w:val="00E95770"/>
    <w:rsid w:val="00E97B36"/>
    <w:rsid w:val="00EA0899"/>
    <w:rsid w:val="00EA1CFD"/>
    <w:rsid w:val="00EA650B"/>
    <w:rsid w:val="00EB01C2"/>
    <w:rsid w:val="00EC4889"/>
    <w:rsid w:val="00ED1195"/>
    <w:rsid w:val="00ED24C3"/>
    <w:rsid w:val="00EE37C0"/>
    <w:rsid w:val="00EE4D05"/>
    <w:rsid w:val="00EE50A1"/>
    <w:rsid w:val="00EF177B"/>
    <w:rsid w:val="00F01F3B"/>
    <w:rsid w:val="00F045A5"/>
    <w:rsid w:val="00F048F2"/>
    <w:rsid w:val="00F22BDF"/>
    <w:rsid w:val="00F25590"/>
    <w:rsid w:val="00F25B9A"/>
    <w:rsid w:val="00F268B6"/>
    <w:rsid w:val="00F31DF7"/>
    <w:rsid w:val="00F43834"/>
    <w:rsid w:val="00F5081D"/>
    <w:rsid w:val="00F6372C"/>
    <w:rsid w:val="00F63E39"/>
    <w:rsid w:val="00F64268"/>
    <w:rsid w:val="00F73178"/>
    <w:rsid w:val="00F84001"/>
    <w:rsid w:val="00FA6295"/>
    <w:rsid w:val="00FA760C"/>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3624</Words>
  <Characters>2067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16</cp:revision>
  <dcterms:created xsi:type="dcterms:W3CDTF">2024-02-22T09:22:00Z</dcterms:created>
  <dcterms:modified xsi:type="dcterms:W3CDTF">2024-12-09T14:26:00Z</dcterms:modified>
  <cp:version>1</cp:version>
</cp:coreProperties>
</file>